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ndingHead"/>
      </w:pPr>
      <w:r>
        <w:t>STANDARD TOPICS</w:t>
      </w:r>
    </w:p>
    <w:p>
      <w:pPr>
        <w:pStyle w:val="SectionTitle"/>
      </w:pPr>
      <w:r>
        <w:rPr>
          <w:rFonts w:ascii="Arial" w:hAnsi="Arial"/>
        </w:rPr>
        <w:t>Standard topics — what Jacobs includes whether or not the RFP asks</w:t>
      </w:r>
    </w:p>
    <w:p>
      <w:pPr/>
      <w:r>
        <w:rPr>
          <w:rFonts w:ascii="Arial" w:hAnsi="Arial"/>
        </w:rPr>
        <w:t xml:space="preserve">Derived from the four extracted proposals (Hull 2026, Santa Monica SWIP 2025, OCWUT 2026, Fulton County 2025): a topic is listed when it appears in at least three of the four. </w:t>
      </w:r>
      <w:r>
        <w:rPr>
          <w:rFonts w:ascii="Consolas" w:hAnsi="Consolas"/>
          <w:sz w:val="22"/>
        </w:rPr>
        <w:t>work/new_content_plan.py</w:t>
      </w:r>
      <w:r>
        <w:rPr>
          <w:rFonts w:ascii="Arial" w:hAnsi="Arial"/>
        </w:rPr>
        <w:t xml:space="preserve"> copies each family's rows into the matching section of a pursuit's </w:t>
      </w:r>
      <w:r>
        <w:rPr>
          <w:rFonts w:ascii="Consolas" w:hAnsi="Consolas"/>
          <w:sz w:val="22"/>
        </w:rPr>
        <w:t>content-plan.md</w:t>
      </w:r>
      <w:r>
        <w:rPr>
          <w:rFonts w:ascii="Arial" w:hAnsi="Arial"/>
        </w:rPr>
        <w:t>, where the proposal manager ticks what to include. Edit this file freely — it is the house list, not a rule.</w:t>
      </w:r>
    </w:p>
    <w:p>
      <w:pPr/>
      <w:r>
        <w:rPr>
          <w:rFonts w:ascii="Arial" w:hAnsi="Arial"/>
        </w:rPr>
        <w:t xml:space="preserve">Format rules the scaffold depends on: </w:t>
      </w:r>
      <w:r>
        <w:rPr>
          <w:rFonts w:ascii="Consolas" w:hAnsi="Consolas"/>
          <w:sz w:val="22"/>
        </w:rPr>
        <w:t>## &lt;family-key&gt;</w:t>
      </w:r>
      <w:r>
        <w:rPr>
          <w:rFonts w:ascii="Arial" w:hAnsi="Arial"/>
        </w:rPr>
        <w:t xml:space="preserve"> starts a family; </w:t>
      </w:r>
      <w:r>
        <w:rPr>
          <w:rFonts w:ascii="Consolas" w:hAnsi="Consolas"/>
          <w:sz w:val="22"/>
        </w:rPr>
        <w:t>### &lt;group&gt;</w:t>
      </w:r>
      <w:r>
        <w:rPr>
          <w:rFonts w:ascii="Arial" w:hAnsi="Arial"/>
        </w:rPr>
        <w:t xml:space="preserve"> is a sub-heading carried into the plan; each table row is </w:t>
      </w:r>
      <w:r>
        <w:rPr>
          <w:rFonts w:ascii="Consolas" w:hAnsi="Consolas"/>
          <w:sz w:val="22"/>
        </w:rPr>
        <w:t>| topic | preferred block | why it is always there |</w:t>
      </w:r>
      <w:r>
        <w:rPr>
          <w:rFonts w:ascii="Arial" w:hAnsi="Arial"/>
        </w:rPr>
        <w:t>. Block paths are relative to the wiki root; the scaffold warns when one does not exist.</w:t>
      </w:r>
    </w:p>
    <w:p>
      <w:pPr/>
      <w:r>
        <w:rPr>
          <w:rFonts w:ascii="Arial" w:hAnsi="Arial"/>
        </w:rPr>
        <w:t xml:space="preserve">Family keys: </w:t>
      </w:r>
      <w:r>
        <w:rPr>
          <w:rFonts w:ascii="Consolas" w:hAnsi="Consolas"/>
          <w:sz w:val="22"/>
        </w:rPr>
        <w:t>cover-letter</w:t>
      </w:r>
      <w:r>
        <w:rPr>
          <w:rFonts w:ascii="Arial" w:hAnsi="Arial"/>
        </w:rPr>
        <w:t xml:space="preserve"> · </w:t>
      </w:r>
      <w:r>
        <w:rPr>
          <w:rFonts w:ascii="Consolas" w:hAnsi="Consolas"/>
          <w:sz w:val="22"/>
        </w:rPr>
        <w:t>exec-summary</w:t>
      </w:r>
      <w:r>
        <w:rPr>
          <w:rFonts w:ascii="Arial" w:hAnsi="Arial"/>
        </w:rPr>
        <w:t xml:space="preserve"> · </w:t>
      </w:r>
      <w:r>
        <w:rPr>
          <w:rFonts w:ascii="Consolas" w:hAnsi="Consolas"/>
          <w:sz w:val="22"/>
        </w:rPr>
        <w:t>qualifications</w:t>
      </w:r>
      <w:r>
        <w:rPr>
          <w:rFonts w:ascii="Arial" w:hAnsi="Arial"/>
        </w:rPr>
        <w:t xml:space="preserve"> · </w:t>
      </w:r>
      <w:r>
        <w:rPr>
          <w:rFonts w:ascii="Consolas" w:hAnsi="Consolas"/>
          <w:sz w:val="22"/>
        </w:rPr>
        <w:t>staffing</w:t>
      </w:r>
      <w:r>
        <w:rPr>
          <w:rFonts w:ascii="Arial" w:hAnsi="Arial"/>
        </w:rPr>
        <w:t xml:space="preserve"> · </w:t>
      </w:r>
      <w:r>
        <w:rPr>
          <w:rFonts w:ascii="Consolas" w:hAnsi="Consolas"/>
          <w:sz w:val="22"/>
        </w:rPr>
        <w:t>approach</w:t>
      </w:r>
      <w:r>
        <w:rPr>
          <w:rFonts w:ascii="Arial" w:hAnsi="Arial"/>
        </w:rPr>
        <w:t xml:space="preserve">. Compliance, safety, security and QA/QC sit inside </w:t>
      </w:r>
      <w:r>
        <w:rPr>
          <w:rFonts w:ascii="Consolas" w:hAnsi="Consolas"/>
          <w:sz w:val="22"/>
        </w:rPr>
        <w:t>approach</w:t>
      </w:r>
      <w:r>
        <w:rPr>
          <w:rFonts w:ascii="Arial" w:hAnsi="Arial"/>
        </w:rPr>
        <w:t xml:space="preserve"> because that is where Jacobs proposals carry them.</w:t>
      </w:r>
    </w:p>
    <w:p>
      <w:pPr>
        <w:pStyle w:val="Heading1"/>
      </w:pPr>
      <w:r>
        <w:rPr>
          <w:rFonts w:ascii="Arial" w:hAnsi="Arial"/>
        </w:rPr>
        <w:t>cover-letter</w:t>
      </w:r>
    </w:p>
    <w:p>
      <w:pPr>
        <w:pStyle w:val="Heading2"/>
      </w:pPr>
      <w:r>
        <w:rPr>
          <w:rFonts w:ascii="Arial" w:hAnsi="Arial"/>
        </w:rPr>
        <w:t>Cover letter beats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Named leadership team and signatory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wiki/win-themes/cover-letter-structure-pattern.md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Puts the people the City will call on the first page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Day-one priorities and value bullets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wiki/win-themes/cover-letter-day-one-priorities-value-bullets.md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letter carries the offer, not just the transmittal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Site-verified understanding and case for change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wiki/win-themes/exec-summary-site-verified-understanding-and-case-for-change.md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Proves we walked the plant before we wrote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value-add package in the base fee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wiki/win-themes/value-added-no-cost-enhancements-framing.md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Signals what the City gets beyond scope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Partnership close and bottom line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wiki/win-themes/swip-bottom-line-close-and-positioning-statement.md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The last paragraph is the one the evaluator remembers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exec-summary</w:t>
      </w:r>
    </w:p>
    <w:p>
      <w:pPr>
        <w:pStyle w:val="Heading2"/>
      </w:pPr>
      <w:r>
        <w:rPr>
          <w:rFonts w:ascii="Arial" w:hAnsi="Arial"/>
        </w:rPr>
        <w:t>Executive summary beats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Site-verified understanding and case for change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wiki/win-themes/exec-summary-site-verified-understanding-and-case-for-change.md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Opens with the client's condition, not with Jacobs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Technical approach pillars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wiki/win-themes/exec-summary-technical-approach-pillars.md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Three to five pillars that recur as headings in the approach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Day-one priorities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wiki/win-themes/cover-letter-day-one-priorities-value-bullets.md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first 90 days, stated as commitments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and day-one readiness commitment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wiki/management-staffing/swip-transition-plan-overview-and-track-record.md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the City's largest anxiety early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bench and workforce continuity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Names the support behind the on-site team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Compliance, reliability and transparency narrative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wiki/qualifications/environmental-compliance-record-and-transparency-posture.md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record that makes the promises credible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Innovation and value-add package in the base fee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wiki/win-themes/swip-value-added-offerings-package.md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Quantified included offers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Required-plans commitment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wiki/management-staffing/om-transition-workplan-phased-schedule.md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Shows every contract deliverable has an owner and a date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Partnership close and bottom line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wiki/win-themes/swip-bottom-line-close-and-positioning-statement.md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The closer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qualifications</w:t>
      </w:r>
    </w:p>
    <w:p>
      <w:pPr>
        <w:pStyle w:val="Heading2"/>
      </w:pPr>
      <w:r>
        <w:rPr>
          <w:rFonts w:ascii="Arial" w:hAnsi="Arial"/>
        </w:rPr>
        <w:t>Corporate scale and structure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Corporate scale, history and O&amp;M portfolio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wiki/qualifications/firm-qualifications-opener-and-corporate-scale.md; wiki/qualifications/omfs-corporate-scale-and-om-portfolio-proof-points.md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"who are you" in numbers the evaluator can check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Full-service O&amp;M with engineering and lifecycle integration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wiki/qualifications/full-service-firm-capabilities.md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Differentiates a design-and-operate firm from a pure operator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Legal entity, corporate structure and signatory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wiki/qualifications/corporate-entity-legal-qualifications.md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Usually required; also a win theme when the entity is local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Financial strength and stability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wiki/qualifications/swip-financial-strength-and-stability.md; wiki/qualifications/financial-strength-low-risk-partner-value-prop.md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Low-risk partner argument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Litigation and contract-termination disclosure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wiki/qualifications/swip-financial-transparency-and-litigation-history.md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Disclose only what is asked, in the four-move form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Presence and bench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Regional presence and local resources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wiki/qualifications/regional-presence-local-support-value-prop.md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Proximity of people who can be on site in hours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Reach-back and off-site SME bench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the base fee includes beyond the on-site staff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Management structure and key-personnel roster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wiki/management-staffing/ocwut-staffing-model-fewer-managers-more-doers.md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The people, before the resumes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Track record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Relevant experience table (similar size and complexity)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wiki/qualifications/comparable-scale-track-record-treatment-and-collection.md; wiki/past-performance/similar-facilities-table.md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Evaluators score comparability from a table, not prose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References and project descriptions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wiki/qualifications/reference-portfolio-comparability-and-similar-facilities.md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Verbatim from past-performance/ — client names and contacts stay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Environmental and permit compliance record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wiki/qualifications/environmental-compliance-record-and-transparency-posture.md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compliance percentage and its basis year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Safety record (TRIR, EMR, DART)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wiki/compliance-plans/health-safety-environmental-compliance-performance-record.md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Always with the industry comparator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Client retention and renewal rate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wiki/qualifications/firm-history-corporate-overview.md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clients-stay argument; no standalone block yet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Awards and industry rankings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wiki/qualifications/firm-history-corporate-overview.md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Third-party voice; no standalone block yet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Workforce culture, retention and employer of choice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wiki/qualifications/workforce-culture-retention-employer-of-choice-value-prop.md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Answers turnover, the operator's hidden risk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Niche capability proofs (odor, biosolids, collections, reuse, MBR)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wiki/qualifications/water-reuse-leadership-and-timeline.md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Pick the one or two the pursuit's hot buttons demand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staffing</w:t>
      </w:r>
    </w:p>
    <w:p>
      <w:pPr>
        <w:pStyle w:val="Heading2"/>
      </w:pPr>
      <w:r>
        <w:rPr>
          <w:rFonts w:ascii="Arial" w:hAnsi="Arial"/>
        </w:rPr>
        <w:t>Organization and people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Organization chart and FTE roster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wiki/management-staffing/staffing-coverage-shift-oncall-plan.md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committed org chart, never a range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Key-personnel roles and named leads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wiki/management-staffing/ocwut-staffing-model-fewer-managers-more-doers.md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Named people convert a roster into a promise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Shift schedule, 24/7 coverage and on-call rotation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wiki/management-staffing/staffing-coverage-shift-oncall-plan.md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Shows how the plant is covered at 2 a.m.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Incumbent-staff retention, care and compensation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wiki/management-staffing/workforce-retention-transition-continuity.md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City's staff are the City's institutional memory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Training, licensing, certification and cross-training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wiki/management-staffing/staff-certification-training-program.md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 depends on certified people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Recruiting, vacancy management, succession and surge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wiki/management-staffing/workforce-retention-transition-continuity.md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happens when someone leaves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Culture and employee networks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wiki/management-staffing/ocwut-high-performing-culture-and-culture-coach-program.md; wiki/management-staffing/swip-workforce-culture-dei-employee-networks.md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Why people stay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Transition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Phased transition schedule and milestone checklist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wiki/management-staffing/swip-transition-phasing-and-schedule-template.md; wiki/management-staffing/om-transition-workplan-phased-schedule.md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Dates and deliverables, not a philosophy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team, org chart and communications plan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wiki/management-staffing/swip-transition-team-and-communications-plan.md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Who runs the transition and who the City calls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risk management and due diligence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wiki/management-staffing/wastewater-om-transition-plan-mobilization.md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Names the risks before the City does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proof from prior transitions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wiki/management-staffing/swip-transition-plan-overview-and-track-record.md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Displacement stories and testimonials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Exit and turnback plan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Fulton and OCWUT carried one; no block yet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</w:rPr>
        <w:t>approach</w:t>
      </w:r>
    </w:p>
    <w:p>
      <w:pPr>
        <w:pStyle w:val="Heading2"/>
      </w:pPr>
      <w:r>
        <w:rPr>
          <w:rFonts w:ascii="Arial" w:hAnsi="Arial"/>
        </w:rPr>
        <w:t>Understanding and phasing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Project understanding: goals, challenges and response matrix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wiki/technical-approach/project-understanding-goals-challenges-response-matrix.md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exhibit evaluators read first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Phased approach: baseline, stabilize, optimize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wiki/technical-approach/phased-baseline-to-optimization-approach.md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Frames the whole section as a sequence with dates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Operations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Process control and process optimization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wiki/technical-approach/phased-process-control-strategy-stabilize-optimize-sustain.md; wiki/technical-approach/process-control-tools-benefits-table.md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How the plant is run day to day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Energy management and chemical efficiency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wiki/technical-approach/energy-management-program-wastewater-om.md; wiki/technical-approach/baseline-driven-energy-management-multi-facility-portfolio.md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Usually a fee lever as well as a scope item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Laboratory management, sampling and data integrity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wiki/compliance-plans/laboratory-management-data-integrity-program.md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Compliance data has to be defensible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Odor and noise control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wiki/technical-approach/site-specific-odor-control-program.md; wiki/technical-approach/ocwut-four-layer-odor-control-strategy.md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neighbours' issue; politically live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Biosolids, sludge and residuals management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wiki/technical-approach/biosolids-residuals-management-program.md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Cost and compliance exposure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Collection system and pump-station O&amp;M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wiki/technical-approach/collection-system-om-program.md; wiki/technical-approach/major-pump-station-operations-odor-hydraulic-reliability.md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When collections are in scope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Reuse and advanced water treatment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wiki/qualifications/water-reuse-leadership-and-timeline.md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When reuse is in scope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Maintenance and assets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Asset management system and CMMS (ISO 55001, SAMP, NexGen)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wiki/technical-approach/asset-management-system-iso-55001-samp-governance.md; wiki/technical-approach/nexgen-eam-cmms-governance-and-implementation-continuity.md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system of record for every promise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Preventive, predictive and corrective maintenance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wiki/technical-approach/continual-improvement-and-preventive-maintenance-program.md; wiki/technical-approach/corrective-maintenance-program-failure-chain.md; wiki/technical-approach/predictive-maintenance-technology-suite-program.md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Reliability is the product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Spare parts and inventory management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wiki/technical-approach/spare-parts-inventory-management-critical-assets.md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Critical spares on the shelf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Capital planning, CIP integration and MOPO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wiki/technical-approach/cip-implementation-and-construction-coordination.md; wiki/technical-approach/arm-tool-asset-replacement-modeling-capital-planning.md; wiki/technical-approach/mopo-and-integrated-om-engineering-cip-advantage.md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operator who feeds the CIP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Maintenance and repair fund governance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wiki/technical-approach/mr-and-rr-fund-management-documentation-discipline.md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Transparency on the fund the City worries about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Warranty management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OCWUT carried it; no block yet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Compliance, safety, security and emergency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Regulatory and permit compliance program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wiki/compliance-plans/six-point-compliance-program.md; wiki/compliance-plans/regulatory-compliance-program-leadership-and-governance.md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Zero-violation promise, with the program behind it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Safety program (BeyondZero, training, confined space)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wiki/compliance-plans/swip-safety-leadership-and-program-elements.md; wiki/compliance-plans/ocwut-safety-program-leadership-accountability.md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Always, with the record beside it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Site security and OT/ICS cybersecurity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wiki/compliance-plans/integrated-safety-security-cybersecurity-program.md; wiki/technical-approach/swip-scada-ic-cybersecurity-approach.md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Now a mandated plan in most RFPs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SCADA, OT and I&amp;C modernization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wiki/technical-approach/ot-scada-modernization-roadmap.md; wiki/technical-approach/ocwut-scada-ot-cybersecurity-responsibility-split-exhibit.md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estate the City cannot see into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Emergency response, storm and disaster preparedness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wiki/compliance-plans/swip-emergency-response-regional-resources.md; wiki/compliance-plans/ocwut-emergency-operating-plan-prepare-respond-recover.md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Response times with regional backup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QA/QC program and internal audits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wiki/management-staffing/ocwut-qaqc-program-oversight-and-annual-quality-audit.md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Who checks the operator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/>
        </w:rPr>
        <w:t>Management, communication and value</w:t>
      </w:r>
    </w:p>
    <w:tbl>
      <w:tblPr>
        <w:tblW w:type="pct" w:w="5000"/>
        <w:jc w:val="left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topic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preferred block</w:t>
            </w:r>
          </w:p>
        </w:tc>
        <w:tc>
          <w:tcPr>
            <w:tcW w:type="dxa" w:w="3264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leHeader"/>
              <w:keepNext/>
              <w:jc w:val="left"/>
            </w:pPr>
            <w:r>
              <w:rPr>
                <w:rFonts w:ascii="Arial" w:hAnsi="Arial"/>
                <w:b/>
              </w:rPr>
              <w:t>why it is always there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Communications, reporting and KPI dashboards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wiki/technical-approach/tiered-communication-reporting-protocol.md; wiki/technical-approach/swip-communications-and-reporting-plan.md; wiki/technical-approach/swip-digital-kpi-reporting-dashboard.md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What the City sees, and when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Community outreach and stewardship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wiki/win-themes/community-stewardship-public-engagement-program.md; wiki/win-themes/fulton-community-outreach-leadership-and-communication-tools.md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The plant's neighbours are the City's constituents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Annual innovation workshop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wiki/technical-approach/swip-annual-innovation-workshop.md; wiki/technical-approach/annual-innovation-workshop-program.md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A dated, repeatable commitment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Value-added and no-cost innovation menu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wiki/win-themes/value-added-no-cost-enhancements-framing.md; wiki/win-themes/swip-value-added-offerings-package.md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Quantified offers inside the base fee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Digital tools (digital twin, analytics, AI)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wiki/technical-approach/swip-replica-digital-twin-plant-digital-tools.md; wiki/technical-approach/swip-process-optimization-digital-modeling.md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Differentiator when the client is modernizing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Reach-back and regional SME support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wiki/qualifications/reach-back-model-and-regional-support.md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Repeats the bench where the scorer for approach will see it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Transition and mobilization plan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wiki/management-staffing/wastewater-om-transition-plan-mobilization.md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keepNext/>
              <w:jc w:val="left"/>
            </w:pPr>
            <w:r>
              <w:rPr>
                <w:rFonts w:ascii="Arial" w:hAnsi="Arial"/>
              </w:rPr>
              <w:t>Many RFPs ask for it in the approach as well as staffing</w:t>
            </w:r>
          </w:p>
        </w:tc>
      </w:tr>
      <w:tr>
        <w:trPr>
          <w:cantSplit/>
        </w:trPr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Site housekeeping, drain-and-clean and corrosion control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wiki/technical-approach/drain-clean-corrosion-control-housekeeping-program.md</w:t>
            </w:r>
          </w:p>
        </w:tc>
        <w:tc>
          <w:tcPr>
            <w:tcW w:type="dxa" w:w="3264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tcBorders>
              <w:bottom w:val="single" w:sz="4" w:space="0" w:color="E6E6E6"/>
            </w:tcBorders>
          </w:tcPr>
          <w:p>
            <w:pPr>
              <w:pStyle w:val="TableBody"/>
              <w:jc w:val="left"/>
            </w:pPr>
            <w:r>
              <w:rPr>
                <w:rFonts w:ascii="Arial" w:hAnsi="Arial"/>
              </w:rPr>
              <w:t>Visible on the site visit; cheap to promise, easy to check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312"/>
      <w:gridCol w:w="3168"/>
      <w:gridCol w:w="3312"/>
    </w:tblGrid>
    <w:tr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color w:val="A5A5A5"/>
              <w:sz w:val="18"/>
            </w:rPr>
            <w:t>Standard topics</w:t>
          </w:r>
        </w:p>
      </w:tc>
      <w:tc>
        <w:tcPr>
          <w:tcW w:type="dxa" w:w="3168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Arial" w:hAnsi="Arial"/>
              <w:color w:val="A5A5A5"/>
              <w:sz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color w:val="A5A5A5"/>
              <w:sz w:val="18"/>
            </w:rPr>
          </w:r>
        </w:p>
      </w:tc>
      <w:tc>
        <w:tcPr>
          <w:tcW w:type="dxa" w:w="3312"/>
          <w:tcMar>
            <w:top w:w="4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A5A5A5"/>
              <w:sz w:val="18"/>
            </w:rPr>
            <w:t>© Jacobs 2026 — Confidential — DRAFT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160"/>
      <w:gridCol w:w="7632"/>
    </w:tblGrid>
    <w:tr>
      <w:tc>
        <w:tcPr>
          <w:tcW w:type="dxa" w:w="2160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left"/>
          </w:pPr>
          <w:r>
            <w:rPr>
              <w:rFonts w:ascii="Arial" w:hAnsi="Arial"/>
              <w:b/>
              <w:color w:val="000000"/>
              <w:sz w:val="18"/>
            </w:rPr>
            <w:t>Jacobs</w:t>
          </w:r>
        </w:p>
      </w:tc>
      <w:tc>
        <w:tcPr>
          <w:tcW w:type="dxa" w:w="7632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4" w:space="0" w:color="C8C8C8"/>
          </w:tcBorders>
        </w:tcPr>
        <w:p>
          <w:pPr>
            <w:jc w:val="right"/>
          </w:pPr>
          <w:r>
            <w:rPr>
              <w:rFonts w:ascii="Arial" w:hAnsi="Arial"/>
              <w:color w:val="333333"/>
              <w:sz w:val="18"/>
            </w:rPr>
            <w:t>Jacobs OMFS — Standard topics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1ED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" w:hAnsi="Arial"/>
      <w:color w:val="333333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</w:pPr>
    <w:rPr>
      <w:rFonts w:ascii="Arial" w:hAnsi="Arial"/>
      <w:b w:val="0"/>
      <w:bCs/>
      <w:color w:val="A5A5A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ingHead">
    <w:name w:val="Standing Head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SectionTitle">
    <w:name w:val="Section Title"/>
    <w:pPr>
      <w:spacing w:after="80" w:line="252" w:lineRule="auto"/>
    </w:pPr>
    <w:rPr>
      <w:rFonts w:ascii="Arial" w:hAnsi="Arial"/>
      <w:b/>
      <w:color w:val="000000"/>
      <w:sz w:val="48"/>
    </w:rPr>
  </w:style>
  <w:style w:type="paragraph" w:customStyle="1" w:styleId="DeckLine">
    <w:name w:val="Deck Line"/>
    <w:pPr>
      <w:spacing w:after="80" w:line="264" w:lineRule="auto"/>
    </w:pPr>
    <w:rPr>
      <w:rFonts w:ascii="Arial" w:hAnsi="Arial"/>
      <w:b w:val="0"/>
      <w:color w:val="333333"/>
      <w:sz w:val="26"/>
    </w:rPr>
  </w:style>
  <w:style w:type="paragraph" w:customStyle="1" w:styleId="CalloutLabel">
    <w:name w:val="Callout Label"/>
    <w:pPr>
      <w:spacing w:after="80" w:line="240" w:lineRule="auto"/>
    </w:pPr>
    <w:rPr>
      <w:rFonts w:ascii="Arial" w:hAnsi="Arial"/>
      <w:b/>
      <w:color w:val="231EDC"/>
      <w:sz w:val="20"/>
    </w:rPr>
  </w:style>
  <w:style w:type="paragraph" w:customStyle="1" w:styleId="CalloutText">
    <w:name w:val="Callout Text"/>
    <w:pPr>
      <w:spacing w:after="80" w:line="276" w:lineRule="auto"/>
    </w:pPr>
    <w:rPr>
      <w:rFonts w:ascii="Arial" w:hAnsi="Arial"/>
      <w:b w:val="0"/>
      <w:color w:val="333333"/>
      <w:sz w:val="21"/>
    </w:rPr>
  </w:style>
  <w:style w:type="paragraph" w:customStyle="1" w:styleId="FigurePlaceholder">
    <w:name w:val="Figure Placeholder"/>
    <w:pPr>
      <w:spacing w:after="80" w:line="240" w:lineRule="auto"/>
    </w:pPr>
    <w:rPr>
      <w:rFonts w:ascii="Arial" w:hAnsi="Arial"/>
      <w:b w:val="0"/>
      <w:color w:val="A5A5A5"/>
      <w:sz w:val="22"/>
    </w:rPr>
  </w:style>
  <w:style w:type="paragraph" w:customStyle="1" w:styleId="DraftBanner">
    <w:name w:val="Draft Banner"/>
    <w:pPr>
      <w:spacing w:after="80" w:line="240" w:lineRule="auto"/>
    </w:pPr>
    <w:rPr>
      <w:rFonts w:ascii="Arial" w:hAnsi="Arial"/>
      <w:b/>
      <w:color w:val="333333"/>
      <w:sz w:val="24"/>
    </w:rPr>
  </w:style>
  <w:style w:type="paragraph" w:customStyle="1" w:styleId="TableBody">
    <w:name w:val="Table Body"/>
    <w:pPr>
      <w:spacing w:after="80" w:line="252" w:lineRule="auto"/>
    </w:pPr>
    <w:rPr>
      <w:rFonts w:ascii="Arial" w:hAnsi="Arial"/>
      <w:b w:val="0"/>
      <w:color w:val="333333"/>
      <w:sz w:val="20"/>
    </w:rPr>
  </w:style>
  <w:style w:type="paragraph" w:customStyle="1" w:styleId="TableHeader">
    <w:name w:val="Table Header"/>
    <w:pPr>
      <w:spacing w:after="80" w:line="252" w:lineRule="auto"/>
    </w:pPr>
    <w:rPr>
      <w:rFonts w:ascii="Arial" w:hAnsi="Arial"/>
      <w:b/>
      <w:color w:val="000000"/>
      <w:sz w:val="20"/>
    </w:rPr>
  </w:style>
  <w:style w:type="paragraph" w:customStyle="1" w:styleId="DraftBody">
    <w:name w:val="Draft Body"/>
    <w:pPr>
      <w:spacing w:after="80" w:line="264" w:lineRule="auto"/>
    </w:pPr>
    <w:rPr>
      <w:rFonts w:ascii="Arial" w:hAnsi="Arial"/>
      <w:b w:val="0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