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ndingHead"/>
      </w:pPr>
      <w:r>
        <w:t>CONTENT PLAN V1</w:t>
      </w:r>
    </w:p>
    <w:p>
      <w:pPr>
        <w:pStyle w:val="SectionTitle"/>
      </w:pPr>
      <w:r>
        <w:rPr>
          <w:rFonts w:ascii="Arial" w:hAnsi="Arial"/>
        </w:rPr>
        <w:t>Content plan — City of Richmond — WPCP, Collection and Stormwater O&amp;M</w:t>
      </w:r>
    </w:p>
    <w:p>
      <w:pPr>
        <w:pStyle w:val="DeckLine"/>
      </w:pPr>
      <w:r>
        <w:t>One sheet that tells the writers which topics go in each section. Sections follow the Proposal Directive outline, checked against the RFP. Under each section, the RFP-required topics are already ticked; the Jacobs-standard topics are the ones the proposal manager decides on.</w:t>
      </w:r>
    </w:p>
    <w:p>
      <w:pPr>
        <w:pStyle w:val="Heading1"/>
      </w:pPr>
      <w:r>
        <w:rPr>
          <w:rFonts w:ascii="Arial" w:hAnsi="Arial"/>
        </w:rPr>
        <w:t>How to use this sheet</w:t>
      </w:r>
    </w:p>
    <w:p>
      <w:pPr/>
      <w:r>
        <w:rPr>
          <w:rFonts w:ascii="Arial" w:hAnsi="Arial"/>
          <w:b/>
        </w:rPr>
        <w:t>Selection rule.</w:t>
      </w:r>
      <w:r>
        <w:rPr>
          <w:rFonts w:ascii="Arial" w:hAnsi="Arial"/>
        </w:rPr>
        <w:t xml:space="preserve"> A ticked topic (☑) is drafted; an unticked topic (☐) is not. A ticked topic with a note gets that angle. RFP-required rows stay ticked. Add pursuit-specific topics in the *Additional topic* rows under any section. The spec sheet locks the numbers, proofs and references the ticked topics will use; this sheet only decides what is covered.</w:t>
      </w:r>
    </w:p>
    <w:p>
      <w:pPr/>
      <w:r>
        <w:rPr>
          <w:rFonts w:ascii="Arial" w:hAnsi="Arial"/>
          <w:b/>
        </w:rPr>
        <w:t>Marks.</w:t>
      </w:r>
      <w:r>
        <w:rPr>
          <w:rFonts w:ascii="Arial" w:hAnsi="Arial"/>
        </w:rPr>
        <w:t xml:space="preserve"> </w:t>
      </w:r>
      <w:r>
        <w:rPr>
          <w:rFonts w:ascii="Consolas" w:hAnsi="Consolas"/>
          <w:sz w:val="22"/>
        </w:rPr>
        <w:t>☑ lead</w:t>
      </w:r>
      <w:r>
        <w:rPr>
          <w:rFonts w:ascii="Arial" w:hAnsi="Arial"/>
        </w:rPr>
        <w:t xml:space="preserve"> — the topic carries the section's opener or closer · </w:t>
      </w:r>
      <w:r>
        <w:rPr>
          <w:rFonts w:ascii="Consolas" w:hAnsi="Consolas"/>
          <w:sz w:val="22"/>
        </w:rPr>
        <w:t>☑</w:t>
      </w:r>
      <w:r>
        <w:rPr>
          <w:rFonts w:ascii="Arial" w:hAnsi="Arial"/>
        </w:rPr>
        <w:t xml:space="preserve"> — include · </w:t>
      </w:r>
      <w:r>
        <w:rPr>
          <w:rFonts w:ascii="Consolas" w:hAnsi="Consolas"/>
          <w:sz w:val="22"/>
        </w:rPr>
        <w:t>☑ brief</w:t>
      </w:r>
      <w:r>
        <w:rPr>
          <w:rFonts w:ascii="Arial" w:hAnsi="Arial"/>
        </w:rPr>
        <w:t xml:space="preserve"> — one paragraph or a table row at most · </w:t>
      </w:r>
      <w:r>
        <w:rPr>
          <w:rFonts w:ascii="Consolas" w:hAnsi="Consolas"/>
          <w:sz w:val="22"/>
        </w:rPr>
        <w:t>☐</w:t>
      </w:r>
      <w:r>
        <w:rPr>
          <w:rFonts w:ascii="Arial" w:hAnsi="Arial"/>
        </w:rPr>
        <w:t xml:space="preserve"> — leave out.</w:t>
      </w:r>
    </w:p>
    <w:p>
      <w:pPr/>
      <w:r>
        <w:rPr>
          <w:rFonts w:ascii="Arial" w:hAnsi="Arial"/>
          <w:b/>
        </w:rPr>
        <w:t>Start from.</w:t>
      </w:r>
      <w:r>
        <w:rPr>
          <w:rFonts w:ascii="Arial" w:hAnsi="Arial"/>
        </w:rPr>
        <w:t xml:space="preserve"> Each section can name a source proposal section (e.g. </w:t>
      </w:r>
      <w:r>
        <w:rPr>
          <w:rFonts w:ascii="Consolas" w:hAnsi="Consolas"/>
          <w:sz w:val="22"/>
        </w:rPr>
        <w:t>hull-wwtf-om-2026 — Section 5 Technical Approach, pages 40–62</w:t>
      </w:r>
      <w:r>
        <w:rPr>
          <w:rFonts w:ascii="Arial" w:hAnsi="Arial"/>
        </w:rPr>
        <w:t xml:space="preserve">) that the writer reads first and adapts as the backbone of the draft, before searching the library for anything else. It is a starting point, not a copy: the client's outline still governs the structure. </w:t>
      </w:r>
      <w:r>
        <w:rPr>
          <w:rFonts w:ascii="Consolas" w:hAnsi="Consolas"/>
          <w:sz w:val="22"/>
        </w:rPr>
        <w:t>—</w:t>
      </w:r>
      <w:r>
        <w:rPr>
          <w:rFonts w:ascii="Arial" w:hAnsi="Arial"/>
        </w:rPr>
        <w:t xml:space="preserve"> means no steer; the writer selects from the library.</w:t>
      </w:r>
    </w:p>
    <w:p>
      <w:pPr/>
      <w:r>
        <w:rPr>
          <w:rFonts w:ascii="Arial" w:hAnsi="Arial"/>
          <w:b/>
        </w:rPr>
        <w:t>Pull from.</w:t>
      </w:r>
      <w:r>
        <w:rPr>
          <w:rFonts w:ascii="Arial" w:hAnsi="Arial"/>
        </w:rPr>
        <w:t xml:space="preserve"> Any row can point at a specific wiki block (</w:t>
      </w:r>
      <w:r>
        <w:rPr>
          <w:rFonts w:ascii="Consolas" w:hAnsi="Consolas"/>
          <w:sz w:val="22"/>
        </w:rPr>
        <w:t>wiki/&lt;category&gt;/&lt;block&gt;.md</w:t>
      </w:r>
      <w:r>
        <w:rPr>
          <w:rFonts w:ascii="Arial" w:hAnsi="Arial"/>
        </w:rPr>
        <w:t>) or verbatim pages (</w:t>
      </w:r>
      <w:r>
        <w:rPr>
          <w:rFonts w:ascii="Consolas" w:hAnsi="Consolas"/>
          <w:sz w:val="22"/>
        </w:rPr>
        <w:t>&lt;slug&gt; — &lt;section&gt;, pages a–b</w:t>
      </w:r>
      <w:r>
        <w:rPr>
          <w:rFonts w:ascii="Arial" w:hAnsi="Arial"/>
        </w:rPr>
        <w:t>) to use for that topic. It overrides the preferred block in the Source column. Blank means the writer uses the Source column's block, or searches the library.</w:t>
      </w:r>
    </w:p>
    <w:p>
      <w:pPr/>
      <w:r>
        <w:rPr>
          <w:rFonts w:ascii="Arial" w:hAnsi="Arial"/>
          <w:b/>
        </w:rPr>
        <w:t>Sources.</w:t>
      </w:r>
      <w:r>
        <w:rPr>
          <w:rFonts w:ascii="Arial" w:hAnsi="Arial"/>
        </w:rPr>
        <w:t xml:space="preserve"> RFP-required rows come from the Directive's PROPOSAL OUTLINE table and the requirement exports in </w:t>
      </w:r>
      <w:r>
        <w:rPr>
          <w:rFonts w:ascii="Consolas" w:hAnsi="Consolas"/>
          <w:sz w:val="22"/>
        </w:rPr>
        <w:t>pursuits/richmond-2026/reqs/</w:t>
      </w:r>
      <w:r>
        <w:rPr>
          <w:rFonts w:ascii="Arial" w:hAnsi="Arial"/>
        </w:rPr>
        <w:t xml:space="preserve">. Jacobs-standard rows come from </w:t>
      </w:r>
      <w:r>
        <w:rPr>
          <w:rFonts w:ascii="Consolas" w:hAnsi="Consolas"/>
          <w:sz w:val="22"/>
        </w:rPr>
        <w:t>templates/standard-topics.md</w:t>
      </w:r>
      <w:r>
        <w:rPr>
          <w:rFonts w:ascii="Arial" w:hAnsi="Arial"/>
        </w:rPr>
        <w:t>, each with its preferred wiki block.</w:t>
      </w:r>
    </w:p>
    <w:p>
      <w:pPr>
        <w:pStyle w:val="Heading1"/>
      </w:pPr>
      <w:r>
        <w:rPr>
          <w:rFonts w:ascii="Arial" w:hAnsi="Arial"/>
        </w:rPr>
        <w:t>Evaluation weights</w:t>
      </w:r>
    </w:p>
    <w:tbl>
      <w:tblPr>
        <w:tblW w:type="pct" w:w="5000"/>
        <w:jc w:val="left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4896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Section</w:t>
            </w:r>
          </w:p>
        </w:tc>
        <w:tc>
          <w:tcPr>
            <w:tcW w:type="dxa" w:w="4896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Weight</w:t>
            </w:r>
          </w:p>
        </w:tc>
      </w:tr>
      <w:tr>
        <w:trPr>
          <w:cantSplit/>
        </w:trPr>
        <w:tc>
          <w:tcPr>
            <w:tcW w:type="dxa" w:w="4896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Firm Qualifications and Experience</w:t>
            </w:r>
          </w:p>
        </w:tc>
        <w:tc>
          <w:tcPr>
            <w:tcW w:type="dxa" w:w="4896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15%</w:t>
            </w:r>
          </w:p>
        </w:tc>
      </w:tr>
      <w:tr>
        <w:trPr>
          <w:cantSplit/>
        </w:trPr>
        <w:tc>
          <w:tcPr>
            <w:tcW w:type="dxa" w:w="4896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Project Staffing and Management Plan</w:t>
            </w:r>
          </w:p>
        </w:tc>
        <w:tc>
          <w:tcPr>
            <w:tcW w:type="dxa" w:w="4896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30%</w:t>
            </w:r>
          </w:p>
        </w:tc>
      </w:tr>
      <w:tr>
        <w:trPr>
          <w:cantSplit/>
        </w:trPr>
        <w:tc>
          <w:tcPr>
            <w:tcW w:type="dxa" w:w="4896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Project Understanding and Technical Approach</w:t>
            </w:r>
          </w:p>
        </w:tc>
        <w:tc>
          <w:tcPr>
            <w:tcW w:type="dxa" w:w="4896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30%</w:t>
            </w:r>
          </w:p>
        </w:tc>
      </w:tr>
      <w:tr>
        <w:trPr>
          <w:cantSplit/>
        </w:trPr>
        <w:tc>
          <w:tcPr>
            <w:tcW w:type="dxa" w:w="4896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Proposed Fee</w:t>
            </w:r>
          </w:p>
        </w:tc>
        <w:tc>
          <w:tcPr>
            <w:tcW w:type="dxa" w:w="4896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25%</w:t>
            </w:r>
          </w:p>
        </w:tc>
      </w:tr>
      <w:tr>
        <w:trPr>
          <w:cantSplit/>
        </w:trPr>
        <w:tc>
          <w:tcPr>
            <w:tcW w:type="dxa" w:w="4896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Total</w:t>
            </w:r>
          </w:p>
        </w:tc>
        <w:tc>
          <w:tcPr>
            <w:tcW w:type="dxa" w:w="4896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100%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hAnsi="Arial"/>
        </w:rPr>
        <w:t>RFP cross-check</w:t>
      </w:r>
    </w:p>
    <w:p>
      <w:pPr/>
      <w:r>
        <w:rPr>
          <w:rFonts w:ascii="Arial" w:hAnsi="Arial"/>
        </w:rPr>
        <w:t>Outline rows are the Directive's sub-headings; requirement rows are the RFP's shall/must statements exported to reqs/. The writer answers every requirement row, not only the outline rows.</w:t>
      </w:r>
    </w:p>
    <w:tbl>
      <w:tblPr>
        <w:tblW w:type="pct" w:w="5000"/>
        <w:jc w:val="left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  <w:cantSplit/>
        </w:trPr>
        <w:tc>
          <w:tcPr>
            <w:tcW w:type="dxa" w:w="2448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Section</w:t>
            </w:r>
          </w:p>
        </w:tc>
        <w:tc>
          <w:tcPr>
            <w:tcW w:type="dxa" w:w="2448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Directive outline rows</w:t>
            </w:r>
          </w:p>
        </w:tc>
        <w:tc>
          <w:tcPr>
            <w:tcW w:type="dxa" w:w="2448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RFP requirement rows</w:t>
            </w:r>
          </w:p>
        </w:tc>
        <w:tc>
          <w:tcPr>
            <w:tcW w:type="dxa" w:w="2448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Finding</w:t>
            </w: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8.4.1 Cover Letter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10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21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8.4.2 Executive Summary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8.4.3 Qualifications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5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20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8.4.4 Project Staffing and Management Plan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10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14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8.4.5 Technical Approach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11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150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8.4.6 Required Forms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3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5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8.4.7 Fee Proposal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15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Appendices (if applicable)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1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2448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  <w:b/>
              </w:rPr>
              <w:t>No requirements export in reqs/ — confirm the RFP outline carries this section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hAnsi="Arial"/>
        </w:rPr>
        <w:t>8.4.1 Cover Letter</w:t>
      </w:r>
    </w:p>
    <w:p>
      <w:pPr/>
      <w:r>
        <w:rPr>
          <w:rFonts w:ascii="Arial" w:hAnsi="Arial"/>
          <w:b/>
        </w:rPr>
        <w:t>Start from:</w:t>
      </w:r>
      <w:r>
        <w:rPr>
          <w:rFonts w:ascii="Arial" w:hAnsi="Arial"/>
        </w:rPr>
        <w:t xml:space="preserve"> —</w:t>
      </w:r>
    </w:p>
    <w:tbl>
      <w:tblPr>
        <w:tblW w:type="pct" w:w="5000"/>
        <w:jc w:val="left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 w:val="true"/>
          <w:cantSplit/>
        </w:trPr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#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Topic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Source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Include?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Pull from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Notes / angle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Transmittal, page limit, signature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The proposal must include a letter of transmittal attesting to its accuracy." "A cover letter, not to exceed three pages in length, should…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Confirmation RFP reviewed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Confirm that all elements of this RFP have been reviewed and understood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3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Statement of intent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Include a statement of intent to perform the services as outlined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4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Acceptance of terms, insurance, Service Agreement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Express the company's willingness to agree to the terms and conditions prescribed by this RFP, insurance requirements, and the Service Agre…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5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Company history as wastewater operator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Submit a written description and brief history of the company's experiences, qualifications, and successes in serving as a wastewater facil…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Nearest office and managing office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Indicate the address and telephone number of the office located nearest to Richmond, California, and the office from which the project will…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7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180-day price validity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Stipulate that the proposal price will remain valid for at least 180 days.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8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Single point of contact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Identify a single point of contact for the RFP review process.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9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Communication disclosure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Proposers must disclose whether they or any of their principals, officers, employees, agents, or subcontractors have had any communication…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10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Draft agreement review statement (RFP 10, p.38)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The Proposer shall include in the cover letter a statement confirming that it has reviewed this draft agreement." Context (RFP 10): "The Ci…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  <w:b/>
              </w:rPr>
              <w:t>Cover letter beats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Jacobs standard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11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Named leadership team and signatory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wiki/win-themes/cover-letter-structure-pattern.md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Puts the people the City will call on the first page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12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Day-one priorities and value bullets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wiki/win-themes/cover-letter-day-one-priorities-value-bullets.md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The letter carries the offer, not just the transmittal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13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Site-verified understanding and case for change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wiki/win-themes/exec-summary-site-verified-understanding-and-case-for-change.md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Proves we walked the plant before we wrote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14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Innovation and value-add package in the base fee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wiki/win-themes/value-added-no-cost-enhancements-framing.md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Signals what the City gets beyond scope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15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Partnership close and bottom line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wiki/win-themes/swip-bottom-line-close-and-positioning-statement.md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The last paragraph is the one the evaluator remembers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hAnsi="Arial"/>
        </w:rPr>
        <w:t>8.4.2 Executive Summary</w:t>
      </w:r>
    </w:p>
    <w:p>
      <w:pPr/>
      <w:r>
        <w:rPr>
          <w:rFonts w:ascii="Arial" w:hAnsi="Arial"/>
          <w:b/>
        </w:rPr>
        <w:t>Start from:</w:t>
      </w:r>
      <w:r>
        <w:rPr>
          <w:rFonts w:ascii="Arial" w:hAnsi="Arial"/>
        </w:rPr>
        <w:t xml:space="preserve"> —</w:t>
      </w:r>
    </w:p>
    <w:tbl>
      <w:tblPr>
        <w:tblW w:type="pct" w:w="5000"/>
        <w:jc w:val="left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 w:val="true"/>
          <w:cantSplit/>
        </w:trPr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#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Topic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Source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Include?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Pull from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Notes / angle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Executive Summary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This section should provide an overview of the proposal and value proposition to the City, reflecting the goals and objectives stated in th…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  <w:b/>
              </w:rPr>
              <w:t>Executive summary beats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Jacobs standard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Site-verified understanding and case for change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wiki/win-themes/exec-summary-site-verified-understanding-and-case-for-change.md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Opens with the client's condition, not with Jacobs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3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Technical approach pillars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wiki/win-themes/exec-summary-technical-approach-pillars.md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Three to five pillars that recur as headings in the approach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4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Day-one priorities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wiki/win-themes/cover-letter-day-one-priorities-value-bullets.md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The first 90 days, stated as commitments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5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Transition and day-one readiness commitment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wiki/management-staffing/swip-transition-plan-overview-and-track-record.md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Answers the City's largest anxiety early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Corporate bench and workforce continuity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wiki/qualifications/reach-back-model-and-regional-support.md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Names the support behind the on-site team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7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Compliance, reliability and transparency narrative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wiki/qualifications/environmental-compliance-record-and-transparency-posture.md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The record that makes the promises credible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8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Innovation and value-add package in the base fee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wiki/win-themes/swip-value-added-offerings-package.md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Quantified included offers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9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Required-plans commitment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wiki/management-staffing/om-transition-workplan-phased-schedule.md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Shows every contract deliverable has an owner and a date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10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Partnership close and bottom line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wiki/win-themes/swip-bottom-line-close-and-positioning-statement.md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The closer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hAnsi="Arial"/>
        </w:rPr>
        <w:t>8.4.3 Qualifications (15%)</w:t>
      </w:r>
    </w:p>
    <w:p>
      <w:pPr/>
      <w:r>
        <w:rPr>
          <w:rFonts w:ascii="Arial" w:hAnsi="Arial"/>
          <w:b/>
        </w:rPr>
        <w:t>Start from:</w:t>
      </w:r>
      <w:r>
        <w:rPr>
          <w:rFonts w:ascii="Arial" w:hAnsi="Arial"/>
        </w:rPr>
        <w:t xml:space="preserve"> —</w:t>
      </w:r>
    </w:p>
    <w:tbl>
      <w:tblPr>
        <w:tblW w:type="pct" w:w="5000"/>
        <w:jc w:val="left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 w:val="true"/>
          <w:cantSplit/>
        </w:trPr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#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Topic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Source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Include?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Pull from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Notes / angle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Corporate Profile &amp; Legal Qualifications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- "Include the Proposer's full name, tax identification number, principal office address, telephone numbers, and principal contact person.…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Financial Qualifications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- "Demonstrate the ability to furnish insurance coverage and bonding as specified in Section 7.8 of this RFP." - "NOTE: Notarized statement…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3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References (five required)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Include five (5) references of projects similar in scope and complexity to the City's facilities. Provide a detailed write-up for each proj…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4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Corporate Experience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- "Provide information about the Proposer's overall experience with operating facilities in the United States. Provide details (size, durat…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5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Litigation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Indicate if the proposing Contract Operator was involved with any litigation or contract termination for cause within the past ten (10) yea…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  <w:b/>
              </w:rPr>
              <w:t>Corporate scale and structure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Jacobs standard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Corporate scale, history and O&amp;M portfolio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wiki/qualifications/firm-qualifications-opener-and-corporate-scale.md; wiki/qualifications/omfs-corporate-scale-and-om-portfolio-proof-points.md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Answers "who are you" in numbers the evaluator can check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7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Full-service O&amp;M with engineering and lifecycle integration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wiki/qualifications/full-service-firm-capabilities.md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Differentiates a design-and-operate firm from a pure operator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8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Legal entity, corporate structure and signatory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wiki/qualifications/corporate-entity-legal-qualifications.md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Usually required; also a win theme when the entity is local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9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Financial strength and stability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wiki/qualifications/swip-financial-strength-and-stability.md; wiki/qualifications/financial-strength-low-risk-partner-value-prop.md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Low-risk partner argument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10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Litigation and contract-termination disclosure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wiki/qualifications/swip-financial-transparency-and-litigation-history.md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Disclose only what is asked, in the four-move form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  <w:b/>
              </w:rPr>
              <w:t>Presence and bench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Jacobs standard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11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Regional presence and local resources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wiki/qualifications/regional-presence-local-support-value-prop.md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Proximity of people who can be on site in hours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12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Reach-back and off-site SME bench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wiki/qualifications/reach-back-model-and-regional-support.md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What the base fee includes beyond the on-site staff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13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Management structure and key-personnel roster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wiki/management-staffing/ocwut-staffing-model-fewer-managers-more-doers.md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The people, before the resumes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  <w:b/>
              </w:rPr>
              <w:t>Track record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Jacobs standard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14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Relevant experience table (similar size and complexity)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wiki/qualifications/comparable-scale-track-record-treatment-and-collection.md; wiki/past-performance/similar-facilities-table.md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Evaluators score comparability from a table, not prose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15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References and project descriptions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wiki/qualifications/reference-portfolio-comparability-and-similar-facilities.md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Verbatim from past-performance/ — client names and contacts stay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16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Environmental and permit compliance record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wiki/qualifications/environmental-compliance-record-and-transparency-posture.md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The compliance percentage and its basis year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17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Safety record (TRIR, EMR, DART)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wiki/compliance-plans/health-safety-environmental-compliance-performance-record.md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Always with the industry comparator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18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Client retention and renewal rate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wiki/qualifications/firm-history-corporate-overview.md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The clients-stay argument; no standalone block yet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19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Awards and industry rankings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wiki/qualifications/firm-history-corporate-overview.md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Third-party voice; no standalone block yet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20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Workforce culture, retention and employer of choice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wiki/qualifications/workforce-culture-retention-employer-of-choice-value-prop.md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Answers turnover, the operator's hidden risk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21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Niche capability proofs (odor, biosolids, collections, reuse, MBR)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wiki/qualifications/water-reuse-leadership-and-timeline.md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Pick the one or two the pursuit's hot buttons demand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hAnsi="Arial"/>
        </w:rPr>
        <w:t>8.4.4 Project Staffing and Management Plan (30%)</w:t>
      </w:r>
    </w:p>
    <w:p>
      <w:pPr/>
      <w:r>
        <w:rPr>
          <w:rFonts w:ascii="Arial" w:hAnsi="Arial"/>
          <w:b/>
        </w:rPr>
        <w:t>Start from:</w:t>
      </w:r>
      <w:r>
        <w:rPr>
          <w:rFonts w:ascii="Arial" w:hAnsi="Arial"/>
        </w:rPr>
        <w:t xml:space="preserve"> —</w:t>
      </w:r>
    </w:p>
    <w:tbl>
      <w:tblPr>
        <w:tblW w:type="pct" w:w="5000"/>
        <w:jc w:val="left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 w:val="true"/>
          <w:cantSplit/>
        </w:trPr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#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Topic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Source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Include?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Pull from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Notes / angle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Lead-in / overall approach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The Proposer shall provide a project staffing and management plan to meet the service levels described in this RFP." "Describe the Proposer…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Organizational chart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Provide a clear, concise organizational chart, including subcontractors.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3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Key staff and management team (2 named key personnel required)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Describe the key staff and the management team who will be directly responsible for delivering the services and meeting the City's objectiv…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4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Responsibility &amp; authority; on-site vs. off-site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Provide a clear delineation of responsibility &amp; authority. Fully explain which staff are on-site and off-site, as well as support staff and…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5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Key staff experience, education, certifications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Describe experience, education, and certifications held by key staff.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Technical support team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Describe the technical team supporting the facility's operation and maintenance, including off-site support staff expertise, capabilities,…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7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Staffing adequacy for permit compliance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Describe the proposed plan to ensure adequate staffing of the Facilities in compliance with the permit requirements and to meet the needs o…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8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Transition of management and operation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Describe the Proposer's plan to transition the management and operation of the Facility to the Proposer's control.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9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Subcontractors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Identify and describe the use of any sub-contractors included in the proposal." Related (RFP 8.4.7, p.34): "Subcontracted work must be iden…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10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Backup resources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Backup resources and expertise are available to augment the onsite staff and temporarily fill positions.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  <w:b/>
              </w:rPr>
              <w:t>Organization and people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Jacobs standard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11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Organization chart and FTE roster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wiki/management-staffing/staffing-coverage-shift-oncall-plan.md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The committed org chart, never a range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12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Key-personnel roles and named leads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wiki/management-staffing/ocwut-staffing-model-fewer-managers-more-doers.md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Named people convert a roster into a promise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13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Shift schedule, 24/7 coverage and on-call rotation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wiki/management-staffing/staffing-coverage-shift-oncall-plan.md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Shows how the plant is covered at 2 a.m.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14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Incumbent-staff retention, care and compensation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wiki/management-staffing/workforce-retention-transition-continuity.md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The City's staff are the City's institutional memory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15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Training, licensing, certification and cross-training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wiki/management-staffing/staff-certification-training-program.md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Compliance depends on certified people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16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Recruiting, vacancy management, succession and surge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wiki/management-staffing/workforce-retention-transition-continuity.md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What happens when someone leaves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17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Culture and employee networks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wiki/management-staffing/ocwut-high-performing-culture-and-culture-coach-program.md; wiki/management-staffing/swip-workforce-culture-dei-employee-networks.md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Why people stay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  <w:b/>
              </w:rPr>
              <w:t>Transition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Jacobs standard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18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Phased transition schedule and milestone checklist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wiki/management-staffing/swip-transition-phasing-and-schedule-template.md; wiki/management-staffing/om-transition-workplan-phased-schedule.md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Dates and deliverables, not a philosophy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19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Transition team, org chart and communications plan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wiki/management-staffing/swip-transition-team-and-communications-plan.md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Who runs the transition and who the City calls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20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Transition risk management and due diligence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wiki/management-staffing/wastewater-om-transition-plan-mobilization.md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Names the risks before the City does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21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Transition proof from prior transitions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wiki/management-staffing/swip-transition-plan-overview-and-track-record.md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Displacement stories and testimonials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22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Exit and turnback plan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Fulton and OCWUT carried one; no block yet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hAnsi="Arial"/>
        </w:rPr>
        <w:t>8.4.5 Technical Approach (30%)</w:t>
      </w:r>
    </w:p>
    <w:p>
      <w:pPr/>
      <w:r>
        <w:rPr>
          <w:rFonts w:ascii="Arial" w:hAnsi="Arial"/>
          <w:b/>
        </w:rPr>
        <w:t>Start from:</w:t>
      </w:r>
      <w:r>
        <w:rPr>
          <w:rFonts w:ascii="Arial" w:hAnsi="Arial"/>
        </w:rPr>
        <w:t xml:space="preserve"> —</w:t>
      </w:r>
    </w:p>
    <w:tbl>
      <w:tblPr>
        <w:tblW w:type="pct" w:w="5000"/>
        <w:jc w:val="left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 w:val="true"/>
          <w:cantSplit/>
        </w:trPr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#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Topic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Source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Include?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Pull from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Notes / angle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Lead-in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In this section, the Proposers will address their approach to operating, maintaining, and managing the facilities. This section shall inclu…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Operational Approach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Operational Approach - describing how the Proposer will operate and maintain the Facilities to meet the goals and objectives described in S…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3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Maintenance Plan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Maintenance Plan - Describes how facility maintenance will be managed and performed and the level of expertise that will be provided. Inclu…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4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Approach to Asset Management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Approach to Asset Management" Related deliverable (RFP 3.3): "Develop and implement an asset management plan, including a computerized main…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5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Managing and interacting with the City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Manage and interact with the City in performing the requirements/demands of the City's wastewater plant, including collection and stormwate…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Energy management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Measures for energy management for efficient operations" Related (RFP 8.4.7 Utilities, p.33): "A baseline of 2050 kWh/MG is established, an…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7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Transition Plan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Transition Plan: This plan describes how the Proposer will transition, mobilize, and take over the Facilities, including milestones and an…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8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Specific deliverables (Section 3.3)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Development and implementation of the specific contract deliverables identified in Section 3.3." RFP 3.3 deliverables and due dates: Site-s…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9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Approach to emergencies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Approach to emergencies" Related standard (Attachment A, p.41): "Respond to all emergencies within one (1) hour or sooner during normal bus…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10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Site housekeeping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Site housekeeping" Related standard (Attachment A, p.41): "Maintain all facilities in a clean, neat, and orderly manner. All floors and oth…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11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Innovation and green initiatives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Proposers are encouraged to include any innovations or approaches they deem beneficial to the City, including the goal of embracing “green”…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  <w:b/>
              </w:rPr>
              <w:t>Understanding and phasing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Jacobs standard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12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Project understanding: goals, challenges and response matrix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wiki/technical-approach/project-understanding-goals-challenges-response-matrix.md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The exhibit evaluators read first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13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Phased approach: baseline, stabilize, optimize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wiki/technical-approach/phased-baseline-to-optimization-approach.md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Frames the whole section as a sequence with dates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  <w:b/>
              </w:rPr>
              <w:t>Operations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Jacobs standard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14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Process control and process optimization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wiki/technical-approach/phased-process-control-strategy-stabilize-optimize-sustain.md; wiki/technical-approach/process-control-tools-benefits-table.md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How the plant is run day to day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15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Energy management and chemical efficiency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wiki/technical-approach/energy-management-program-wastewater-om.md; wiki/technical-approach/baseline-driven-energy-management-multi-facility-portfolio.md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Usually a fee lever as well as a scope item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16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Laboratory management, sampling and data integrity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wiki/compliance-plans/laboratory-management-data-integrity-program.md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Compliance data has to be defensible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17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Odor and noise control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wiki/technical-approach/site-specific-odor-control-program.md; wiki/technical-approach/ocwut-four-layer-odor-control-strategy.md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The neighbours' issue; politically live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18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Biosolids, sludge and residuals management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wiki/technical-approach/biosolids-residuals-management-program.md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Cost and compliance exposure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19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Collection system and pump-station O&amp;M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wiki/technical-approach/collection-system-om-program.md; wiki/technical-approach/major-pump-station-operations-odor-hydraulic-reliability.md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When collections are in scope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20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Reuse and advanced water treatment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wiki/qualifications/water-reuse-leadership-and-timeline.md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When reuse is in scope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  <w:b/>
              </w:rPr>
              <w:t>Maintenance and assets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Jacobs standard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21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Asset management system and CMMS (ISO 55001, SAMP, NexGen)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wiki/technical-approach/asset-management-system-iso-55001-samp-governance.md; wiki/technical-approach/nexgen-eam-cmms-governance-and-implementation-continuity.md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The system of record for every promise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22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Preventive, predictive and corrective maintenance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wiki/technical-approach/continual-improvement-and-preventive-maintenance-program.md; wiki/technical-approach/corrective-maintenance-program-failure-chain.md; wiki/technical-approach/predictive-maintenance-technology-suite-program.md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Reliability is the product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23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Spare parts and inventory management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wiki/technical-approach/spare-parts-inventory-management-critical-assets.md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Critical spares on the shelf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24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Capital planning, CIP integration and MOPO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wiki/technical-approach/cip-implementation-and-construction-coordination.md; wiki/technical-approach/arm-tool-asset-replacement-modeling-capital-planning.md; wiki/technical-approach/mopo-and-integrated-om-engineering-cip-advantage.md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The operator who feeds the CIP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25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Maintenance and repair fund governance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wiki/technical-approach/mr-and-rr-fund-management-documentation-discipline.md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Transparency on the fund the City worries about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26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Warranty management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OCWUT carried it; no block yet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  <w:b/>
              </w:rPr>
              <w:t>Compliance, safety, security and emergency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Jacobs standard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27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Regulatory and permit compliance program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wiki/compliance-plans/six-point-compliance-program.md; wiki/compliance-plans/regulatory-compliance-program-leadership-and-governance.md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Zero-violation promise, with the program behind it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28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Safety program (BeyondZero, training, confined space)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wiki/compliance-plans/swip-safety-leadership-and-program-elements.md; wiki/compliance-plans/ocwut-safety-program-leadership-accountability.md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Always, with the record beside it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29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Site security and OT/ICS cybersecurity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wiki/compliance-plans/integrated-safety-security-cybersecurity-program.md; wiki/technical-approach/swip-scada-ic-cybersecurity-approach.md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Now a mandated plan in most RFPs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30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SCADA, OT and I&amp;C modernization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wiki/technical-approach/ot-scada-modernization-roadmap.md; wiki/technical-approach/ocwut-scada-ot-cybersecurity-responsibility-split-exhibit.md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The estate the City cannot see into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31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Emergency response, storm and disaster preparedness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wiki/compliance-plans/swip-emergency-response-regional-resources.md; wiki/compliance-plans/ocwut-emergency-operating-plan-prepare-respond-recover.md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Response times with regional backup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32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QA/QC program and internal audits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wiki/management-staffing/ocwut-qaqc-program-oversight-and-annual-quality-audit.md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Who checks the operator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  <w:b/>
              </w:rPr>
              <w:t>Management, communication and value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Jacobs standard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33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Communications, reporting and KPI dashboards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wiki/technical-approach/tiered-communication-reporting-protocol.md; wiki/technical-approach/swip-communications-and-reporting-plan.md; wiki/technical-approach/swip-digital-kpi-reporting-dashboard.md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What the City sees, and when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34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Community outreach and stewardship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wiki/win-themes/community-stewardship-public-engagement-program.md; wiki/win-themes/fulton-community-outreach-leadership-and-communication-tools.md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The plant's neighbours are the City's constituents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35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Annual innovation workshop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wiki/technical-approach/swip-annual-innovation-workshop.md; wiki/technical-approach/annual-innovation-workshop-program.md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 dated, repeatable commitment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36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Value-added and no-cost innovation menu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wiki/win-themes/value-added-no-cost-enhancements-framing.md; wiki/win-themes/swip-value-added-offerings-package.md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Quantified offers inside the base fee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37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Digital tools (digital twin, analytics, AI)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wiki/technical-approach/swip-replica-digital-twin-plant-digital-tools.md; wiki/technical-approach/swip-process-optimization-digital-modeling.md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Differentiator when the client is modernizing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38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Reach-back and regional SME support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wiki/qualifications/reach-back-model-and-regional-support.md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Repeats the bench where the scorer for approach will see it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39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Transition and mobilization plan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wiki/management-staffing/wastewater-om-transition-plan-mobilization.md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Many RFPs ask for it in the approach as well as staffing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40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Site housekeeping, drain-and-clean and corrosion control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wiki/technical-approach/drain-clean-corrosion-control-housekeeping-program.md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Visible on the site visit; cheap to promise, easy to check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hAnsi="Arial"/>
        </w:rPr>
        <w:t>8.4.6 Required Forms</w:t>
      </w:r>
    </w:p>
    <w:p>
      <w:pPr/>
      <w:r>
        <w:rPr>
          <w:rFonts w:ascii="Arial" w:hAnsi="Arial"/>
          <w:b/>
        </w:rPr>
        <w:t>Start from:</w:t>
      </w:r>
      <w:r>
        <w:rPr>
          <w:rFonts w:ascii="Arial" w:hAnsi="Arial"/>
        </w:rPr>
        <w:t xml:space="preserve"> —</w:t>
      </w:r>
    </w:p>
    <w:tbl>
      <w:tblPr>
        <w:tblW w:type="pct" w:w="5000"/>
        <w:jc w:val="left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 w:val="true"/>
          <w:cantSplit/>
        </w:trPr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#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Topic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Source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Include?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Pull from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Notes / angle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Lead-in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The City requires the following forms to be completed and submitted with the technical proposal as an attachment. These forms are provided…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2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Sanctuary City Contracting Ordinance statement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Sanctuary City Contracting Ordinance" RFP 7.10 (p.27): "The Richmond Sanctuary City Contracting Ordinance No. 12-18 (Attachment D) prohibit…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3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Limited Liability Disclosure Affidavit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Limited Liability Disclosure Affidavit" RFP 7.11 (p.27): "Resolution No. 86-21 (Attachment D), approved by City Council on July 6, 2021, re…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hAnsi="Arial"/>
        </w:rPr>
        <w:t>8.4.7 Fee Proposal (25%)</w:t>
      </w:r>
    </w:p>
    <w:p>
      <w:pPr/>
      <w:r>
        <w:rPr>
          <w:rFonts w:ascii="Arial" w:hAnsi="Arial"/>
        </w:rPr>
        <w:t>Prepared by the estimating team; not planned on this sheet.</w:t>
      </w:r>
    </w:p>
    <w:p>
      <w:pPr>
        <w:pStyle w:val="Heading1"/>
      </w:pPr>
      <w:r>
        <w:rPr>
          <w:rFonts w:ascii="Arial" w:hAnsi="Arial"/>
        </w:rPr>
        <w:t>Appendices (if applicable)</w:t>
      </w:r>
    </w:p>
    <w:p>
      <w:pPr/>
      <w:r>
        <w:rPr>
          <w:rFonts w:ascii="Arial" w:hAnsi="Arial"/>
          <w:b/>
        </w:rPr>
        <w:t>Start from:</w:t>
      </w:r>
      <w:r>
        <w:rPr>
          <w:rFonts w:ascii="Arial" w:hAnsi="Arial"/>
        </w:rPr>
        <w:t xml:space="preserve"> —</w:t>
      </w:r>
    </w:p>
    <w:tbl>
      <w:tblPr>
        <w:tblW w:type="pct" w:w="5000"/>
        <w:jc w:val="left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 w:val="true"/>
          <w:cantSplit/>
        </w:trPr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#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Topic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Source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Include?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Pull from</w:t>
            </w:r>
          </w:p>
        </w:tc>
        <w:tc>
          <w:tcPr>
            <w:tcW w:type="dxa" w:w="16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leHeader"/>
              <w:keepNext/>
              <w:jc w:val="left"/>
            </w:pPr>
            <w:r>
              <w:rPr>
                <w:rFonts w:ascii="Arial" w:hAnsi="Arial"/>
                <w:b/>
              </w:rPr>
              <w:t>Notes / angle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1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Appendices (if applicable)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RFP — Appendices (if applicable)" - listed in the required section order at RFP 8.4, p.28. No further content requirements stated.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☑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required</w:t>
            </w: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keepNext/>
              <w:jc w:val="left"/>
            </w:pPr>
          </w:p>
        </w:tc>
      </w:tr>
      <w:tr>
        <w:trPr>
          <w:cantSplit/>
        </w:trPr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—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Additional topic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  <w:r>
              <w:rPr>
                <w:rFonts w:ascii="Arial" w:hAnsi="Arial"/>
              </w:rPr>
              <w:t>☐</w:t>
            </w: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  <w:tc>
          <w:tcPr>
            <w:tcW w:type="dxa" w:w="1632"/>
            <w:vAlign w:val="top"/>
            <w:tcMar>
              <w:top w:w="40" w:type="dxa"/>
              <w:start w:w="80" w:type="dxa"/>
              <w:bottom w:w="40" w:type="dxa"/>
              <w:end w:w="80" w:type="dxa"/>
            </w:tcMar>
            <w:tcBorders>
              <w:bottom w:val="single" w:sz="4" w:space="0" w:color="E6E6E6"/>
            </w:tcBorders>
          </w:tcPr>
          <w:p>
            <w:pPr>
              <w:pStyle w:val="TableBody"/>
              <w:jc w:val="left"/>
            </w:pP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224" w:left="1224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312"/>
      <w:gridCol w:w="3168"/>
      <w:gridCol w:w="3312"/>
    </w:tblGrid>
    <w:tr>
      <w:tc>
        <w:tcPr>
          <w:tcW w:type="dxa" w:w="3312"/>
          <w:tcMar>
            <w:top w:w="40" w:type="dxa"/>
            <w:start w:w="0" w:type="dxa"/>
            <w:bottom w:w="0" w:type="dxa"/>
            <w:end w:w="0" w:type="dxa"/>
          </w:tcMar>
        </w:tcPr>
        <w:p>
          <w:pPr>
            <w:jc w:val="left"/>
          </w:pPr>
          <w:r>
            <w:rPr>
              <w:rFonts w:ascii="Arial" w:hAnsi="Arial"/>
              <w:color w:val="A5A5A5"/>
              <w:sz w:val="18"/>
            </w:rPr>
            <w:t>Content plan v1</w:t>
          </w:r>
        </w:p>
      </w:tc>
      <w:tc>
        <w:tcPr>
          <w:tcW w:type="dxa" w:w="3168"/>
          <w:tcMar>
            <w:top w:w="40" w:type="dxa"/>
            <w:start w:w="0" w:type="dxa"/>
            <w:bottom w:w="0" w:type="dxa"/>
            <w:end w:w="0" w:type="dxa"/>
          </w:tcMar>
        </w:tcPr>
        <w:p>
          <w:pPr>
            <w:jc w:val="center"/>
          </w:pPr>
          <w:r>
            <w:rPr>
              <w:rFonts w:ascii="Arial" w:hAnsi="Arial"/>
              <w:color w:val="A5A5A5"/>
              <w:sz w:val="18"/>
            </w:rPr>
            <w:t xml:space="preserve">Page </w:t>
          </w:r>
          <w: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Arial" w:hAnsi="Arial"/>
              <w:color w:val="A5A5A5"/>
              <w:sz w:val="18"/>
            </w:rPr>
          </w:r>
        </w:p>
      </w:tc>
      <w:tc>
        <w:tcPr>
          <w:tcW w:type="dxa" w:w="3312"/>
          <w:tcMar>
            <w:top w:w="4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Arial" w:hAnsi="Arial"/>
              <w:color w:val="A5A5A5"/>
              <w:sz w:val="18"/>
            </w:rPr>
            <w:t>© Jacobs 2026 — Confidential — DRAFT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2160"/>
      <w:gridCol w:w="7632"/>
    </w:tblGrid>
    <w:tr>
      <w:tc>
        <w:tcPr>
          <w:tcW w:type="dxa" w:w="2160"/>
          <w:tcMar>
            <w:top w:w="0" w:type="dxa"/>
            <w:start w:w="0" w:type="dxa"/>
            <w:bottom w:w="40" w:type="dxa"/>
            <w:end w:w="0" w:type="dxa"/>
          </w:tcMar>
          <w:tcBorders>
            <w:bottom w:val="single" w:sz="4" w:space="0" w:color="C8C8C8"/>
          </w:tcBorders>
        </w:tcPr>
        <w:p>
          <w:pPr>
            <w:jc w:val="left"/>
          </w:pPr>
          <w:r>
            <w:rPr>
              <w:rFonts w:ascii="Arial" w:hAnsi="Arial"/>
              <w:b/>
              <w:color w:val="000000"/>
              <w:sz w:val="18"/>
            </w:rPr>
            <w:t>Jacobs</w:t>
          </w:r>
        </w:p>
      </w:tc>
      <w:tc>
        <w:tcPr>
          <w:tcW w:type="dxa" w:w="7632"/>
          <w:tcMar>
            <w:top w:w="0" w:type="dxa"/>
            <w:start w:w="0" w:type="dxa"/>
            <w:bottom w:w="40" w:type="dxa"/>
            <w:end w:w="0" w:type="dxa"/>
          </w:tcMar>
          <w:tcBorders>
            <w:bottom w:val="single" w:sz="4" w:space="0" w:color="C8C8C8"/>
          </w:tcBorders>
        </w:tcPr>
        <w:p>
          <w:pPr>
            <w:jc w:val="right"/>
          </w:pPr>
          <w:r>
            <w:rPr>
              <w:rFonts w:ascii="Arial" w:hAnsi="Arial"/>
              <w:color w:val="333333"/>
              <w:sz w:val="18"/>
            </w:rPr>
            <w:t>City of Richmond — Content plan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" w:hAnsi="Arial"/>
      <w:color w:val="3333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231ED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" w:hAnsi="Arial"/>
      <w:color w:val="333333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" w:hAnsi="Arial"/>
      <w:color w:val="333333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after="80"/>
    </w:pPr>
    <w:rPr>
      <w:rFonts w:ascii="Arial" w:hAnsi="Arial"/>
      <w:b w:val="0"/>
      <w:bCs/>
      <w:color w:val="A5A5A5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ndingHead">
    <w:name w:val="Standing Head"/>
    <w:pPr>
      <w:spacing w:after="80" w:line="240" w:lineRule="auto"/>
    </w:pPr>
    <w:rPr>
      <w:rFonts w:ascii="Arial" w:hAnsi="Arial"/>
      <w:b/>
      <w:color w:val="231EDC"/>
      <w:sz w:val="20"/>
    </w:rPr>
  </w:style>
  <w:style w:type="paragraph" w:customStyle="1" w:styleId="SectionTitle">
    <w:name w:val="Section Title"/>
    <w:pPr>
      <w:spacing w:after="80" w:line="252" w:lineRule="auto"/>
    </w:pPr>
    <w:rPr>
      <w:rFonts w:ascii="Arial" w:hAnsi="Arial"/>
      <w:b/>
      <w:color w:val="000000"/>
      <w:sz w:val="48"/>
    </w:rPr>
  </w:style>
  <w:style w:type="paragraph" w:customStyle="1" w:styleId="DeckLine">
    <w:name w:val="Deck Line"/>
    <w:pPr>
      <w:spacing w:after="80" w:line="264" w:lineRule="auto"/>
    </w:pPr>
    <w:rPr>
      <w:rFonts w:ascii="Arial" w:hAnsi="Arial"/>
      <w:b w:val="0"/>
      <w:color w:val="333333"/>
      <w:sz w:val="26"/>
    </w:rPr>
  </w:style>
  <w:style w:type="paragraph" w:customStyle="1" w:styleId="CalloutLabel">
    <w:name w:val="Callout Label"/>
    <w:pPr>
      <w:spacing w:after="80" w:line="240" w:lineRule="auto"/>
    </w:pPr>
    <w:rPr>
      <w:rFonts w:ascii="Arial" w:hAnsi="Arial"/>
      <w:b/>
      <w:color w:val="231EDC"/>
      <w:sz w:val="20"/>
    </w:rPr>
  </w:style>
  <w:style w:type="paragraph" w:customStyle="1" w:styleId="CalloutText">
    <w:name w:val="Callout Text"/>
    <w:pPr>
      <w:spacing w:after="80" w:line="276" w:lineRule="auto"/>
    </w:pPr>
    <w:rPr>
      <w:rFonts w:ascii="Arial" w:hAnsi="Arial"/>
      <w:b w:val="0"/>
      <w:color w:val="333333"/>
      <w:sz w:val="21"/>
    </w:rPr>
  </w:style>
  <w:style w:type="paragraph" w:customStyle="1" w:styleId="FigurePlaceholder">
    <w:name w:val="Figure Placeholder"/>
    <w:pPr>
      <w:spacing w:after="80" w:line="240" w:lineRule="auto"/>
    </w:pPr>
    <w:rPr>
      <w:rFonts w:ascii="Arial" w:hAnsi="Arial"/>
      <w:b w:val="0"/>
      <w:color w:val="A5A5A5"/>
      <w:sz w:val="22"/>
    </w:rPr>
  </w:style>
  <w:style w:type="paragraph" w:customStyle="1" w:styleId="DraftBanner">
    <w:name w:val="Draft Banner"/>
    <w:pPr>
      <w:spacing w:after="80" w:line="240" w:lineRule="auto"/>
    </w:pPr>
    <w:rPr>
      <w:rFonts w:ascii="Arial" w:hAnsi="Arial"/>
      <w:b/>
      <w:color w:val="333333"/>
      <w:sz w:val="24"/>
    </w:rPr>
  </w:style>
  <w:style w:type="paragraph" w:customStyle="1" w:styleId="TableBody">
    <w:name w:val="Table Body"/>
    <w:pPr>
      <w:spacing w:after="80" w:line="252" w:lineRule="auto"/>
    </w:pPr>
    <w:rPr>
      <w:rFonts w:ascii="Arial" w:hAnsi="Arial"/>
      <w:b w:val="0"/>
      <w:color w:val="333333"/>
      <w:sz w:val="20"/>
    </w:rPr>
  </w:style>
  <w:style w:type="paragraph" w:customStyle="1" w:styleId="TableHeader">
    <w:name w:val="Table Header"/>
    <w:pPr>
      <w:spacing w:after="80" w:line="252" w:lineRule="auto"/>
    </w:pPr>
    <w:rPr>
      <w:rFonts w:ascii="Arial" w:hAnsi="Arial"/>
      <w:b/>
      <w:color w:val="000000"/>
      <w:sz w:val="20"/>
    </w:rPr>
  </w:style>
  <w:style w:type="paragraph" w:customStyle="1" w:styleId="DraftBody">
    <w:name w:val="Draft Body"/>
    <w:pPr>
      <w:spacing w:after="80" w:line="264" w:lineRule="auto"/>
    </w:pPr>
    <w:rPr>
      <w:rFonts w:ascii="Arial" w:hAnsi="Arial"/>
      <w:b w:val="0"/>
      <w:color w:val="333333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