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andingHead"/>
      </w:pPr>
      <w:r>
        <w:t>PURSUIT SPEC SHEET V1</w:t>
      </w:r>
    </w:p>
    <w:p>
      <w:pPr>
        <w:pStyle w:val="SectionTitle"/>
      </w:pPr>
      <w:r>
        <w:rPr>
          <w:rFonts w:ascii="Arial" w:hAnsi="Arial"/>
        </w:rPr>
        <w:t>Pursuit spec sheet — City of Richmond, CA WPCP, Collection and Stormwater O&amp;M</w:t>
      </w:r>
    </w:p>
    <w:p>
      <w:pPr>
        <w:pStyle w:val="DeckLine"/>
      </w:pPr>
      <w:r>
        <w:t>The single source of numbers, proof, references, stories, quotes, gaps, budgets and decisions for the Richmond proposal. Approve it, and seven writers can work three weeks without asking a question this sheet does not answer.</w:t>
      </w:r>
    </w:p>
    <w:p>
      <w:pPr>
        <w:pStyle w:val="Heading1"/>
      </w:pPr>
      <w:r>
        <w:rPr>
          <w:rFonts w:ascii="Arial" w:hAnsi="Arial"/>
        </w:rPr>
        <w:t>How to use this sheet</w:t>
      </w:r>
    </w:p>
    <w:p>
      <w:pPr/>
      <w:r>
        <w:rPr>
          <w:rFonts w:ascii="Arial" w:hAnsi="Arial"/>
        </w:rPr>
        <w:t xml:space="preserve">Proposals are due </w:t>
      </w:r>
      <w:r>
        <w:rPr>
          <w:rFonts w:ascii="Arial" w:hAnsi="Arial"/>
          <w:b/>
        </w:rPr>
        <w:t>2026-09-29 at 14:00 PT</w:t>
      </w:r>
      <w:r>
        <w:rPr>
          <w:rFonts w:ascii="Arial" w:hAnsi="Arial"/>
        </w:rPr>
        <w:t xml:space="preserve"> via BidsOnline. Interviews are </w:t>
      </w:r>
      <w:r>
        <w:rPr>
          <w:rFonts w:ascii="Arial" w:hAnsi="Arial"/>
          <w:b/>
        </w:rPr>
        <w:t>2026-10-28</w:t>
      </w:r>
      <w:r>
        <w:rPr>
          <w:rFonts w:ascii="Arial" w:hAnsi="Arial"/>
        </w:rPr>
        <w:t xml:space="preserve">. The contract starts </w:t>
      </w:r>
      <w:r>
        <w:rPr>
          <w:rFonts w:ascii="Arial" w:hAnsi="Arial"/>
          <w:b/>
        </w:rPr>
        <w:t>2027-05-15</w:t>
      </w:r>
      <w:r>
        <w:rPr>
          <w:rFonts w:ascii="Arial" w:hAnsi="Arial"/>
        </w:rPr>
        <w:t>.</w:t>
      </w:r>
    </w:p>
    <w:p>
      <w:pPr/>
      <w:r>
        <w:rPr>
          <w:rFonts w:ascii="Arial" w:hAnsi="Arial"/>
        </w:rPr>
        <w:t xml:space="preserve">The RFP scores four things (C-073): Firm Qualifications and Experience </w:t>
      </w:r>
      <w:r>
        <w:rPr>
          <w:rFonts w:ascii="Arial" w:hAnsi="Arial"/>
          <w:b/>
        </w:rPr>
        <w:t>15%</w:t>
      </w:r>
      <w:r>
        <w:rPr>
          <w:rFonts w:ascii="Arial" w:hAnsi="Arial"/>
        </w:rPr>
        <w:t xml:space="preserve">, Project Staffing and Management Plan </w:t>
      </w:r>
      <w:r>
        <w:rPr>
          <w:rFonts w:ascii="Arial" w:hAnsi="Arial"/>
          <w:b/>
        </w:rPr>
        <w:t>30%</w:t>
      </w:r>
      <w:r>
        <w:rPr>
          <w:rFonts w:ascii="Arial" w:hAnsi="Arial"/>
        </w:rPr>
        <w:t xml:space="preserve">, Project Understanding and Technical Approach </w:t>
      </w:r>
      <w:r>
        <w:rPr>
          <w:rFonts w:ascii="Arial" w:hAnsi="Arial"/>
          <w:b/>
        </w:rPr>
        <w:t>30%</w:t>
      </w:r>
      <w:r>
        <w:rPr>
          <w:rFonts w:ascii="Arial" w:hAnsi="Arial"/>
        </w:rPr>
        <w:t xml:space="preserve">, Fee </w:t>
      </w:r>
      <w:r>
        <w:rPr>
          <w:rFonts w:ascii="Arial" w:hAnsi="Arial"/>
          <w:b/>
        </w:rPr>
        <w:t>25%</w:t>
      </w:r>
      <w:r>
        <w:rPr>
          <w:rFonts w:ascii="Arial" w:hAnsi="Arial"/>
        </w:rPr>
        <w:t>. Fee opens only after the panel has scored the narrative and the interview (C-077), so 75 of the 100 points are decided by 40 narrative pages, the reference checks the City reserves the right to make (C-075), and the interview. Every row on this sheet exists to move one of those 75 points, or to keep the proposal inside the responsiveness gate that precedes them.</w:t>
      </w:r>
    </w:p>
    <w:p>
      <w:pPr/>
      <w:r>
        <w:rPr>
          <w:rFonts w:ascii="Arial" w:hAnsi="Arial"/>
        </w:rPr>
        <w:t>Five constraints shape every decision below.</w:t>
      </w:r>
    </w:p>
    <w:p>
      <w:pPr>
        <w:pStyle w:val="ListNumber"/>
      </w:pPr>
      <w:r>
        <w:rPr>
          <w:rFonts w:ascii="Arial" w:hAnsi="Arial"/>
          <w:b/>
        </w:rPr>
        <w:t>No clarification is available.</w:t>
      </w:r>
      <w:r>
        <w:rPr>
          <w:rFonts w:ascii="Arial" w:hAnsi="Arial"/>
        </w:rPr>
        <w:t xml:space="preserve"> The question window closed 2026-09-04 (C-012). Ambiguities are settled here, conservatively, and recorded in Section 11.</w:t>
      </w:r>
    </w:p>
    <w:p>
      <w:pPr>
        <w:pStyle w:val="ListNumber"/>
      </w:pPr>
      <w:r>
        <w:rPr>
          <w:rFonts w:ascii="Arial" w:hAnsi="Arial"/>
          <w:b/>
        </w:rPr>
        <w:t>Responsiveness is a gate, not a score.</w:t>
      </w:r>
      <w:r>
        <w:rPr>
          <w:rFonts w:ascii="Arial" w:hAnsi="Arial"/>
        </w:rPr>
        <w:t xml:space="preserve"> C-072, C-039 and C-074 let the City eliminate a proposal for a missing mandatory element or a format deviation before scoring begins. The gate items are the notarized surety statement from the surety company itself (C-047), two named key personnel (C-054), five references carrying all six C-052 fields, both Attachment D forms (C-057), and the mandated section order of C-036.</w:t>
      </w:r>
    </w:p>
    <w:p>
      <w:pPr>
        <w:pStyle w:val="ListNumber"/>
      </w:pPr>
      <w:r>
        <w:rPr>
          <w:rFonts w:ascii="Arial" w:hAnsi="Arial"/>
          <w:b/>
        </w:rPr>
        <w:t>Weight decides pages.</w:t>
      </w:r>
      <w:r>
        <w:rPr>
          <w:rFonts w:ascii="Arial" w:hAnsi="Arial"/>
        </w:rPr>
        <w:t xml:space="preserve"> Qualifications carries 15 points; Staffing and Technical Approach carry 30 each. Section 8 allocates pages on that basis, which reverses the pilot.</w:t>
      </w:r>
    </w:p>
    <w:p>
      <w:pPr>
        <w:pStyle w:val="ListNumber"/>
      </w:pPr>
      <w:r>
        <w:rPr>
          <w:rFonts w:ascii="Arial" w:hAnsi="Arial"/>
          <w:b/>
        </w:rPr>
        <w:t>Never invent a number.</w:t>
      </w:r>
      <w:r>
        <w:rPr>
          <w:rFonts w:ascii="Arial" w:hAnsi="Arial"/>
        </w:rPr>
        <w:t xml:space="preserve"> Every figure here is copied from </w:t>
      </w:r>
      <w:r>
        <w:rPr>
          <w:rFonts w:ascii="Consolas" w:hAnsi="Consolas"/>
          <w:sz w:val="22"/>
        </w:rPr>
        <w:t>proof-points/registry.md</w:t>
      </w:r>
      <w:r>
        <w:rPr>
          <w:rFonts w:ascii="Arial" w:hAnsi="Arial"/>
        </w:rPr>
        <w:t xml:space="preserve">, a </w:t>
      </w:r>
      <w:r>
        <w:rPr>
          <w:rFonts w:ascii="Consolas" w:hAnsi="Consolas"/>
          <w:sz w:val="22"/>
        </w:rPr>
        <w:t>verbatim/&lt;slug&gt;/pages/pNNNN.md</w:t>
      </w:r>
      <w:r>
        <w:rPr>
          <w:rFonts w:ascii="Arial" w:hAnsi="Arial"/>
        </w:rPr>
        <w:t xml:space="preserve"> page, a wiki block, the requirement exports in </w:t>
      </w:r>
      <w:r>
        <w:rPr>
          <w:rFonts w:ascii="Consolas" w:hAnsi="Consolas"/>
          <w:sz w:val="22"/>
        </w:rPr>
        <w:t>pursuits/richmond-2026/reqs/</w:t>
      </w:r>
      <w:r>
        <w:rPr>
          <w:rFonts w:ascii="Arial" w:hAnsi="Arial"/>
        </w:rPr>
        <w:t xml:space="preserve">, </w:t>
      </w:r>
      <w:r>
        <w:rPr>
          <w:rFonts w:ascii="Consolas" w:hAnsi="Consolas"/>
          <w:sz w:val="22"/>
        </w:rPr>
        <w:t>pursuit.md</w:t>
      </w:r>
      <w:r>
        <w:rPr>
          <w:rFonts w:ascii="Arial" w:hAnsi="Arial"/>
        </w:rPr>
        <w:t xml:space="preserve">, or </w:t>
      </w:r>
      <w:r>
        <w:rPr>
          <w:rFonts w:ascii="Consolas" w:hAnsi="Consolas"/>
          <w:sz w:val="22"/>
        </w:rPr>
        <w:t>trip-report-digest.md</w:t>
      </w:r>
      <w:r>
        <w:rPr>
          <w:rFonts w:ascii="Arial" w:hAnsi="Arial"/>
        </w:rPr>
        <w:t>, and carries its source. Where sources conflict, every observed value is shown with its source and a lock is recommended with a reason. Where nothing exists there is a gap decision in Section 7, never a placeholder in body text (voice guide Rule 35: zero editorial residue).</w:t>
      </w:r>
    </w:p>
    <w:p>
      <w:pPr>
        <w:pStyle w:val="ListNumber"/>
      </w:pPr>
      <w:r>
        <w:rPr>
          <w:rFonts w:ascii="Arial" w:hAnsi="Arial"/>
          <w:b/>
        </w:rPr>
        <w:t>Nothing on this sheet authorizes a bracket, a hedge or a tag in body text.</w:t>
      </w:r>
      <w:r>
        <w:rPr>
          <w:rFonts w:ascii="Arial" w:hAnsi="Arial"/>
        </w:rPr>
        <w:t xml:space="preserve"> If a value is not locked by production lock, the writer uses the write-around named here.</w:t>
      </w:r>
    </w:p>
    <w:p>
      <w:pPr/>
      <w:r>
        <w:rPr>
          <w:rFonts w:ascii="Arial" w:hAnsi="Arial"/>
          <w:b/>
        </w:rPr>
        <w:t>Source keys.</w:t>
      </w:r>
      <w:r>
        <w:rPr>
          <w:rFonts w:ascii="Arial" w:hAnsi="Arial"/>
        </w:rPr>
        <w:t xml:space="preserve"> </w:t>
      </w:r>
      <w:r>
        <w:rPr>
          <w:rFonts w:ascii="Consolas" w:hAnsi="Consolas"/>
          <w:sz w:val="22"/>
        </w:rPr>
        <w:t>PP-####</w:t>
      </w:r>
      <w:r>
        <w:rPr>
          <w:rFonts w:ascii="Arial" w:hAnsi="Arial"/>
        </w:rPr>
        <w:t xml:space="preserve"> = </w:t>
      </w:r>
      <w:r>
        <w:rPr>
          <w:rFonts w:ascii="Consolas" w:hAnsi="Consolas"/>
          <w:sz w:val="22"/>
        </w:rPr>
        <w:t>proof-points/registry.md</w:t>
      </w:r>
      <w:r>
        <w:rPr>
          <w:rFonts w:ascii="Arial" w:hAnsi="Arial"/>
        </w:rPr>
        <w:t xml:space="preserve">. </w:t>
      </w:r>
      <w:r>
        <w:rPr>
          <w:rFonts w:ascii="Consolas" w:hAnsi="Consolas"/>
          <w:sz w:val="22"/>
        </w:rPr>
        <w:t>PPN-##</w:t>
      </w:r>
      <w:r>
        <w:rPr>
          <w:rFonts w:ascii="Arial" w:hAnsi="Arial"/>
        </w:rPr>
        <w:t xml:space="preserve"> = a real fact sourced to a verbatim page but </w:t>
      </w:r>
      <w:r>
        <w:rPr>
          <w:rFonts w:ascii="Arial" w:hAnsi="Arial"/>
          <w:b/>
        </w:rPr>
        <w:t>not yet registered</w:t>
      </w:r>
      <w:r>
        <w:rPr>
          <w:rFonts w:ascii="Arial" w:hAnsi="Arial"/>
        </w:rPr>
        <w:t xml:space="preserve"> — register before a writer opens the section (D-24). </w:t>
      </w:r>
      <w:r>
        <w:rPr>
          <w:rFonts w:ascii="Consolas" w:hAnsi="Consolas"/>
          <w:sz w:val="22"/>
        </w:rPr>
        <w:t>TM-####</w:t>
      </w:r>
      <w:r>
        <w:rPr>
          <w:rFonts w:ascii="Arial" w:hAnsi="Arial"/>
        </w:rPr>
        <w:t xml:space="preserve"> = </w:t>
      </w:r>
      <w:r>
        <w:rPr>
          <w:rFonts w:ascii="Consolas" w:hAnsi="Consolas"/>
          <w:sz w:val="22"/>
        </w:rPr>
        <w:t>testimonials/inventory.md</w:t>
      </w:r>
      <w:r>
        <w:rPr>
          <w:rFonts w:ascii="Arial" w:hAnsi="Arial"/>
        </w:rPr>
        <w:t xml:space="preserve">. </w:t>
      </w:r>
      <w:r>
        <w:rPr>
          <w:rFonts w:ascii="Consolas" w:hAnsi="Consolas"/>
          <w:sz w:val="22"/>
        </w:rPr>
        <w:t>ST-####</w:t>
      </w:r>
      <w:r>
        <w:rPr>
          <w:rFonts w:ascii="Arial" w:hAnsi="Arial"/>
        </w:rPr>
        <w:t xml:space="preserve"> = </w:t>
      </w:r>
      <w:r>
        <w:rPr>
          <w:rFonts w:ascii="Consolas" w:hAnsi="Consolas"/>
          <w:sz w:val="22"/>
        </w:rPr>
        <w:t>stories/catalog.md</w:t>
      </w:r>
      <w:r>
        <w:rPr>
          <w:rFonts w:ascii="Arial" w:hAnsi="Arial"/>
        </w:rPr>
        <w:t xml:space="preserve">. </w:t>
      </w:r>
      <w:r>
        <w:rPr>
          <w:rFonts w:ascii="Consolas" w:hAnsi="Consolas"/>
          <w:sz w:val="22"/>
        </w:rPr>
        <w:t>C-###</w:t>
      </w:r>
      <w:r>
        <w:rPr>
          <w:rFonts w:ascii="Arial" w:hAnsi="Arial"/>
        </w:rPr>
        <w:t xml:space="preserve"> / </w:t>
      </w:r>
      <w:r>
        <w:rPr>
          <w:rFonts w:ascii="Consolas" w:hAnsi="Consolas"/>
          <w:sz w:val="22"/>
        </w:rPr>
        <w:t>S-###</w:t>
      </w:r>
      <w:r>
        <w:rPr>
          <w:rFonts w:ascii="Arial" w:hAnsi="Arial"/>
        </w:rPr>
        <w:t xml:space="preserve"> = requirement / scope-register item in </w:t>
      </w:r>
      <w:r>
        <w:rPr>
          <w:rFonts w:ascii="Consolas" w:hAnsi="Consolas"/>
          <w:sz w:val="22"/>
        </w:rPr>
        <w:t>pursuits/richmond-2026/reqs/</w:t>
      </w:r>
      <w:r>
        <w:rPr>
          <w:rFonts w:ascii="Arial" w:hAnsi="Arial"/>
        </w:rPr>
        <w:t xml:space="preserve">. </w:t>
      </w:r>
      <w:r>
        <w:rPr>
          <w:rFonts w:ascii="Consolas" w:hAnsi="Consolas"/>
          <w:sz w:val="22"/>
        </w:rPr>
        <w:t>FP §x</w:t>
      </w:r>
      <w:r>
        <w:rPr>
          <w:rFonts w:ascii="Arial" w:hAnsi="Arial"/>
        </w:rPr>
        <w:t xml:space="preserve"> = </w:t>
      </w:r>
      <w:r>
        <w:rPr>
          <w:rFonts w:ascii="Consolas" w:hAnsi="Consolas"/>
          <w:sz w:val="22"/>
        </w:rPr>
        <w:t>Desktop\Richmond\Draft Sections\02 Claude Working Drafts\_work\fp_03_qualifications.md</w:t>
      </w:r>
      <w:r>
        <w:rPr>
          <w:rFonts w:ascii="Arial" w:hAnsi="Arial"/>
        </w:rPr>
        <w:t xml:space="preserve">. </w:t>
      </w:r>
      <w:r>
        <w:rPr>
          <w:rFonts w:ascii="Consolas" w:hAnsi="Consolas"/>
          <w:sz w:val="22"/>
        </w:rPr>
        <w:t>TRIP</w:t>
      </w:r>
      <w:r>
        <w:rPr>
          <w:rFonts w:ascii="Arial" w:hAnsi="Arial"/>
        </w:rPr>
        <w:t xml:space="preserve"> = </w:t>
      </w:r>
      <w:r>
        <w:rPr>
          <w:rFonts w:ascii="Consolas" w:hAnsi="Consolas"/>
          <w:sz w:val="22"/>
        </w:rPr>
        <w:t>pursuits/richmond-2026/trip-report-digest.md</w:t>
      </w:r>
      <w:r>
        <w:rPr>
          <w:rFonts w:ascii="Arial" w:hAnsi="Arial"/>
        </w:rPr>
        <w:t xml:space="preserve">. </w:t>
      </w:r>
      <w:r>
        <w:rPr>
          <w:rFonts w:ascii="Consolas" w:hAnsi="Consolas"/>
          <w:sz w:val="22"/>
        </w:rPr>
        <w:t>hull</w:t>
      </w:r>
      <w:r>
        <w:rPr>
          <w:rFonts w:ascii="Arial" w:hAnsi="Arial"/>
        </w:rPr>
        <w:t xml:space="preserve"> = </w:t>
      </w:r>
      <w:r>
        <w:rPr>
          <w:rFonts w:ascii="Consolas" w:hAnsi="Consolas"/>
          <w:sz w:val="22"/>
        </w:rPr>
        <w:t>verbatim/hull-wwtf-om-2026</w:t>
      </w:r>
      <w:r>
        <w:rPr>
          <w:rFonts w:ascii="Arial" w:hAnsi="Arial"/>
        </w:rPr>
        <w:t xml:space="preserve">. </w:t>
      </w:r>
      <w:r>
        <w:rPr>
          <w:rFonts w:ascii="Consolas" w:hAnsi="Consolas"/>
          <w:sz w:val="22"/>
        </w:rPr>
        <w:t>sm</w:t>
      </w:r>
      <w:r>
        <w:rPr>
          <w:rFonts w:ascii="Arial" w:hAnsi="Arial"/>
        </w:rPr>
        <w:t xml:space="preserve"> = </w:t>
      </w:r>
      <w:r>
        <w:rPr>
          <w:rFonts w:ascii="Consolas" w:hAnsi="Consolas"/>
          <w:sz w:val="22"/>
        </w:rPr>
        <w:t>verbatim/santamonica-swip-om-2025</w:t>
      </w:r>
      <w:r>
        <w:rPr>
          <w:rFonts w:ascii="Arial" w:hAnsi="Arial"/>
        </w:rPr>
        <w:t xml:space="preserve">. </w:t>
      </w:r>
      <w:r>
        <w:rPr>
          <w:rFonts w:ascii="Consolas" w:hAnsi="Consolas"/>
          <w:sz w:val="22"/>
        </w:rPr>
        <w:t>ocwut</w:t>
      </w:r>
      <w:r>
        <w:rPr>
          <w:rFonts w:ascii="Arial" w:hAnsi="Arial"/>
        </w:rPr>
        <w:t xml:space="preserve"> = </w:t>
      </w:r>
      <w:r>
        <w:rPr>
          <w:rFonts w:ascii="Consolas" w:hAnsi="Consolas"/>
          <w:sz w:val="22"/>
        </w:rPr>
        <w:t>verbatim/ocwut-16-26</w:t>
      </w:r>
      <w:r>
        <w:rPr>
          <w:rFonts w:ascii="Arial" w:hAnsi="Arial"/>
        </w:rPr>
        <w:t xml:space="preserve">. </w:t>
      </w:r>
      <w:r>
        <w:rPr>
          <w:rFonts w:ascii="Consolas" w:hAnsi="Consolas"/>
          <w:sz w:val="22"/>
        </w:rPr>
        <w:t>fulton</w:t>
      </w:r>
      <w:r>
        <w:rPr>
          <w:rFonts w:ascii="Arial" w:hAnsi="Arial"/>
        </w:rPr>
        <w:t xml:space="preserve"> = </w:t>
      </w:r>
      <w:r>
        <w:rPr>
          <w:rFonts w:ascii="Consolas" w:hAnsi="Consolas"/>
          <w:sz w:val="22"/>
        </w:rPr>
        <w:t>verbatim/fulton-county-2025</w:t>
      </w:r>
      <w:r>
        <w:rPr>
          <w:rFonts w:ascii="Arial" w:hAnsi="Arial"/>
        </w:rPr>
        <w:t>.</w:t>
      </w:r>
    </w:p>
    <w:p>
      <w:pPr/>
      <w:r>
        <w:rPr>
          <w:rFonts w:ascii="Arial" w:hAnsi="Arial"/>
          <w:b/>
        </w:rPr>
        <w:t>Production dates assumed.</w:t>
      </w:r>
      <w:r>
        <w:rPr>
          <w:rFonts w:ascii="Arial" w:hAnsi="Arial"/>
        </w:rPr>
        <w:t xml:space="preserve"> Pink team 2026-09-15 · Red team 2026-09-18 · production lock 2026-09-24 · submission 2026-09-29 · interview 2026-10-28.</w:t>
      </w:r>
    </w:p>
    <w:p>
      <w:pPr>
        <w:pStyle w:val="Heading1"/>
      </w:pPr>
      <w:r>
        <w:rPr>
          <w:rFonts w:ascii="Arial" w:hAnsi="Arial"/>
        </w:rPr>
        <w:t>Where the three drafts disagreed, and what this sheet chose</w:t>
      </w:r>
    </w:p>
    <w:p>
      <w:pPr/>
      <w:r>
        <w:rPr>
          <w:rFonts w:ascii="Arial" w:hAnsi="Arial"/>
        </w:rPr>
        <w:t xml:space="preserve">This sheet is built from three angle drafts (evaluator-first, proof-first, story-first) in </w:t>
      </w:r>
      <w:r>
        <w:rPr>
          <w:rFonts w:ascii="Consolas" w:hAnsi="Consolas"/>
          <w:sz w:val="22"/>
        </w:rPr>
        <w:t>_drafts/</w:t>
      </w:r>
      <w:r>
        <w:rPr>
          <w:rFonts w:ascii="Arial" w:hAnsi="Arial"/>
        </w:rPr>
        <w:t>. Eleven substantive disagreements were resolved as follows. Each resolution was checked against the source, not settled by majority.</w:t>
      </w:r>
    </w:p>
    <w:tbl>
      <w:tblPr>
        <w:tblW w:type="pct" w:w="5000"/>
        <w:jc w:val="left"/>
        <w:tblLayout w:type="autofit"/>
        <w:tblLook w:firstColumn="1" w:firstRow="1" w:lastColumn="0" w:lastRow="0" w:noHBand="0" w:noVBand="1" w:val="04A0"/>
      </w:tblPr>
      <w:tblGrid>
        <w:gridCol w:w="2448"/>
        <w:gridCol w:w="2448"/>
        <w:gridCol w:w="2448"/>
        <w:gridCol w:w="2448"/>
      </w:tblGrid>
      <w:tr>
        <w:trPr>
          <w:tblHeader w:val="true"/>
          <w:cantSplit/>
        </w:trPr>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The disagreement</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Chosen</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Why</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"55%+ odor complaint reduction" — two drafts said DROP as unsourced; one said the source exists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Keep it.</w:t>
            </w:r>
            <w:r>
              <w:rPr>
                <w:rFonts w:ascii="Arial" w:hAnsi="Arial"/>
              </w:rPr>
              <w:t xml:space="preserve"> The figure is real: "Odor complaints reduced by more than 55% between contract years one and two", </w:t>
            </w:r>
            <w:r>
              <w:rPr>
                <w:rFonts w:ascii="Consolas" w:hAnsi="Consolas"/>
                <w:sz w:val="22"/>
              </w:rPr>
              <w:t>ocwut/pages/p0170.md</w:t>
            </w:r>
            <w:r>
              <w:rPr>
                <w:rFonts w:ascii="Arial" w:hAnsi="Arial"/>
              </w:rPr>
              <w:t xml:space="preserve"> para 9, with five further placements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Verified in the verbatim layer. Two drafts were reading only the wiki blocks and the pilot fact pack, which predate the OCWUT extraction. Odor is Richmond's most politically charged issue and this is the only percentage we hold on it. Client-permission-needed (PPN-01, G-01)</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Which five references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Waterbury · Vancouver · West Basin · Clovis · Southbridge</w:t>
            </w:r>
            <w:r>
              <w:rPr>
                <w:rFonts w:ascii="Arial" w:hAnsi="Arial"/>
              </w:rPr>
              <w:t>, bench San Marcos and Traverse City</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is the only project in the bank carrying primary clarifiers, biofilter odor control, stormwater infrastructure and a displacement of the same incumbent, and it holds the $25M SCADA modernization that answers the OT hot button. SHVUA leaves the five: two unresolved conflicts (36 vs 39 miles; a literal "$xxM" fee placeholder) and no usable quote. San Marcos is process-identical but has no contact, fee or dates in the bank, so it is bench until G-11 closes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Do appendices count inside the 40 pages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Yes — appendix narrative counts.</w:t>
            </w:r>
            <w:r>
              <w:rPr>
                <w:rFonts w:ascii="Arial" w:hAnsi="Arial"/>
              </w:rPr>
              <w:t xml:space="preserve"> Only bios, required forms, financial statements and the notarized surety statement sit outside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C-037 excludes "bios, required forms, and supplemental information such as financials or promotional materials" — it does not exclude appendices generically, and C-036 names "Appendices (if applicable)" as a mandated section. With C-012 closed and C-039 permitting disqualification, the conservative reading is the only defensible one. Section 8 therefore carries a real appendix line of 3 pages inside the 40 — the defect every judge found in the source drafts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 to structure 8.4.5 — C-036's five sub-headings or C-055's ten items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Both.</w:t>
            </w:r>
            <w:r>
              <w:rPr>
                <w:rFonts w:ascii="Arial" w:hAnsi="Arial"/>
              </w:rPr>
              <w:t xml:space="preserve"> Organize on C-036's five headings, in C-036's order; nest C-055.3,.4,.5,.8 and.9 as named sub-headings inside them</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C-036 states the mandated order and C-039 permits disqualification for failing to organize as outlined. C-055 says "at a minimum", so its extra items are content, not headings. No source draft did both</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collection mileage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approximately 310 miles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Four placements at 310, including the ocwut reference sheet (</w:t>
            </w:r>
            <w:r>
              <w:rPr>
                <w:rFonts w:ascii="Consolas" w:hAnsi="Consolas"/>
                <w:sz w:val="22"/>
              </w:rPr>
              <w:t>p0169</w:t>
            </w:r>
            <w:r>
              <w:rPr>
                <w:rFonts w:ascii="Arial" w:hAnsi="Arial"/>
              </w:rPr>
              <w:t xml:space="preserve"> para 5) and the Waterbury project sheet, against one at 320 in Exhibit 3-3. Write-around "more than 300 miles" only if the account team cannot confirm</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wet-weather flow</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wet-weather capacity above 54 MGD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Consolas" w:hAnsi="Consolas"/>
                <w:sz w:val="22"/>
              </w:rPr>
              <w:t>ocwut/p0169</w:t>
            </w:r>
            <w:r>
              <w:rPr>
                <w:rFonts w:ascii="Arial" w:hAnsi="Arial"/>
              </w:rPr>
              <w:t xml:space="preserve"> para 5 reads "with wet weather capacity above 54 MGD"; the hull "&lt;54 MGD" is a transcription of the same sentence. Write-around "wet-weather flows well above design capacity" if unconfirmed</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start year — 2015 or 2016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Both, and they do not conflict:</w:t>
            </w:r>
            <w:r>
              <w:rPr>
                <w:rFonts w:ascii="Arial" w:hAnsi="Arial"/>
              </w:rPr>
              <w:t xml:space="preserve"> contract start 2015; the incumbent transition completed 2016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Consolas" w:hAnsi="Consolas"/>
                <w:sz w:val="22"/>
              </w:rPr>
              <w:t>ocwut/p0172</w:t>
            </w:r>
            <w:r>
              <w:rPr>
                <w:rFonts w:ascii="Arial" w:hAnsi="Arial"/>
              </w:rPr>
              <w:t xml:space="preserve"> para 5 says "since contract start in 2015"; </w:t>
            </w:r>
            <w:r>
              <w:rPr>
                <w:rFonts w:ascii="Consolas" w:hAnsi="Consolas"/>
                <w:sz w:val="22"/>
              </w:rPr>
              <w:t>p0171</w:t>
            </w:r>
            <w:r>
              <w:rPr>
                <w:rFonts w:ascii="Arial" w:hAnsi="Arial"/>
              </w:rPr>
              <w:t xml:space="preserve"> para 10 says "In 2016, Jacobs replaced a 38-year incumbent operator"; PP-0621 records "2016 transition completed". A transition spanning the year boundary explains both</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13-row self-disclosed permit-excursion table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print it — but classify all 13 first</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Voice Rule 30 bans self-disclosed incident tables by name. But four of the sites are Californian and California enforcement data is public; if any of the 13 meet C-049.3's definition of an environmental violation they must appear in the required disclosure. Classify, then disclose what C-049.3 asks and nothing more (G-26)</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Corporate revenue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print a corporate revenue figure unless a scale sentence needs one; then "more than $12 billion"</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C-001.6 asks for O&amp;M revenue, which LN-02 and LN-04 answer with a 32-times margin. The corporate figure carries a live three-way conflict ($12B / $15B / $16B) for no scoring gain. "More than $12 billion" is the precision all six observations support</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Mack Mckenzie's role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Pursue named on-site Project Manager; fall back to transition and start-up lead on 2026-09-15 if availability is not confirmed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Named PM converts a 15% asset into a 30% asset and answers C-053.2, C-054 and C-087 with the one person who has already done the job at this plant. The fallback keeps the fact load-bearing without staking the heaviest section on one person. Sequenced, not binary</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11</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Stormwater pricing</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Bid a fully compliant all-inclusive base fee including a priced year-one assessment; put the baseline reset on C-071's existing mechanism; offer any alternative structure only as a clearly labelled alternate beside the compliant price</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C-060 says the first-year base fee covers all services in the RFP, and C-074 lets the City call any unacceptable aspect unresponsive. C-061's latitude for alternative fee arrangements covers utilities, not stormwater. Two source drafts recommended T&amp;M without testing it against the gate</w:t>
            </w:r>
          </w:p>
        </w:tc>
      </w:tr>
    </w:tbl>
    <w:p>
      <w:pPr>
        <w:spacing w:after="80"/>
      </w:pPr>
    </w:p>
    <w:p>
      <w:pPr/>
      <w:r>
        <w:rPr>
          <w:rFonts w:ascii="Arial" w:hAnsi="Arial"/>
        </w:rPr>
        <w:t xml:space="preserve">Four items were absent from all three drafts and are added here: </w:t>
      </w:r>
      <w:r>
        <w:rPr>
          <w:rFonts w:ascii="Arial" w:hAnsi="Arial"/>
          <w:b/>
        </w:rPr>
        <w:t>SCADA and OT cybersecurity</w:t>
      </w:r>
      <w:r>
        <w:rPr>
          <w:rFonts w:ascii="Arial" w:hAnsi="Arial"/>
        </w:rPr>
        <w:t xml:space="preserve"> (C-115, C-117, C-118 with ten sub-rows), the </w:t>
      </w:r>
      <w:r>
        <w:rPr>
          <w:rFonts w:ascii="Arial" w:hAnsi="Arial"/>
          <w:b/>
        </w:rPr>
        <w:t>5-year Capital Improvement Plan</w:t>
      </w:r>
      <w:r>
        <w:rPr>
          <w:rFonts w:ascii="Arial" w:hAnsi="Arial"/>
        </w:rPr>
        <w:t xml:space="preserve"> (C-004.5, C-007, C-101, C-113), </w:t>
      </w:r>
      <w:r>
        <w:rPr>
          <w:rFonts w:ascii="Arial" w:hAnsi="Arial"/>
          <w:b/>
        </w:rPr>
        <w:t>community engagement and odor outreach</w:t>
      </w:r>
      <w:r>
        <w:rPr>
          <w:rFonts w:ascii="Arial" w:hAnsi="Arial"/>
        </w:rPr>
        <w:t xml:space="preserve"> (C-004.8, C-083), and </w:t>
      </w:r>
      <w:r>
        <w:rPr>
          <w:rFonts w:ascii="Arial" w:hAnsi="Arial"/>
          <w:b/>
        </w:rPr>
        <w:t>encampment, roadway and lift-station safety with traffic control</w:t>
      </w:r>
      <w:r>
        <w:rPr>
          <w:rFonts w:ascii="Arial" w:hAnsi="Arial"/>
        </w:rPr>
        <w:t xml:space="preserve"> (TRIP). Each now carries locked numbers, proof, a gap decision with an owner and a date, pages, and a place in the theme map.</w:t>
      </w:r>
    </w:p>
    <w:p>
      <w:pPr>
        <w:pStyle w:val="Heading1"/>
      </w:pPr>
      <w:r>
        <w:rPr>
          <w:rFonts w:ascii="Arial" w:hAnsi="Arial"/>
        </w:rPr>
        <w:t>1. Locked number sheet</w:t>
      </w:r>
    </w:p>
    <w:p>
      <w:pPr/>
      <w:r>
        <w:rPr>
          <w:rFonts w:ascii="Arial" w:hAnsi="Arial"/>
        </w:rPr>
        <w:t xml:space="preserve">One row per figure the proposal will state. </w:t>
      </w:r>
      <w:r>
        <w:rPr>
          <w:rFonts w:ascii="Arial" w:hAnsi="Arial"/>
          <w:b/>
        </w:rPr>
        <w:t>LOCKED</w:t>
      </w:r>
      <w:r>
        <w:rPr>
          <w:rFonts w:ascii="Arial" w:hAnsi="Arial"/>
        </w:rPr>
        <w:t xml:space="preserve"> means writers use the value verbatim. </w:t>
      </w:r>
      <w:r>
        <w:rPr>
          <w:rFonts w:ascii="Arial" w:hAnsi="Arial"/>
          <w:b/>
        </w:rPr>
        <w:t>needs-owner</w:t>
      </w:r>
      <w:r>
        <w:rPr>
          <w:rFonts w:ascii="Arial" w:hAnsi="Arial"/>
        </w:rPr>
        <w:t xml:space="preserve"> means no writer may print it until the named owner confirms; where a conflict is unresolved at production lock, the writer uses the write-around in the notes — never a hedge (Rule 35).</w:t>
      </w:r>
    </w:p>
    <w:p>
      <w:pPr/>
      <w:r>
        <w:rPr>
          <w:rFonts w:ascii="Arial" w:hAnsi="Arial"/>
        </w:rPr>
        <w:t xml:space="preserve">Every proof-point ID in the registry currently reads </w:t>
      </w:r>
      <w:r>
        <w:rPr>
          <w:rFonts w:ascii="Consolas" w:hAnsi="Consolas"/>
          <w:sz w:val="22"/>
        </w:rPr>
        <w:t>approved_for_external_use: pending</w:t>
      </w:r>
      <w:r>
        <w:rPr>
          <w:rFonts w:ascii="Arial" w:hAnsi="Arial"/>
        </w:rPr>
        <w:t xml:space="preserve"> with no owner. The owners named below are recommendations for Roy Aristizabal to assign.</w:t>
      </w:r>
    </w:p>
    <w:p>
      <w:pPr>
        <w:pStyle w:val="Heading2"/>
      </w:pPr>
      <w:r>
        <w:rPr>
          <w:rFonts w:ascii="Arial" w:hAnsi="Arial"/>
        </w:rPr>
        <w:t>1a. Corporate identity, scale, finance</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competing values seen (with 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 to confirm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Contracting entity and parent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Operations Management International, Inc. (OMI), a wholly owned subsidiary of Jacobs Solutions Inc.</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 pattern, hull p0010 "Company at a Glance"; Richmond entity undecided per PURSUIT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 with Roy Aristizabal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G-11, D-03</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Annual O&amp;M revenue (the C-001.6 answer)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$1.6 billion per year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two independent placements: sm p0063 para 56; fulton p0168 para 26 (PP-0534)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Finance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answers the greater-than-$50M threshold with a 32-times margin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five-year O&amp;M revenue series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2021 $376M · 2022 $390M · 2023 $435M · 2024 $485M · 2025 $495M; five-year average $429M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"&gt;$100,000,000/year" floor statement for the same group, PP-0211, is scope-inconsistent with the series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controller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print the series, never the floor statement; add FY2026 if closed (PP-0212 to PP-0217)</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O&amp;M backlog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$2.4 billion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across hull, sm and fulton p0192 para 23 (PP-0168)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Finance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annual corporate revenue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state unless a corporate-scale sentence requires it; then "more than $12 billion"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~$12B — hull p10 para 5, p14 para 10, sm p15 para 3; ~$16B — hull p14 para 2; $15B and ~$15B — sm p63 para 3, p64 para 4 (PP-0167 </w:t>
            </w:r>
            <w:r>
              <w:rPr>
                <w:rFonts w:ascii="Arial" w:hAnsi="Arial"/>
                <w:b/>
              </w:rPr>
              <w:t>conflict</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Finance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D-05. The RFP asks for O&amp;M revenue; the corporate figure buys nothing and carries a three-way conflict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Years OMI has provided contract O&amp;M under that name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45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45 / 45+ / &gt;45 — hull 2026 cycle (PP-0149); 40 years and "four decades" — sm 2025 cycle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 / Corporate Secretary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 derived from the 10/25/1980 incorporation at LN-07. </w:t>
            </w:r>
            <w:r>
              <w:rPr>
                <w:rFonts w:ascii="Arial" w:hAnsi="Arial"/>
                <w:b/>
              </w:rPr>
              <w:t>Rolls to 46 on 2026-10-25, three days before the interview; brief the room</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OMI date and state of incorporation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10/25/1980, State of California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none (PP-0165; FP §B)</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Corporate Secretary / California SOS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confirm current California good standing (C-050)</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Federal tax identification number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93-0784940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(PP-0164; FP §B)</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 / Tax</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must be the tax ID of the confirmed Richmond contracting entity (C-044)</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LN-09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founding and headquarters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established 1947, headquartered in Dallas, Texas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none (PP-0166; FP §B)</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Corporate Communications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 retention / contract renewal rate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98% since 2013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98% — hull p12 para 5, sm p15 para 6 and p7 para 2; 99% — sm p63 para 24 (PP-0177)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commercial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three observations of four, and the only value carrying a basis year. The lower figure is also the safer one under C-075</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Contracts terminated for compliance or performance failure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zero, bounded at five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"not a single contract has ever been canceled due to compliance issues"; "zero contract terminations due to performance failures" (PP-0537, PP-0221, five-year bound)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C-056 asks </w:t>
            </w:r>
            <w:r>
              <w:rPr>
                <w:rFonts w:ascii="Arial" w:hAnsi="Arial"/>
                <w:b/>
              </w:rPr>
              <w:t>ten</w:t>
            </w:r>
            <w:r>
              <w:rPr>
                <w:rFonts w:ascii="Arial" w:hAnsi="Arial"/>
              </w:rPr>
              <w:t xml:space="preserve"> years. Do not answer a ten-year question with a five-year sentence (G-08)</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D&amp;B credit rating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5A3, "Stable Condition", "Low-Moderate Business Risk"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(PP-0536; FP §C)</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Finance / Treasury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pull a report dated within 90 days of submission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Global operating entity count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state a count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~370 operating companies and affiliates — hull p14 para 10; 300 entities — sm p64 para 4 (PP-0219 </w:t>
            </w:r>
            <w:r>
              <w:rPr>
                <w:rFonts w:ascii="Arial" w:hAnsi="Arial"/>
                <w:b/>
              </w:rPr>
              <w:t>conflict</w:t>
            </w:r>
            <w:r>
              <w:rPr>
                <w:rFonts w:ascii="Arial" w:hAnsi="Arial"/>
              </w:rPr>
              <w:t>); ~100 in North America — PP-0220, consistent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write around with "a single named contracting entity wholly backed by Jacobs" (FP §J-9). If a count is unavoidable, use PP-0220 only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Global workforce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state unless required; then "more than 42,000"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42,000+ — hull p10 para 5 and p14 para 10; 45,000 — sm p64 para 4 (PP-0171 </w:t>
            </w:r>
            <w:r>
              <w:rPr>
                <w:rFonts w:ascii="Arial" w:hAnsi="Arial"/>
                <w:b/>
              </w:rPr>
              <w:t>conflict</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irrelevant to this RFP; prefer the O&amp;M figures at LN-16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LN-15</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Industry ranking</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No. 1 in Sewer and Waste, Wastewater Treatment, and Sanitary and Storm Sewers, ENR rankings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single-source sm p7, corroborated fulton p0168 para 36 (PP-0361)</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Marketing</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needs-owner — confirm the current ENR year before printing one</w:t>
            </w:r>
          </w:p>
        </w:tc>
      </w:tr>
    </w:tbl>
    <w:p>
      <w:pPr>
        <w:spacing w:after="80"/>
      </w:pPr>
    </w:p>
    <w:p>
      <w:pPr>
        <w:pStyle w:val="Heading2"/>
      </w:pPr>
      <w:r>
        <w:rPr>
          <w:rFonts w:ascii="Arial" w:hAnsi="Arial"/>
        </w:rPr>
        <w:t>1b. Portfolio counts</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competing values seen (with 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 to confirm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US O&amp;M staff</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4,000 O&amp;M professionals in the United States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4,000+ — sm, fulton p0168 para 36 (PP-0356); "over 2,300 employees" — fulton p0192 para 23 is a different denominator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print 4,000+ only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Wastewater facilities operated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106 wastewater facilities across 69 clients, including 50 with capacities exceeding 3 MGD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each (PP-0179, PP-0180, PP-0181; FP §E)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point-in-time, one cycle old; recount to September 2026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O&amp;M portfolio size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300 O&amp;M projects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across hull, sm, ocwut p0074 para 39 and p0164 para 23 (PP-0150). A separate "over 300 water and wastewater facilities under management across North America" (FP §C) is a different denominator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pick this denominator and never print both</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Collection system miles operated and maintained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6,700 miles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(PP-0183)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Collection systems at or above 50 miles (the C-001.4 answer)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eleven named systems, enumerated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bank's exhibits use a "&gt;40 miles / 12 systems" threshold (PP-0189) that answers a question the City did not ask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publish the enumerated list, not the aggregate: Pembroke Pines 445 (PP-0195) · Prescott Valley 360 (PP-0200) · Farmington 350 (PP-0196) · Waterbury ~310 (PP-0032) · Fort Campbell 162.5 (PP-0197) · The Villages 127 (PP-0201) · West Melbourne 125 (PP-0203) · Pampa 120 (PP-0202) · Ontario OR 78 (PP-0199) · Wilsonville 70 (PP-0198) · Key West 57 (PP-0194). G-18</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LN-21</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Activated-sludge plants at or above 10 MGD (the C-001.3 answer)</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eleven named plants, enumerated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bank's Exhibit 3-3 uses a 3 MGD threshold (PP-0188)</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OMFS operations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needs-owner — West Basin 40 (PP-0022) · Pima Agua Nueva 32 (PP-0359) · North Hudson 30.8 · Vancouver Westside 28.26 · Waterbury 27 (PP-0031) · SHVUA 24 (PP-0066) · Gresham 20 · Twin Falls 18 · Vancouver Marine Park 16.1 (PP-0207) · Brookings 14 · Key West 10 (PP-0194). G-18</w:t>
            </w:r>
          </w:p>
        </w:tc>
      </w:tr>
    </w:tbl>
    <w:p>
      <w:pPr>
        <w:spacing w:after="80"/>
      </w:pPr>
    </w:p>
    <w:p>
      <w:pPr>
        <w:pStyle w:val="Heading2"/>
      </w:pPr>
      <w:r>
        <w:rPr>
          <w:rFonts w:ascii="Arial" w:hAnsi="Arial"/>
        </w:rPr>
        <w:t>1c. Compliance and safety</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competing values seen (with 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 to confirm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NPDES permit compliance record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20-year compliance record of 99.8% with NPDES permit requirements across the wastewater treatment plants we operate nationwide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99.98% "environmental compliance" — hull p0031 para 20; sm p15 para 6, p52 para 8, p63 para 20, p7 para 2, p11 para 14; fulton p0010 para 29, p0168 para 39 (PP-0232 </w:t>
            </w:r>
            <w:r>
              <w:rPr>
                <w:rFonts w:ascii="Arial" w:hAnsi="Arial"/>
                <w:b/>
              </w:rPr>
              <w:t>conflict</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compliance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with a split — the two figures measure different things. C-049.4 scores permit compliance, and 99.8% is the dated, narrower, defensible claim. </w:t>
            </w:r>
            <w:r>
              <w:rPr>
                <w:rFonts w:ascii="Arial" w:hAnsi="Arial"/>
                <w:b/>
              </w:rPr>
              <w:t>Never print both in the same document</w:t>
            </w:r>
            <w:r>
              <w:rPr>
                <w:rFonts w:ascii="Arial" w:hAnsi="Arial"/>
              </w:rPr>
              <w:t xml:space="preserve"> (D-06)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Firm-wide environmental compliance record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99.98% — held in reserve, used only if a non-NPDES environmental claim is needed and LN-22 is absent from the document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see LN-22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compliance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Total Recordable Incident Rate, current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0.89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series 2024 1.38 · 2023 1.89 · 2022 1.17 · 2021 1.59 · 2020 1.34 (PP-0225, PP-0226, PP-0227, PP-0484, PP-0485, PP-0486)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corporate HSE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C-049.3 asks for the *current* OSHA recordable rate; 0.89 is the Hull 2026 cycle and must be restated as of September 2026 (G-07)</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Experience Modification Rate, current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0.45 (NCCI 7/1/2025 to 7/1/2026), against a contract requirement of 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0.42 (7/1/2024–25) · 0.45 (7/1/2023–24) · 0.52 · 0.51 · 0.47 (PP-0228, PP-0229, PP-0230, PP-0231; FP §F)</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HSE / Risk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refresh to the 7/1/2026 policy period. The comparator to 1.0 satisfies Rule 12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Recordable Incident Rate, five-year average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0.19 against an industry average of 0.62 — 60% better (BLS 2018–2022)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consistent (PP-0311, PP-0312, PP-0313) </w:t>
            </w:r>
            <w:r>
              <w:rPr>
                <w:rFonts w:ascii="Arial" w:hAnsi="Arial"/>
                <w:b/>
              </w:rPr>
              <w:t>but a different basis from LN-24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HSE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do not print LN-24 and LN-26 on the same page</w:t>
            </w:r>
            <w:r>
              <w:rPr>
                <w:rFonts w:ascii="Arial" w:hAnsi="Arial"/>
              </w:rPr>
              <w:t xml:space="preserve"> until HSE reconciles the definitions; name the benchmark base years in the sentence or recompute them</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DART / Lost Time Injury Rate, five-year average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0.056 against an industry average of 0.20 — 72% better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(PP-0314, PP-0315, PP-0316)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HSE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same benchmark-currency caution as LN-26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Environmental violations, last five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City of Ontario, OR, 26 May 2022, $660, herbicide applicator licences expired, renewed; City of Roseburg, OR, 26 May 2022, $1,628, same issue and resolution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hull Exhibit 3-9 (PP-0235; FP §F)</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compliance / 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regenerate current to September 2026</w:t>
            </w:r>
            <w:r>
              <w:rPr>
                <w:rFonts w:ascii="Arial" w:hAnsi="Arial"/>
              </w:rPr>
              <w:t xml:space="preserve"> (G-09). Both entries remain inside the five-year window at submission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OSHA citations, last five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two: 2020-08-25 Seattle WA PSM scrubber complaint; 2024-01-26, vacated by letter signed 2024-03-20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(PP-0487, PP-0488, PP-0489, PP-0494)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HSE / 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C-049.3 asks for health and safety violations as well as environmental; this is the only citation history in the bank (G-07)</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LN-30</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Self-disclosed permit excursions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do not print as a table</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13 incidents across Clovis, Crescent City, Gilroy and Red Bluff (PP-0497 to PP-0511), sm Exhibit 2-24</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OMFS compliance</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needs-owner — Rule 30 bans volunteered incident tables. </w:t>
            </w:r>
            <w:r>
              <w:rPr>
                <w:rFonts w:ascii="Arial" w:hAnsi="Arial"/>
                <w:b/>
              </w:rPr>
              <w:t>But classify all 13 against C-049.3's definition of a violation first</w:t>
            </w:r>
            <w:r>
              <w:rPr>
                <w:rFonts w:ascii="Arial" w:hAnsi="Arial"/>
              </w:rPr>
              <w:t xml:space="preserve"> (G-26); any that qualify go into the LN-28 disclosure</w:t>
            </w:r>
          </w:p>
        </w:tc>
      </w:tr>
    </w:tbl>
    <w:p>
      <w:pPr>
        <w:spacing w:after="80"/>
      </w:pPr>
    </w:p>
    <w:p>
      <w:pPr>
        <w:pStyle w:val="Heading2"/>
      </w:pPr>
      <w:r>
        <w:rPr>
          <w:rFonts w:ascii="Arial" w:hAnsi="Arial"/>
        </w:rPr>
        <w:t>1d. California — the differentiator in a 15% section and the interview's first question</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competing values seen (with 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 to confirm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First California O&amp;M project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1984 — more than four decades of California O&amp;M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(PP-0371)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 California O&amp;M Director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facilities under contract O&amp;M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26 facilities statewide, including 11 municipal water and wastewater treatment plants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each (PP-0372, PP-0373)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point-in-time; recount to September 2026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offices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do not state a count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15 offices — sm p17 para 6; 11 offices — sm p65 para 5 (PP-0375 </w:t>
            </w:r>
            <w:r>
              <w:rPr>
                <w:rFonts w:ascii="Arial" w:hAnsi="Arial"/>
                <w:b/>
              </w:rPr>
              <w:t>conflict</w:t>
            </w:r>
            <w:r>
              <w:rPr>
                <w:rFonts w:ascii="Arial" w:hAnsi="Arial"/>
              </w:rPr>
              <w:t>); no Bay Area figure exists anywhere in the bank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 / Real Estate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C-040.5 asks for the office nearest Richmond and the office managing the project, which is two addresses, not a count (G-05, G-10)</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emergency reach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12 California O&amp;M projects whose personnel can respond within hours; 2,400 associates in the region available for rapid deployment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each (PP-0539, PP-0538)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the honest substitute for an office count inside a response argument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tenures (footprint map)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Gilroy 41 · Auburn more than three decades · Fort Irwin 20 · Turlock 20 · Twin Oaks 19 · Clovis 17 · Davis-Woodland 11 · Crescent City 6 · Soquel Creek 6 · Red Bluff 5 · Lincoln 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every figure in the bank is as-of the 2025 Santa Monica cycle (PP-0362 to PP-0370, PP-0663)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every tenure recomputed to 2026-09-29 before the map is printed</w:t>
            </w:r>
            <w:r>
              <w:rPr>
                <w:rFonts w:ascii="Arial" w:hAnsi="Arial"/>
              </w:rPr>
              <w:t xml:space="preserve"> (D-21)</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Auburn tenure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prose says "more than three decades"; the client quote says "For the past 32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32 years — hull p34 para 10, inside TM-0003; 33 years — sm p15 para 9, p7 para 2 (PP-0304 </w:t>
            </w:r>
            <w:r>
              <w:rPr>
                <w:rFonts w:ascii="Arial" w:hAnsi="Arial"/>
                <w:b/>
              </w:rPr>
              <w:t>conflict</w:t>
            </w:r>
            <w:r>
              <w:rPr>
                <w:rFonts w:ascii="Arial" w:hAnsi="Arial"/>
              </w:rPr>
              <w:t>, both as-of artifacts)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Howard Brewen / account team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the quote is verbatim and cannot be edited, so Jacobs prose must not contradict it. Unbounded phrasing resolves it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Auburn awards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Plant of the Year and Collections of the Year from the California Water Environment Association every year since 2012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(PP-0305)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account team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publicly verifiable, high value and high exposure. Confirm before printing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LN-38</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California AWTO-certified employees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12, the largest AWT-certified operator bench in California</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consistent (PP-0449, PP-0450)</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Howard Brewen</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LOCKED — carry only if the reuse and innovation angle is used under C-055.10</w:t>
            </w:r>
          </w:p>
        </w:tc>
      </w:tr>
    </w:tbl>
    <w:p>
      <w:pPr>
        <w:spacing w:after="80"/>
      </w:pPr>
    </w:p>
    <w:p>
      <w:pPr>
        <w:pStyle w:val="Heading2"/>
      </w:pPr>
      <w:r>
        <w:rPr>
          <w:rFonts w:ascii="Arial" w:hAnsi="Arial"/>
        </w:rPr>
        <w:t>1e. Reference project figures</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competing values seen (with 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 to confirm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LN-39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WWTP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27 MGD activated sludge; screening and grit, primary treatment, secondary aeration and clarification, UV disinfection, chemical phosphorus removal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(PP-0031; ocwut p0169 para 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sanitary collection system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approximately 310 miles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310 / ~310 in four placements including ocwut p0169 para 5; 320 miles in Exhibit 3-3, hull p13 (PP-0032 </w:t>
            </w:r>
            <w:r>
              <w:rPr>
                <w:rFonts w:ascii="Arial" w:hAnsi="Arial"/>
                <w:b/>
              </w:rPr>
              <w:t>conflict</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write-around if unconfirmed: "more than 300 miles"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pump stations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 pump stations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(PP-0033)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the exact match to Richmond's 20 lift stations (LN-59). State both figures in one sentence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wet-weather capacity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wet-weather capacity above 54 MGD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"&gt;70 MGD" at the pump stations — hull p73/p74 resume blocks (PP-0034); "&lt;54 MGD" — hull p76 (PP-0045), a transcription of the same sentence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write-around if unconfirmed: "wet-weather flows well above design capacity" (G-24)</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term, start and fee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ten-year operating agreement; November 2018 start; $6 million per year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(PP-0030, PP-0043, PP-0046)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the annual fee is a mandatory C-052 field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capital and compliance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approximately $25 million phosphorus upgrade supported; 99.57% permit compliance over the past five years; the City's 38-MGD water filtration plant O&amp;M awarded July 2023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(PP-0035; ocwut p0169 para 5, p0170 para 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as facts; the compliance rate is client-permission-needed (PPN-06)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City-estimated savings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up to $12.7 million compared with the previous operating approach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(PP-0042; corroborated ocwut p0169 para 9, p0170 para 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a client-attributed dollar figure the City may test under C-075; the reference must know it is in our proposal (D-08)</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plants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Westside 28.26 MGD and Marine Park 16.1 MGD activated sludge, a 3.2-MGD industrial waste lagoon, eight major lift stations, an accredited laboratory, industrial pretreatment, NPDES and Title V permits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Marine Park 16 MGD — hull Appendix C (PP-0101) against 16.1 — Exhibit 3-3 (PP-0207) and ocwut p0171 para 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at 16.1 and 28.26 — the two most recent placements agree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process and stormwater attributes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Westside runs primary clarifiers, activated sludge, secondary clarifiers, anaerobic digestion, biofilter odor control and belt filter presses; Marine Park carries pump-assisted stormwater injection wells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w:t>
            </w:r>
            <w:r>
              <w:rPr>
                <w:rFonts w:ascii="Consolas" w:hAnsi="Consolas"/>
                <w:sz w:val="22"/>
              </w:rPr>
              <w:t>past-performance/similar-facilities-table.md</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this is the row that answers C-001.5; confirm it before the crosswalk is built</w:t>
            </w:r>
            <w:r>
              <w:rPr>
                <w:rFonts w:ascii="Arial" w:hAnsi="Arial"/>
              </w:rPr>
              <w:t xml:space="preserve"> (G-03)</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dates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 start 2015; the transition from the previous 38-year operator completed in 2016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"since contract start in 2015" — ocwut p0172 para 5; "In 2016, Jacobs replaced a 38-year incumbent operator" — p0171 para 10; PP-0621 "2016 transition completed"; an Appendix C start of 8/1/2015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the two dates describe a transition spanning the year boundary and are stated as such. Never print them as alternatives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LN-49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annual project fee and owner contact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GAP — neither exists in the bank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testimonial contact is Frank Dick, PE, 360.487.7179 (TM-0019, TM-0020), who is not recorded as the owner contact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Vancouver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two of the six mandatory C-052 fields on a primary reference. </w:t>
            </w:r>
            <w:r>
              <w:rPr>
                <w:rFonts w:ascii="Arial" w:hAnsi="Arial"/>
                <w:b/>
              </w:rPr>
              <w:t>Highest-priority reference gap (G-06)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 Edward C. Little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40 MGD; nine advanced treatment trains; five grades of recycled water; four satellite facilities; nearly 600 connections; recycled water conserving the annual drinking water of up to 80,000 households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"30–40 MGD" in one resume block (PP-0022 </w:t>
            </w:r>
            <w:r>
              <w:rPr>
                <w:rFonts w:ascii="Arial" w:hAnsi="Arial"/>
                <w:b/>
              </w:rPr>
              <w:t>conflict</w:t>
            </w:r>
            <w:r>
              <w:rPr>
                <w:rFonts w:ascii="Arial" w:hAnsi="Arial"/>
              </w:rPr>
              <w:t>) against four placements at 40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at 40 MGD (PP-0395, PP-0396, PP-0413, PP-0414, PP-0415)</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contract dates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awarded 2025; five-year term; full operating responsibility assumed 1 September 2025; the previous contract operator held the work more than 20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(PP-0412, PP-0416, PP-0391, PP-0337)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see the concession policy in Section 10. The previous operator is never named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workforce outcome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employee satisfaction improved from 3.6 to 4.1 after Jacobs assumed contract operations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(PP-0339, hull p0048 para 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confirm the survey instrument and scale before printing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annual project fee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GAP — no value exists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not in the bank (FP §D)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 Basin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mandatory C-052 field (G-06)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WWTP/WRF</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2.8 MGD Title 22 MBR scalping plant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(PP-0381)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tenure and outcome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operations commenced 2009; 17 years as of September 2026; more than $100,000 saved through value engineering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16 years as of the 2025 cycle (PP-0368, PP-0398, PP-0399)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at 17 years, recomputed to the submission date. Do not copy the 2025 value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annual project fee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GAP — no value exists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not in the bank (FP §D)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Clovis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mandatory C-052 field (G-06)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Southbridge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3.77 MGD; 48 miles of collection; 11 lift stations; takeover 1 February 2025; five-year contract; $1.7 million per year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3.7 MGD in Exhibit 3-3 (PP-0191); an unresolved fee value on the client-references page (PP-0065)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Southbridge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at 3.77 and $1.7M — six placements to one (PP-0003, PP-0004, PP-0005, PP-0006, PP-0002, PP-0064)</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Southbridge capital conversion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an $85 million nitrogen-reduction design-build award to the Jacobs design-build group within a year of the O&amp;M takeover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Exhibit 3-5 only (PP-0222)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Southbridge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LN-59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 Marcos, TX (bench)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 MGD; screening, grit, primary clarification, biological nutrient removal, secondary clarification, tertiary sand filtration, UV, post-aeration, biosolids dewatering, three odor biotrickling filters, Type I reclaimed water; 20 years of service; 323 million gallons of reclaimed water reused annually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single-source (ocwut p0175 para 8, p0176 para 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account team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no contact, no fee, no contract dates in the bank.</w:t>
            </w:r>
            <w:r>
              <w:rPr>
                <w:rFonts w:ascii="Arial" w:hAnsi="Arial"/>
              </w:rPr>
              <w:t xml:space="preserve"> Process-identical to Richmond and the least documented asset we hold (G-11)</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Traverse City (bench)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8.5 MGD MBR; 17 MGD peak; approximately 50,000 residents; 13 staff; 1990 start; $3.5 million per year; $31M MBR and $1.5M BNR upgrades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(PP-0074 to PP-0080, PP-0223, PP-0224)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Traverse City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Westerly (case study, not a reference)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3.3 MGD; nine pump stations; July 2017 start; $2.4 million per year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(PP-0047, PP-0048, PP-0057, PP-0058)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Westerly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 Huron (SHVUA, dropped from the five)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24 MGD; approximately 36 miles of interceptor; two lift stations; 2019 start; $5.3 million per year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39 miles in Exhibit 3-3 (PP-0192) against 36 in three placements (PP-0067); a literal "$xxM" placeholder on the Appendix B page for the fee (PP-0073)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SHVUA account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never reproduce the page carrying the "$xxM" placeholder, and never attribute the Southbridge testimonial printed on the SHVUA page to SHVUA</w:t>
            </w:r>
            <w:r>
              <w:rPr>
                <w:rFonts w:ascii="Arial" w:hAnsi="Arial"/>
              </w:rPr>
              <w:t xml:space="preserve"> (G-16)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Turlock and Soquel Creek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Turlock: 2005 start, 20 years, $147,000 a year in chemical savings, mixed-bed throughput 480,000 to 500,000 gallons (a 4% gain). Soquel Creek: 2020 start, 15-year term, 6 years, more than 10% energy reduction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Turlock capacity 0.75 vs 0.8 MGD (PP-0382 </w:t>
            </w:r>
            <w:r>
              <w:rPr>
                <w:rFonts w:ascii="Arial" w:hAnsi="Arial"/>
                <w:b/>
              </w:rPr>
              <w:t>conflict</w:t>
            </w:r>
            <w:r>
              <w:rPr>
                <w:rFonts w:ascii="Arial" w:hAnsi="Arial"/>
              </w:rPr>
              <w:t xml:space="preserve">); Soquel capacity 1.3 / 1.7 / 2 MGD (PP-0358 </w:t>
            </w:r>
            <w:r>
              <w:rPr>
                <w:rFonts w:ascii="Arial" w:hAnsi="Arial"/>
                <w:b/>
              </w:rPr>
              <w:t>conflict</w:t>
            </w:r>
            <w:r>
              <w:rPr>
                <w:rFonts w:ascii="Arial" w:hAnsi="Arial"/>
              </w:rPr>
              <w: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account teams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do not print either capacity</w:t>
            </w:r>
            <w:r>
              <w:rPr>
                <w:rFonts w:ascii="Arial" w:hAnsi="Arial"/>
              </w:rPr>
              <w:t xml:space="preserve"> (G-15). The outcome figures are the usable part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LN-64</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Key West (case study)</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10 MGD, 57 miles, 24 pump stations; two UV channels replaced in phases, one operational at all times, completed without violations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single-source (PP-0194, PP-0571; sm p0078 paras 2–3)</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account team</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needs-owner — recompute the relationship duration (PP-0090 records 37 years as of the Hull cycle)</w:t>
            </w:r>
          </w:p>
        </w:tc>
      </w:tr>
    </w:tbl>
    <w:p>
      <w:pPr>
        <w:spacing w:after="80"/>
      </w:pPr>
    </w:p>
    <w:p>
      <w:pPr>
        <w:pStyle w:val="Heading2"/>
      </w:pPr>
      <w:r>
        <w:rPr>
          <w:rFonts w:ascii="Arial" w:hAnsi="Arial"/>
        </w:rPr>
        <w:t>1f. Richmond's own figures — the City's numbers, never stated as Jacobs claims</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claim</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LOCKED value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status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 term and price validity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initial term 15 May 2027 to 14 May 2037; one mutually agreeable five-year renewal on 180 days' notice; the proposal price valid at least 180 days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C-021, C-028, C-040.6, C-045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Fee basis flow and loading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influent flow 6.50 MGD · BOD 375 mg/L · TSS 450 mg/L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C-078 / S-030, RFP Attachment A p.40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Plant capacity and wet-weather behaviour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full treatment capacity 20 MGD; flow above that goes to the 4.6 MG storm storage tank; about four blending events a year; incoming flow averages about 5 MGD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 </w:t>
            </w:r>
            <w:r>
              <w:rPr>
                <w:rFonts w:ascii="Arial" w:hAnsi="Arial"/>
                <w:b/>
              </w:rPr>
              <w:t>never place "20 MGD" and the resume's "16-MGD" in the same sentence</w:t>
            </w:r>
            <w:r>
              <w:rPr>
                <w:rFonts w:ascii="Arial" w:hAnsi="Arial"/>
              </w:rPr>
              <w:t xml:space="preserve"> (Section 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Sanitary collection and force main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approximately 190 miles of sanitary sewer; 20 remote submersible lift stations, some inside HOAs; a five-mile sludge force main to West County with air reliefs not all located, cathodic protection and a ten-year-old condition report; roughly one mile of the Keller Beach interceptor underwater in the bay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LN-69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Stormwater assets and duties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catch basins cleaned 100% twice a year; five hydrodynamic-separator trash-capture units needing mechanized cleaning; gross solids removal devices and inline trash capture cleaned at least twice a year; open channels and V-ditches on steep slopes; the Lake and its diffuser; outfalls and detention facilities; clean and CCTV 10% per year; 100% trash reduction by 30 June 2030 under the 2025 Cease and Desist Order; </w:t>
            </w:r>
            <w:r>
              <w:rPr>
                <w:rFonts w:ascii="Arial" w:hAnsi="Arial"/>
                <w:b/>
              </w:rPr>
              <w:t>no debris baseline exists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C-114.1 to C-114.8, C-116; 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the "no baseline" finding is ours and is the basis of the year-one offer</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Collection cleaning and CCTV obligations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clean all gravity sewers once every four years (25% per year); CCTV one tenth of the system each year; plus 10% QA/QC and hot-spot frequencies from once a year to twice a month under the 2018 Baykeeper Settlement Agreement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C-008, C-106, C-107, C-121.7, C-121.12, C-121.14; 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Collections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 the wiki's own collection-system block carries an internal conflict on post-year-five frequency (PP-0303 10%/yr against PP-0306 ten-year cycle). </w:t>
            </w:r>
            <w:r>
              <w:rPr>
                <w:rFonts w:ascii="Arial" w:hAnsi="Arial"/>
                <w:b/>
              </w:rPr>
              <w:t>Do not import that wording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Liquidated damages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monthly O&amp;M report after the 15th, $500/day · Baykeeper compliance $1,000/day with no grace period · sanitary cleaning 25% by 31 December, $250/day · CCTV 10% by 1 June, $250/day · stormwater 10% by 30 June, $250/day · on-site emergency response within 1 hour (business hours) or 2 hours (after hours), $1,000 per occurrence after two misses in a month · specific deliverables $500 each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C-005.1 to C-005.7, RFP §3.2 and Attachment B</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 / Pricing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Energy performance standard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baseline 2,050 kWh/MG; 50/50 gain-share in both directions on annual averages; the City pays gas and water; monthly reporting on power utilization, analysis and energy-saving ideas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C-061, C-063 / S-019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 </w:t>
            </w:r>
            <w:r>
              <w:rPr>
                <w:rFonts w:ascii="Arial" w:hAnsi="Arial"/>
                <w:b/>
              </w:rPr>
              <w:t>the gain-share is symmetrical and the denominator is per million gallons.</w:t>
            </w:r>
            <w:r>
              <w:rPr>
                <w:rFonts w:ascii="Arial" w:hAnsi="Arial"/>
              </w:rPr>
              <w:t xml:space="preserve"> At an actual ~5 MGD against a 6.50 MGD fee basis (LN-66, LN-67), kWh/MG rises as flow falls. Price the exposure (D-16)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Maintenance and Repair fund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$2,000,000 first-year fund inside the base fee, covering WWTP, sanitary and stormwater; work orders under $5,000 charged without pre-approval; over $5,000 require Public Works Director approval and may not be split to avoid the threshold; </w:t>
            </w:r>
            <w:r>
              <w:rPr>
                <w:rFonts w:ascii="Arial" w:hAnsi="Arial"/>
                <w:b/>
              </w:rPr>
              <w:t>subcontracted labour for repairs normally done by plant staff requires City pre-approval regardless of amount</w:t>
            </w:r>
            <w:r>
              <w:rPr>
                <w:rFonts w:ascii="Arial" w:hAnsi="Arial"/>
              </w:rPr>
              <w:t>; unused funds returned or rolled over; itemized monthly accounting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C-060, C-062, C-065, C-066, C-068, C-069, </w:t>
            </w:r>
            <w:r>
              <w:rPr>
                <w:rFonts w:ascii="Arial" w:hAnsi="Arial"/>
                <w:b/>
              </w:rPr>
              <w:t>C-070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C-070 is the row the pilot and two source drafts missed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Fee mechanics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initial base fee fixed through 15 May 2028; CPI-U US city average, Water and Sewerage Maintenance, not seasonally adjusted, Series ID CUSR0000SEHG01; a separate adjustment where flow, load or system size moves more than 10% from baseline; pre-contractual expenses excluded from the fee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C-059, C-067, C-071, C-022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Governing permits and orders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Order R2-2024-0008 / NPDES CA0038539 (WWTP) · Order R2-2022-0018 / NPDES CAS612008 (municipal stormwater) · Order WQ 2022-0103-DWQ (collection system) · 2018 San Francisco Baykeeper Settlement Agreement · air quality permits · CRWQCB Cease and Desist Order (stormwater)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C-010.1 to C-010.6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Compliance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quote the order numbers exactly; a wrong digit is the cheapest credibility loss available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 deliverables and due dates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Transition Plan 30 days before start · asset condition assessment 90 days · asset management plan and CMMS in the City's NexGen and GIS 120 days · data management system 120 days · 5-year CIP 120 days then annually 30 days after the renewal date · catch-basin cleaning plan 90 days then annually by 1 March · drainage ditch maintenance plan 120 days · Odor Control Plan including community issues and reporting 60 days · sub-contracting plan before start · staffing plan before start · Safety Plan 60 days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C-004.1 to C-004.11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Project Manager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Cyber obligations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suspected cybersecurity incident notified to the City within </w:t>
            </w:r>
            <w:r>
              <w:rPr>
                <w:rFonts w:ascii="Arial" w:hAnsi="Arial"/>
                <w:b/>
              </w:rPr>
              <w:t>1 hour</w:t>
            </w:r>
            <w:r>
              <w:rPr>
                <w:rFonts w:ascii="Arial" w:hAnsi="Arial"/>
              </w:rPr>
              <w:t>; compliance with City Information Security Policies and Standards; City-issued device return and data certification on completion; a cybersecurity plan conforming to ISO/IEC 27001, the NIST Cybersecurity Framework or equivalent, covering critical-asset identification, access controls, incident response and recovery, and ongoing monitoring, reviewed annually and on material change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C-115, C-117, C-118 and C-118.1 to C-118.10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OT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City-mandated systems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NexGen EAM and the City-wide GIS for linear assets; SewerAI for CCTV analysis, with the City retaining condition coding and the Contract Operator responsible for report accuracy; City CCTV equipment inspects to 20 inches, larger pipes subcontracted; City real-time read-only access to all systems; all records and data the property of the City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C-004.3, C-009, C-103.1 to C-103.6, C-107, C-033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Asset management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LN-79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Current site staffing and labour cost basis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collections crew of one supervisor and seven, the same crew maintaining stormwater; three laboratory analysts; prevailing wage on roughly 30% of operations and 90% of maintenance labour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 C-025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Staffing lead / 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as observations; </w:t>
            </w:r>
            <w:r>
              <w:rPr>
                <w:rFonts w:ascii="Arial" w:hAnsi="Arial"/>
                <w:b/>
              </w:rPr>
              <w:t>the Jacobs FTE estimate is at LN-80 and is not the same thing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LN-80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staffing estimate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29 to 32 FTEs — </w:t>
            </w:r>
            <w:r>
              <w:rPr>
                <w:rFonts w:ascii="Arial" w:hAnsi="Arial"/>
                <w:b/>
              </w:rPr>
              <w:t>internal estimate, never printed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Staffing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needs-owner — the number that reaches the page is the committed org chart, not this range (Section 10)</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LN-81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Rolling stock and transferring services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four Vactor trucks, all pickups and all forklifts City-owned; of two CCTV trucks, one City-owned and one owned by the previous operator; no GPS or PTO fleet monitoring exists. Services owned by the previous operator that must transfer: the AT&amp;T internet circuit, the lift-station SIMs, the alarm dialer line and HachWIMS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Transition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the transfer list is a scope-clarity offer, not a complaint (Section 10)</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LN-82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OT and SCADA estate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Ignition SCADA on redundant master and secondary Dell R440 servers, warranty expired 2023-08-12; all Allen-Bradley PLCs with more than 20 SLC5/05 past end-of-support since March 2024, DH+ modules to convert to Ethernet; Cisco 2960 and 4000 switches past end of life; three FortiGate firewalls of unclear role, the 60E critical; 20 lift stations on Sierra Wireless RV50 modems; Windows 10 Pro workstations in a workgroup, not a domain; undocumented remote access (Bomgar present); laboratory results hand-uploaded to HachWIMS; two cameras and key-only access control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 (Ossokine)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OT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LOCKED as findings. </w:t>
            </w:r>
            <w:r>
              <w:rPr>
                <w:rFonts w:ascii="Arial" w:hAnsi="Arial"/>
                <w:b/>
              </w:rPr>
              <w:t>Every one is written as a Jacobs first-90-days action, never as a City deficiency</w:t>
            </w:r>
            <w:r>
              <w:rPr>
                <w:rFonts w:ascii="Arial" w:hAnsi="Arial"/>
              </w:rPr>
              <w:t xml:space="preserve"> (Rule 29)</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LN-83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Field safety and access exposure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several lift stations near homeless encampments; stormwater assets and pump stations in unsafe neighbourhoods; night-time security escorts needed; stray dogs; traffic control needed at lift stations and manholes, with the City providing lane closures; a 6-foot perimeter fence without security topping; overhead power lines near the fence line; an underground diesel tank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TRIP (Cain, Gorka, Larson)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Safety lead / Pricing lead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LOCKED — traffic control is a recurring cost item at approximately $3,500 per month (TRIP). Price it; do not narrate it as the City's problem</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LN-84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Richmond local ordinance obligations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prevailing wage (C-025); Nondiscrimination Clauses RMC 2.28; Business Opportunity Ordinance RMC 2.50; Local Employment Program Ordinance RMC 2.56; Living Wage Ordinance RMC 2.60; Ban the Box RMC 2.65; the Sanctuary City Contracting Ordinance No. 12-18; the LLC beneficial-owner disclosure under Resolution No. 86-21; a City of Richmond business licence for the operator and every subcontractor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C-025, C-029, C-030, C-031, C-027, C-057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HR / Legal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needs-owner — </w:t>
            </w:r>
            <w:r>
              <w:rPr>
                <w:rFonts w:ascii="Arial" w:hAnsi="Arial"/>
                <w:b/>
              </w:rPr>
              <w:t>five ordinances incorporated by reference, and locally hired labour is politically live in Richmond</w:t>
            </w:r>
            <w:r>
              <w:rPr>
                <w:rFonts w:ascii="Arial" w:hAnsi="Arial"/>
              </w:rPr>
              <w:t xml:space="preserve"> (G-21)</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LN-85</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Richmond WPCP as it appears in Jacobs records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 facility designed for 16-MGD treatment of the City's sewage"; 27 employees across five departments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PP-0596, PP-0597; </w:t>
            </w:r>
            <w:r>
              <w:rPr>
                <w:rFonts w:ascii="Consolas" w:hAnsi="Consolas"/>
                <w:sz w:val="22"/>
              </w:rPr>
              <w:t>wiki/resumes/mack-mckenzie.md</w:t>
            </w:r>
            <w:r>
              <w:rPr>
                <w:rFonts w:ascii="Arial" w:hAnsi="Arial"/>
              </w:rPr>
              <w:t>; sm p0086 paras 2–3</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Roy Aristizabal</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needs-owner — see Section 6.</w:t>
            </w:r>
            <w:r>
              <w:rPr>
                <w:rFonts w:ascii="Arial" w:hAnsi="Arial"/>
              </w:rPr>
              <w:t xml:space="preserve"> Historical only; past tense only; never in the same paragraph as LN-67</w:t>
            </w:r>
          </w:p>
        </w:tc>
      </w:tr>
    </w:tbl>
    <w:p>
      <w:pPr>
        <w:spacing w:after="80"/>
      </w:pPr>
    </w:p>
    <w:p>
      <w:pPr/>
      <w:r>
        <w:rPr>
          <w:rFonts w:ascii="Arial" w:hAnsi="Arial"/>
          <w:b/>
        </w:rPr>
        <w:t>Count: 85 rows — 41 LOCKED, 44 needs-owner. Seven rows instruct the writer to state nothing until an owner resolves a conflict (LN-05, LN-13, LN-14, LN-30, LN-33, LN-63, LN-80).</w:t>
      </w:r>
    </w:p>
    <w:p>
      <w:pPr>
        <w:pStyle w:val="Heading1"/>
      </w:pPr>
      <w:r>
        <w:rPr>
          <w:rFonts w:ascii="Arial" w:hAnsi="Arial"/>
        </w:rPr>
        <w:t>2. Approved proof points</w:t>
      </w:r>
    </w:p>
    <w:p>
      <w:pPr/>
      <w:r>
        <w:rPr>
          <w:rFonts w:ascii="Arial" w:hAnsi="Arial"/>
        </w:rPr>
        <w:t>Outcome proofs a writer may use. Exact wording is given so that no one paraphrases a number into existence. A writer may compress; a writer may not add.</w:t>
      </w:r>
    </w:p>
    <w:p>
      <w:pPr/>
      <w:r>
        <w:rPr>
          <w:rFonts w:ascii="Arial" w:hAnsi="Arial"/>
          <w:b/>
        </w:rPr>
        <w:t>External-use status is assigned by the rule below, not by the registry</w:t>
      </w:r>
      <w:r>
        <w:rPr>
          <w:rFonts w:ascii="Arial" w:hAnsi="Arial"/>
        </w:rPr>
        <w:t xml:space="preserve">, because every registry ID currently reads </w:t>
      </w:r>
      <w:r>
        <w:rPr>
          <w:rFonts w:ascii="Consolas" w:hAnsi="Consolas"/>
          <w:sz w:val="22"/>
        </w:rPr>
        <w:t>approved_for_external_use: pending</w:t>
      </w:r>
      <w:r>
        <w:rPr>
          <w:rFonts w:ascii="Arial" w:hAnsi="Arial"/>
        </w:rPr>
        <w:t>:</w:t>
      </w:r>
    </w:p>
    <w:p>
      <w:pPr>
        <w:pStyle w:val="ListBullet"/>
      </w:pPr>
      <w:r>
        <w:rPr>
          <w:rFonts w:ascii="Arial" w:hAnsi="Arial"/>
          <w:b/>
        </w:rPr>
        <w:t>approved</w:t>
      </w:r>
      <w:r>
        <w:rPr>
          <w:rFonts w:ascii="Arial" w:hAnsi="Arial"/>
        </w:rPr>
        <w:t xml:space="preserve"> — a Jacobs-computed outcome about Jacobs' own work, already published in a submitted proposal, naming a client only as the site.</w:t>
      </w:r>
    </w:p>
    <w:p>
      <w:pPr>
        <w:pStyle w:val="ListBullet"/>
      </w:pPr>
      <w:r>
        <w:rPr>
          <w:rFonts w:ascii="Arial" w:hAnsi="Arial"/>
          <w:b/>
        </w:rPr>
        <w:t>client-permission-needed</w:t>
      </w:r>
      <w:r>
        <w:rPr>
          <w:rFonts w:ascii="Arial" w:hAnsi="Arial"/>
        </w:rPr>
        <w:t xml:space="preserve"> — the figure is the client's own estimate, or it is a named-client outcome the City may telephone under C-075. That reference must know the claim is in our proposal before the call comes.</w:t>
      </w:r>
    </w:p>
    <w:p>
      <w:pPr>
        <w:pStyle w:val="ListBullet"/>
      </w:pPr>
      <w:r>
        <w:rPr>
          <w:rFonts w:ascii="Arial" w:hAnsi="Arial"/>
          <w:b/>
        </w:rPr>
        <w:t>internal-only</w:t>
      </w:r>
      <w:r>
        <w:rPr>
          <w:rFonts w:ascii="Arial" w:hAnsi="Arial"/>
        </w:rPr>
        <w:t xml:space="preserve"> — a third-party vendor case, a live-pursuit claim not yet cleared, or an outcome the source itself leaves open.</w:t>
      </w:r>
    </w:p>
    <w:p>
      <w:pPr/>
      <w:r>
        <w:rPr>
          <w:rFonts w:ascii="Consolas" w:hAnsi="Consolas"/>
          <w:sz w:val="22"/>
        </w:rPr>
        <w:t>PPN-</w:t>
      </w:r>
      <w:r>
        <w:rPr>
          <w:rFonts w:ascii="Arial" w:hAnsi="Arial"/>
        </w:rPr>
        <w:t xml:space="preserve"> entries are real, page-sourced facts that are </w:t>
      </w:r>
      <w:r>
        <w:rPr>
          <w:rFonts w:ascii="Arial" w:hAnsi="Arial"/>
          <w:b/>
        </w:rPr>
        <w:t>not yet in the registry</w:t>
      </w:r>
      <w:r>
        <w:rPr>
          <w:rFonts w:ascii="Arial" w:hAnsi="Arial"/>
        </w:rPr>
        <w:t>. D-24 registers them before any writer opens a section.</w:t>
      </w:r>
    </w:p>
    <w:p>
      <w:pPr>
        <w:pStyle w:val="Heading2"/>
      </w:pPr>
      <w:r>
        <w:rPr>
          <w:rFonts w:ascii="Arial" w:hAnsi="Arial"/>
        </w:rPr>
        <w:t>2a. Odor and H2S — the theme with the thinnest prior evidence, now the best sourced</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"Odor complaints reduced by more than 55%" — Waterbury, following a formal odor source-characterization study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 9; p0169 para 12; p0044 para 41; p0077 paras 26 and 38; p0042 para 17; p0009 para 47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8.4.2 stat callout · 8.4.5 Operational Approach, odor · 8.4.3 Waterbury write-up</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window for PX-01: "between contract years one and two"</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 9; p0169 para 12; p0044 para 41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wherever PX-01 appears. Two other sources say "within the first contract year" and "in the first 2 years"; three support this window, so this is the one to print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before-condition: "Four chemical wet scrubbers serving the headworks, solids handling areas, and incineration building were in disrepair at contract start, and the on-site incinerator was also contributing to odor source."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p0169 para 12; p0077 para 26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 the before that makes the after mean something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"$2M odor control upgrade completed" — a carbon absorber polishing stage downstream of the primary scrubbers, replacement of aging air piping and chemical dosing pumps on scrubber system 1, new dosing pumps on scrubber system 2; a phased approach of source identification, short-term stabilization and permanent improvement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paras 2 and 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 8.4.3</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"...upgrading an aging biofilter system from organic media to engineered media with a significantly longer service life. This reduced replacement frequency, improved system reliability, and delivered over $134k in cost savings."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p0007 para 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PP-0151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odor and asset management — </w:t>
            </w:r>
            <w:r>
              <w:rPr>
                <w:rFonts w:ascii="Arial" w:hAnsi="Arial"/>
                <w:b/>
              </w:rPr>
              <w:t>the only hard dollar figure on an odor asset</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"These changes addressed the root causes of odors without requiring immediate capital investment." Odor control and dispersion study completed; composting improved by optimizing the wood amendment-to-biosolids ratio and adjusting blower operations by pile temperature — Southbridge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p0037 paras 1–3; p0015 para 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qualitative — </w:t>
            </w:r>
            <w:r>
              <w:rPr>
                <w:rFonts w:ascii="Arial" w:hAnsi="Arial"/>
                <w:b/>
              </w:rPr>
              <w:t>no number exists; do not invent one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sidebar · 8.4.2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operate and maintain three biological scrubbers that control odors across the headworks, solids handling, and treatment areas... This preventive approach eliminates odors without the chemical costs and handling concerns associated with chemical scrubbing systems." — San Marcos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p0175 para 12; p0176 para 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 answers the transfer of chemical cost to the operator (TRIP)</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PX-08</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 commitment to respond to every odor complaint within one hour of notification</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hull; </w:t>
            </w:r>
            <w:r>
              <w:rPr>
                <w:rFonts w:ascii="Consolas" w:hAnsi="Consolas"/>
                <w:sz w:val="22"/>
              </w:rPr>
              <w:t>technical-approach/site-specific-odor-control-program.md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PP-0309, PP-0310</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8.4.5 odor — commitment callout, and the operational half of the C-004.8 Odor Control Plan</w:t>
            </w:r>
          </w:p>
        </w:tc>
      </w:tr>
    </w:tbl>
    <w:p>
      <w:pPr>
        <w:spacing w:after="80"/>
      </w:pPr>
    </w:p>
    <w:p>
      <w:pPr>
        <w:pStyle w:val="Heading2"/>
      </w:pPr>
      <w:r>
        <w:rPr>
          <w:rFonts w:ascii="Arial" w:hAnsi="Arial"/>
        </w:rPr>
        <w:t>2b. Compliance, enforcement and permit performance</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facility has maintained a 99.57% permit compliance rate over the past 5 years."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p0169 para 5; p0170 para 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(C-049.4) · 8.4.2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assumed operations when the facility was noncompliant and implemented a comprehensive operational strategy and maintenance management program that restored compliance and resolved enforcement actions." — Traverse City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p0080 para 3; p0015 para 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unregistered, qualitative — register with the PPN batch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Operational Approach · 8.4.3 permit compliance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Consistent Permit Compliance Award from the Rhode Island Clean Water Association each year 2019–2023; Three or More Years of Complete Permit Compliance Award 2022; USEPA New England Regional O&amp;M Excellence Award 2018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PP-0059, PP-0060, PP-0061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awards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US EPA Region 5 Best Operated and Maintained Facility 2007; MWEA Large Facility Safety Award 2019; MWEA Health and Safety Award 2004; ACEC Engineering Excellence and Eminent Conceptor Awards 2006 — Traverse City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p0080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PP-0081 to PP-0085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 cite the four-year award spread, never a single award. The source reads "ACED" for PP-0083; the award is ACEC. Correct silently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NACWA Performance Awards 2017–2025 including Platinum Peak Performance Awards; Washington Department of Ecology Outstanding Performance Award more than 20 times; zero lost-time incidents since contract start in 2015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p0172 paras 5, 6, 11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awards · 8.4.4 safety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DEM-mandated corrective action items inherited from the previous contract operator, from the 2016 facility inspection, closed within the first 18 months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PP-0052, PP-0053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Transition Plan · 8.4.4 transition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2021 RIDEM consent agreement: Jacobs modelled, assessed and recommended, then was selected as the progressive design-build designer "due to our operational knowledge"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 para 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PP-0056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 8.4.5 capital planning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PX-16</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required C-049.3 disclosure, with its four-move close: "These matters were administrative in nature, promptly addressed, and resolved in coordination with regulators, with no impact to our ability to deliver services."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hull Exhibit 3-9; </w:t>
            </w:r>
            <w:r>
              <w:rPr>
                <w:rFonts w:ascii="Consolas" w:hAnsi="Consolas"/>
                <w:sz w:val="22"/>
              </w:rPr>
              <w:t>qualifications/corporate-entity-legal-qualifications.md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PP-0235; FP §F</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approved — this is our own disclosure and it is a strength</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8.4.3 (C-049.3), with a Resolution column beside every row</w:t>
            </w:r>
          </w:p>
        </w:tc>
      </w:tr>
    </w:tbl>
    <w:p>
      <w:pPr>
        <w:spacing w:after="80"/>
      </w:pPr>
    </w:p>
    <w:p>
      <w:pPr>
        <w:pStyle w:val="Heading2"/>
      </w:pPr>
      <w:r>
        <w:rPr>
          <w:rFonts w:ascii="Arial" w:hAnsi="Arial"/>
        </w:rPr>
        <w:t>2c. Money returned to the client</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City estimated cost savings of up to $12.7 million compared to the previous operating approach."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p0076 paras 3–4 and 6; corroborated ocwut p0169 para 9, p0170 para 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PP-0042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8.4.2 · 8.4.3 Waterbury write-up (D-08)</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"our team reduced ferric chloride use by 65%" through enhanced biological phosphorus removal and process control — San Marcos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p0176 paras 3 and 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process and chemical optimization — </w:t>
            </w:r>
            <w:r>
              <w:rPr>
                <w:rFonts w:ascii="Arial" w:hAnsi="Arial"/>
                <w:b/>
              </w:rPr>
              <w:t>directly answers the transfer of chemical cost and the ferric-chloride dosing on the five-mile sludge line</w:t>
            </w:r>
            <w:r>
              <w:rPr>
                <w:rFonts w:ascii="Arial" w:hAnsi="Arial"/>
              </w:rPr>
              <w:t xml:space="preserve"> (LN-68, TRIP)</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"cut electricity consumption by more than 174,000 kWh annually through operational changes alone, with no capital investment required" — "174,000+ kWh in annual electricity savings — $22,000 per year" — San Marcos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p0176 paras 3 and 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PPN-09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energy management · 8.4.7 gain-share rationale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"Optimization efforts following MBR installation reduced electrical consumption by more than 30%." — Traverse City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p0080 para 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PP-0079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energy management — the anchor for any position on the 2,050 kWh/MG baseline (LN-72)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"$900,000 in utility rebates" from energy efficiency initiatives; "The team completed 20 energy projects"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p0172 paras 10 and 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energy · 8.4.2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$500,000 heat exchanger investment extended the life of the aging incinerator, deferred an unplanned shutdown, reduced confined-space entry risks for maintenance staff, and avoided an estimated $275,000–$400,000 in near-term capital costs."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p0171 para 11; p0172 para 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Asset Management and the 5-year CIP — </w:t>
            </w:r>
            <w:r>
              <w:rPr>
                <w:rFonts w:ascii="Arial" w:hAnsi="Arial"/>
                <w:b/>
              </w:rPr>
              <w:t>the best capital-planning proof in the bank</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"earned a $57,151 nitrogen credit for the City" through Connecticut's Nitrogen Credit Exchange Program, 2022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paras 4 and 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Innovation to improve revenue — </w:t>
            </w:r>
            <w:r>
              <w:rPr>
                <w:rFonts w:ascii="Arial" w:hAnsi="Arial"/>
                <w:b/>
              </w:rPr>
              <w:t>the only non-ratepayer-revenue proof in the bank, and C-036 names that heading</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"40% reduction in polymer use; ~50% reduction in biosolids hauling costs" through restructured dewatering — San Marcos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p0176 paras 3 and 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solids — the only biosolids-cost proof we hold, and Richmond's digesters are the weakest asset on site (TRIP)</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$500,000 saved against the original six-year forecast, and approximately $250,000 against the adjusted forecast over the last three years — Westerly biosolids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 paras 5 and 26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PP-0049, PP-0050, PP-0051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Innovation · 8.4.7 fee credibility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Approximately 32 callouts a year for sodium hypochlorite dosing problems eliminated by Jacobs disinfection system upgrades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 paras 5–12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PP-0054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Maintenance Plan · 8.4.2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new method generates $147,000 in chemical savings for the client annually"; mixed-bed throughput raised from 480,000 to 500,000 gallons, a 4% increase without loss of quality — Turlock ZLD, California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 p0026–p0027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PP-0411, PP-0409, PP-0410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chemical optimization — California</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"At Soquel Creek, the Jacobs team achieved more than 10% energy reduction through membrane recovery optimization and blower reprogramming." — California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 p0047 para 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PP-0476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energy — California</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PX-29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"Saving the City more than $100,000 through value engineering" — Clovis, California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 p0022–p0023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PP-0399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Clovis write-up · 8.4.5 innovation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Energy savings opportunities valued at more than $1 million identified for the Wilmington WWTP through the Annual Innovation Workshop</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p0062; </w:t>
            </w:r>
            <w:r>
              <w:rPr>
                <w:rFonts w:ascii="Consolas" w:hAnsi="Consolas"/>
                <w:sz w:val="22"/>
              </w:rPr>
              <w:t>technical-approach/swip-annual-innovation-workshop.md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PP-0528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 </w:t>
            </w:r>
            <w:r>
              <w:rPr>
                <w:rFonts w:ascii="Arial" w:hAnsi="Arial"/>
                <w:b/>
              </w:rPr>
              <w:t>state "opportunities identified", never "savings delivered"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Innovation to improve revenue and green initiatives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PX-31</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 20% reduction in energy use at an Arizona wastewater facility by optimizing aeration blower performance with real-time data and dissolved-oxygen control</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hull</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PP-0324</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approved — the facility is unnamed in the source, which is acceptable under Rule 28</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8.4.5 energy — carries the DO and LDO control value-add the trip reports recommend</w:t>
            </w:r>
          </w:p>
        </w:tc>
      </w:tr>
    </w:tbl>
    <w:p>
      <w:pPr>
        <w:spacing w:after="80"/>
      </w:pPr>
    </w:p>
    <w:p>
      <w:pPr>
        <w:pStyle w:val="Heading2"/>
      </w:pPr>
      <w:r>
        <w:rPr>
          <w:rFonts w:ascii="Arial" w:hAnsi="Arial"/>
        </w:rPr>
        <w:t>2d. Transition, workforce and housekeeping</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"Removing six 30-yard containers of trash and debris from throughout the facility and pump stations, including scrap metal that was recycled with the money refunded to the client." — Westerly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p0077 paras 5–12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PP-0055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8.4.2 Executive Summary closer</w:t>
            </w:r>
            <w:r>
              <w:rPr>
                <w:rFonts w:ascii="Arial" w:hAnsi="Arial"/>
              </w:rPr>
              <w:t xml:space="preserve"> · 8.4.5 Site housekeeping (C-055.9)</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"Within 90 days, we cleared and graded a 2-acre City-owned parcel, built a new GeoTube laydown area, dredged the lower lagoon, and removed 1,100 dry tons of solids for beneficial reuse at less than half the cost of conventional disposal, solving a 35-year problem in the first contract quarter." — Waterbury </w:t>
            </w:r>
            <w:r>
              <w:rPr>
                <w:rFonts w:ascii="Arial" w:hAnsi="Arial"/>
                <w:b/>
              </w:rPr>
              <w:t>water filtration plant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paras 11 and 15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Transition Plan, first 90 days. </w:t>
            </w:r>
            <w:r>
              <w:rPr>
                <w:rFonts w:ascii="Arial" w:hAnsi="Arial"/>
                <w:b/>
              </w:rPr>
              <w:t>Label it the water filtration plant every time — it is not the wastewater contract, and a reader will assume it is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 2016, Jacobs replaced a 38-year incumbent operator in one of the most significant Pacific Northwest O&amp;M transitions."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p0171 para 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8.4.4 transition · 8.4.2. </w:t>
            </w:r>
            <w:r>
              <w:rPr>
                <w:rFonts w:ascii="Arial" w:hAnsi="Arial"/>
                <w:b/>
              </w:rPr>
              <w:t>Rewrite without naming any firm</w:t>
            </w:r>
            <w:r>
              <w:rPr>
                <w:rFonts w:ascii="Arial" w:hAnsi="Arial"/>
              </w:rPr>
              <w:t xml:space="preserve"> (Rule 28)</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"90% of all transition activities were completed within 90 days, and all start-up activities wrapped within 180 days."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p0171 para 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Transition Plan (C-053.7) · 8.4.5 (C-055.6)</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"100% of represented staff were offered employment, and they enjoyed equal or better compensation packages"; "integrating 26 City employees into our operations team"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p0169 para 7; p0170 para 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 the answer to "will you keep our people", asked by a City whose crew is one supervisor and seven (LN-79)</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Employee satisfaction improved from 3.6 to 4.1 after Jacobs assumed contract operations — West Basin, California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p0048 para 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PP-0339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transition · 8.4.3</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Employee satisfaction 3.3 before and 4.7 after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management-staffing/swip-staff-retention-and-six-step-transition-process.md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PP-0628, PP-0629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 use two satisfaction swings, never four (Pembroke Pines 3.4 to 4.6, PP-0626/PP-0627; Ontario OR 2.7 to 4.5, PP-0630/PP-0631 are the alternates)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90% conversion rate for qualified employees offered positions during Jacobs transitions; more than a dozen projects transitioned in three years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PP-0624, PP-0623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Two prior transitions from the same previous operator — Wilmington, DE and Vancouver, WA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management-staffing/swip-transition-plan-overview-and-track-record.md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PP-0621, PP-0622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8.4.2 · 8.4.4. </w:t>
            </w:r>
            <w:r>
              <w:rPr>
                <w:rFonts w:ascii="Arial" w:hAnsi="Arial"/>
                <w:b/>
              </w:rPr>
              <w:t>Name neither firm</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successfully transitioned operations from the previous provider and implemented targeted training programs that strengthened workforce capability and retention." — South Huron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hull p15; </w:t>
            </w:r>
            <w:r>
              <w:rPr>
                <w:rFonts w:ascii="Consolas" w:hAnsi="Consolas"/>
                <w:sz w:val="22"/>
              </w:rPr>
              <w:t>past-performance/client-references.md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unregistered, qualitative — register with the PPN batch</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staffing and retention (C-053.6, C-053.9)</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PX-42</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"We are currently leading the transition from the District's previous contract operator." Previous operator tenure more than 20 years; full responsibility assumed 1 September 2025 — West Basin</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Consolas" w:hAnsi="Consolas"/>
                <w:sz w:val="22"/>
              </w:rPr>
              <w:t>past-performance/edward-c-little-water-recycling-facility-om.md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PP-0337, PP-0391, PP-0416</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8.4.3 Qualifications closer</w:t>
            </w:r>
            <w:r>
              <w:rPr>
                <w:rFonts w:ascii="Arial" w:hAnsi="Arial"/>
              </w:rPr>
              <w:t xml:space="preserve"> · 8.4.4 transition</w:t>
            </w:r>
          </w:p>
        </w:tc>
      </w:tr>
    </w:tbl>
    <w:p>
      <w:pPr>
        <w:spacing w:after="80"/>
      </w:pPr>
    </w:p>
    <w:p>
      <w:pPr>
        <w:pStyle w:val="Heading2"/>
      </w:pPr>
      <w:r>
        <w:rPr>
          <w:rFonts w:ascii="Arial" w:hAnsi="Arial"/>
        </w:rPr>
        <w:t>2e. Collections, maintenance, asset management, OT and cybersecurity</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"Monthly sewer inspection rates increased 100%; sewer problem areas were reduced by nearly 15%, and the team cleaned and inspected more than 1.5 million linear feet of pipe." Waterbury CMOM, covering sewer cleaning, CCTV, FOG management and CIPP repairs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 12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Operational Approach, collections — </w:t>
            </w:r>
            <w:r>
              <w:rPr>
                <w:rFonts w:ascii="Arial" w:hAnsi="Arial"/>
                <w:b/>
              </w:rPr>
              <w:t>the Baykeeper-analogue outcome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led a $25M, multi-year modernization of the SCADA and control infrastructure, replacing PLCs, upgrading HMI systems, and improving network architecture without a single service interruption." Vancouver's legacy SCADA and PLCs had reached end of life, "creating reliability and cybersecurity risk across a two-plant system"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p0172 para 8; p0171 para 10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PPN-19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Maintenance Plan, OT and cybersecurity · 8.4.2. </w:t>
            </w:r>
            <w:r>
              <w:rPr>
                <w:rFonts w:ascii="Arial" w:hAnsi="Arial"/>
                <w:b/>
              </w:rPr>
              <w:t>The direct answer to more than 20 SLC5/05 PLCs past end-of-support and three FortiGates of unclear role</w:t>
            </w:r>
            <w:r>
              <w:rPr>
                <w:rFonts w:ascii="Arial" w:hAnsi="Arial"/>
              </w:rPr>
              <w:t xml:space="preserve"> (LN-82)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2,600 IT professionals supporting integrated IT and OT services; 350 dedicated SCADA practitioners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technical-approach/swip-scada-ic-cybersecurity-approach.md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PP-0547, PP-0548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cybersecurity (C-118) · 8.4.4 technical bench</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Committed remote alarm response within 45 minutes and on-site response within 60 minutes under 24/7 monitoring integrated with the client's Ignition SCADA</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technical-approach/swip-scada-ic-cybersecurity-approach.md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PP-0641, PP-0642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 </w:t>
            </w:r>
            <w:r>
              <w:rPr>
                <w:rFonts w:ascii="Arial" w:hAnsi="Arial"/>
                <w:b/>
              </w:rPr>
              <w:t>a commitment pattern, not a past outcome; it must be re-priced for Richmond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Approach to emergencies (C-055.8), tested against the 1-hour and 2-hour liquidated-damages standard (LN-71)</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An embedded value of $210,000 for a separate, dedicated regional I&amp;C technician provided in addition to the on-site I&amp;C technician</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PP-0546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as a </w:t>
            </w:r>
            <w:r>
              <w:rPr>
                <w:rFonts w:ascii="Arial" w:hAnsi="Arial"/>
                <w:b/>
              </w:rPr>
              <w:t>pattern</w:t>
            </w:r>
            <w:r>
              <w:rPr>
                <w:rFonts w:ascii="Arial" w:hAnsi="Arial"/>
              </w:rPr>
              <w:t>; the dollar value is pursuit-specific and must be re-priced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reach-back · 8.4.7 value stack. Answers the trip reports' recommendation for an on-site SCADA and electrical engineer</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field-trained maintenance specialists have completed condition assessments on 1,000,000 water and wastewater plant assets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PP-0520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Asset Management (C-055.3, C-004.2)</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baseline condition assessment completed within 90 days of commencement, with prioritized, data-driven recommendations for renewal, reliability improvement and capital planning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PP-0331, PP-0342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 this is a </w:t>
            </w:r>
            <w:r>
              <w:rPr>
                <w:rFonts w:ascii="Arial" w:hAnsi="Arial"/>
                <w:b/>
              </w:rPr>
              <w:t>commitment</w:t>
            </w:r>
            <w:r>
              <w:rPr>
                <w:rFonts w:ascii="Arial" w:hAnsi="Arial"/>
              </w:rPr>
              <w:t>, written in the future tense, and it matches C-004.2's 90-day deliverable exactly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Asset Management and Transition Plan</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five-year capital improvement plan horizon carried as a standing O&amp;M deliverable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hull; </w:t>
            </w:r>
            <w:r>
              <w:rPr>
                <w:rFonts w:ascii="Consolas" w:hAnsi="Consolas"/>
                <w:sz w:val="22"/>
              </w:rPr>
              <w:t>technical-approach/grant-loan-funding-support-capital-planning.md</w:t>
            </w:r>
            <w:r>
              <w:rPr>
                <w:rFonts w:ascii="Arial" w:hAnsi="Arial"/>
              </w:rPr>
              <w:t xml:space="preserve">, </w:t>
            </w:r>
            <w:r>
              <w:rPr>
                <w:rFonts w:ascii="Consolas" w:hAnsi="Consolas"/>
                <w:sz w:val="22"/>
              </w:rPr>
              <w:t>qualifications/full-service-lifecycle-capability-and-capital-planning-support.md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PP-0137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Asset Management — </w:t>
            </w:r>
            <w:r>
              <w:rPr>
                <w:rFonts w:ascii="Arial" w:hAnsi="Arial"/>
                <w:b/>
              </w:rPr>
              <w:t>the C-004.5, C-007, C-101 and C-113 answer.</w:t>
            </w:r>
            <w:r>
              <w:rPr>
                <w:rFonts w:ascii="Arial" w:hAnsi="Arial"/>
              </w:rPr>
              <w:t xml:space="preserve"> Pair with PX-22 for a dated dollar outcome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Two UV channels replaced in phases, one operational at all times, completed without violations — Key West</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 p0078 paras 2–3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PP-0571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Maintenance Plan — maintenance while running, which is Richmond's single-bar-screen-channel problem</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Eight sewage pumps at Rio Rancho, NM fitted with the AquaDNA deragging system with no change to pumps, starters or VFDs, to reduce previously chronic SSO events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technical-approach/swip-aquadna-deragger-technology.md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PP-0475, PP-0473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 the SSO reduction itself is qualitative in the source; </w:t>
            </w:r>
            <w:r>
              <w:rPr>
                <w:rFonts w:ascii="Arial" w:hAnsi="Arial"/>
                <w:b/>
              </w:rPr>
              <w:t>do not attach a number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lift-station reliability</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27 August 2020 sewer backup in a high-rain event; CCTV found a collapsed 15-inch pipe; a two-day temporary bypass held service; 90 feet of pipe replaced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hull; </w:t>
            </w:r>
            <w:r>
              <w:rPr>
                <w:rFonts w:ascii="Consolas" w:hAnsi="Consolas"/>
                <w:sz w:val="22"/>
              </w:rPr>
              <w:t>compliance-plans/emergency-response-storm-preparedness-coastal-wwtf.md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PP-0318 to PP-0321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Approach to emergencies (C-055.8), wet weather</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staff mobilized at the City's request during a 2019 water-supply emergency at no cost to the City — Waterbury</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sm; </w:t>
            </w:r>
            <w:r>
              <w:rPr>
                <w:rFonts w:ascii="Consolas" w:hAnsi="Consolas"/>
                <w:sz w:val="22"/>
              </w:rPr>
              <w:t>compliance-plans/swip-emergency-response-regional-resources.md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PP-0545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emergencies · 8.4.4 reach-back</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PX-55</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Reduced annual SSOs from 12 to 0 at NJAW Bound Brook; 16 SSOs prevented in the first four months; deployment grew from 40 to 196 monitors in under two years</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hull p0092–p0093; </w:t>
            </w:r>
            <w:r>
              <w:rPr>
                <w:rFonts w:ascii="Consolas" w:hAnsi="Consolas"/>
                <w:sz w:val="22"/>
              </w:rPr>
              <w:t>technical-approach/smartcover-njaw-bound-brook-case-study.md</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PP-0125, PP-0129, PP-0130, PP-0131</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internal-only as Jacobs performance</w:t>
            </w:r>
            <w:r>
              <w:rPr>
                <w:rFonts w:ascii="Arial" w:hAnsi="Arial"/>
              </w:rPr>
              <w:t xml:space="preserve"> — a SmartCover, Hazen and New Jersey American Water case. Label it a vendor case study every time it appears, or leave it out</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8.4.5 collections technology paragraph only</w:t>
            </w:r>
          </w:p>
        </w:tc>
      </w:tr>
    </w:tbl>
    <w:p>
      <w:pPr>
        <w:spacing w:after="80"/>
      </w:pPr>
    </w:p>
    <w:p>
      <w:pPr>
        <w:pStyle w:val="Heading2"/>
      </w:pPr>
      <w:r>
        <w:rPr>
          <w:rFonts w:ascii="Arial" w:hAnsi="Arial"/>
        </w:rPr>
        <w:t>2f. Community, partnership and firm-wide statistics cleared for use</w:t>
      </w:r>
    </w:p>
    <w:tbl>
      <w:tblPr>
        <w:tblW w:type="pct" w:w="5000"/>
        <w:jc w:val="left"/>
        <w:tblLayout w:type="autofit"/>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point — exact wording</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source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registry id</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external use</w:t>
            </w:r>
          </w:p>
        </w:tc>
        <w:tc>
          <w:tcPr>
            <w:tcW w:type="dxa" w:w="163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to</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PX-56</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"Staff development and community engagement have remained priorities throughout this partnership" — Waterbury; Jacobs sponsors the Naugatuck River Brigade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p0170 para 4; hull p0076 para 38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PPN-20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8.4.5 Odor Control Plan community element (C-004.8) · 8.4.2 — </w:t>
            </w:r>
            <w:r>
              <w:rPr>
                <w:rFonts w:ascii="Arial" w:hAnsi="Arial"/>
                <w:b/>
              </w:rPr>
              <w:t>the community proof attached to the same river-protection story the Executive Summary already tells</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Earth Day stream cleanups, habitat restoration, environmental education in partnership with the county public utility district, and volunteer work with local charities — Vancouver</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p0172 para 3</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PPN-21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community engagement · 8.4.4 local presence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PX-58</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partnership with the local state university supporting a direct potable reuse pilot on site, and the annual Great Texas River Cleanup; an intern recruited from a local university progressed into the project manager role — San Marcos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ocwut p0176 para 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PPN-22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client-permission-needed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8.4.4 local hiring and development — </w:t>
            </w:r>
            <w:r>
              <w:rPr>
                <w:rFonts w:ascii="Arial" w:hAnsi="Arial"/>
                <w:b/>
              </w:rPr>
              <w:t>the proof behind any Local Employment Program commitment</w:t>
            </w:r>
            <w:r>
              <w:rPr>
                <w:rFonts w:ascii="Arial" w:hAnsi="Arial"/>
              </w:rPr>
              <w:t xml:space="preserve"> (LN-84)</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PX-59</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community involvement and outreach programme for a facility adjacent to residents, covering notification, complaint response and reporting</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Consolas" w:hAnsi="Consolas"/>
                <w:sz w:val="22"/>
              </w:rPr>
              <w:t>technical-approach/swip-community-involvement-outreach-program.md</w:t>
            </w:r>
            <w:r>
              <w:rPr>
                <w:rFonts w:ascii="Arial" w:hAnsi="Arial"/>
              </w:rPr>
              <w:t xml:space="preserve"> (status preferred, house-favorite)</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block, no numeric proof</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 as method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Control Plan (C-004.8, C-083) — Richmond's night-time inversions carry odor to the neighbourhood over the hill (TRIP)</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PX-60</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More than 100 O&amp;M and technical specialists supporting site projects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PP-0374</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approved</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(C-049.2, C-053.5)</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PX-61</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committed annual technical and regional support allowance, stated in hours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sm; hull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PP-0553 (1,300 hours, Santa Monica), PP-0161 (2,000 hours, Hull)</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as a </w:t>
            </w:r>
            <w:r>
              <w:rPr>
                <w:rFonts w:ascii="Arial" w:hAnsi="Arial"/>
                <w:b/>
              </w:rPr>
              <w:t>pattern only</w:t>
            </w:r>
            <w:r>
              <w:rPr>
                <w:rFonts w:ascii="Arial" w:hAnsi="Arial"/>
              </w:rPr>
              <w:t xml:space="preserve"> — </w:t>
            </w:r>
            <w:r>
              <w:rPr>
                <w:rFonts w:ascii="Arial" w:hAnsi="Arial"/>
                <w:b/>
              </w:rPr>
              <w:t>never reuse another pursuit's hours.</w:t>
            </w:r>
            <w:r>
              <w:rPr>
                <w:rFonts w:ascii="Arial" w:hAnsi="Arial"/>
              </w:rPr>
              <w:t xml:space="preserve"> Richmond's number is set at D-15</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reach-back · 8.4.7</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PX-62</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Santa Monica SWIP treats up to 0.5 MGD of stormwater, urban runoff and brackish groundwater for beneficial reuse, and operates stormwater diversion structures</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hull; sm</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PP-0027</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approved — </w:t>
            </w:r>
            <w:r>
              <w:rPr>
                <w:rFonts w:ascii="Arial" w:hAnsi="Arial"/>
                <w:b/>
              </w:rPr>
              <w:t>subject to G-20: the Santa Monica slug is a 2025 proposal and the award outcome is not recorded in the bank</w:t>
            </w:r>
          </w:p>
        </w:tc>
        <w:tc>
          <w:tcPr>
            <w:tcW w:type="dxa" w:w="163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C-001.5 crosswalk row. If the contract was not won, every SWIP-derived claim is proposal language, not experience</w:t>
            </w:r>
          </w:p>
        </w:tc>
      </w:tr>
      <w:tr>
        <w:trPr>
          <w:cantSplit/>
        </w:trPr>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PX-63</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San Luis Obispo WRRF energy efficiency partnership with the utility valued at $9.75 million</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sm</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PP-0556</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approved — confirm scope before use</w:t>
            </w:r>
          </w:p>
        </w:tc>
        <w:tc>
          <w:tcPr>
            <w:tcW w:type="dxa" w:w="163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8.4.5 Innovation to improve revenue</w:t>
            </w:r>
          </w:p>
        </w:tc>
      </w:tr>
    </w:tbl>
    <w:p>
      <w:pPr>
        <w:spacing w:after="80"/>
      </w:pPr>
    </w:p>
    <w:p>
      <w:pPr/>
      <w:r>
        <w:rPr>
          <w:rFonts w:ascii="Arial" w:hAnsi="Arial"/>
          <w:b/>
        </w:rPr>
        <w:t>Count: 63 proof points — 33 approved (10 of them carrying a named condition, including PX-46, PX-47, PX-61 and PX-62), 29 client-permission-needed, 1 internal-only. Twenty-two are `PPN-` entries not yet in the registry, and three more are unregistered qualitative proofs (PX-06, PX-10, PX-41); D-24 registers all of them.</w:t>
      </w:r>
    </w:p>
    <w:p>
      <w:pPr/>
      <w:r>
        <w:rPr>
          <w:rFonts w:ascii="Arial" w:hAnsi="Arial"/>
          <w:b/>
        </w:rPr>
        <w:t>Two things writers will reach for and must not use.</w:t>
      </w:r>
      <w:r>
        <w:rPr>
          <w:rFonts w:ascii="Arial" w:hAnsi="Arial"/>
        </w:rPr>
        <w:t xml:space="preserve"> Any Oklahoma City or NexGen *outcome* claimed as Jacobs past performance — see G-02, which allows the named SME bench but not the engagement claim. And any figure attached to the Fulton County MS4 programme, which belongs to CERM, a joint-venture partner, and is not Jacobs past performance.</w:t>
      </w:r>
    </w:p>
    <w:p>
      <w:pPr>
        <w:pStyle w:val="Heading1"/>
      </w:pPr>
      <w:r>
        <w:rPr>
          <w:rFonts w:ascii="Arial" w:hAnsi="Arial"/>
        </w:rPr>
        <w:t>3. Preferred reference set</w:t>
      </w:r>
    </w:p>
    <w:p>
      <w:pPr/>
      <w:r>
        <w:rPr>
          <w:rFonts w:ascii="Arial" w:hAnsi="Arial"/>
        </w:rPr>
        <w:t xml:space="preserve">C-048 requires five references similar in scope and complexity with a detailed write-up for each. C-052 requires six fields for every one: name and location; owner contact with contact information; a description of services; a description of processes and system attributes including plant size and system length; years of service; and the annual project fee. </w:t>
      </w:r>
      <w:r>
        <w:rPr>
          <w:rFonts w:ascii="Arial" w:hAnsi="Arial"/>
          <w:b/>
        </w:rPr>
        <w:t>A reference missing the annual fee is a responsiveness risk under C-072 before it is a scoring risk.</w:t>
      </w:r>
      <w:r>
        <w:rPr>
          <w:rFonts w:ascii="Arial" w:hAnsi="Arial"/>
        </w:rPr>
        <w:t xml:space="preserve"> That constraint, not narrative preference, drives the set below.</w:t>
      </w:r>
    </w:p>
    <w:p>
      <w:pPr/>
      <w:r>
        <w:rPr>
          <w:rFonts w:ascii="Arial" w:hAnsi="Arial"/>
        </w:rPr>
        <w:t>Richmond's fit test, in the City's own priority order (Irving trip report, PURSUIT hot buttons): California regulatory experience · activated sludge with primary clarifiers at comparable scale · a collection system at scale · stormwater collection scope · odor and community response · a regulatory settlement or enforcement history · displacement of the incumbent.</w:t>
      </w:r>
    </w:p>
    <w:p>
      <w:pPr>
        <w:pStyle w:val="Heading2"/>
      </w:pPr>
      <w:r>
        <w:rPr>
          <w:rFonts w:ascii="Arial" w:hAnsi="Arial"/>
        </w:rPr>
        <w:t>The five</w:t>
      </w:r>
    </w:p>
    <w:tbl>
      <w:tblPr>
        <w:tblW w:type="pct" w:w="5000"/>
        <w:jc w:val="left"/>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reference</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one-line Richmond reason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it must prove</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permission and contact status</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Waterbury Water and Wastewater System, Waterbury, CT</w:t>
            </w:r>
            <w:r>
              <w:rPr>
                <w:rFonts w:ascii="Arial" w:hAnsi="Arial"/>
              </w:rPr>
              <w:t xml:space="preserve"> — 27 MGD activated sludge, approximately 310 miles of sanitary sewer, 20 pump stations, $6M/yr, since November 2018 (LN-39 to LN-45)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only reference matching Richmond on three legs at once — a large activated-sludge plant with primary treatment, a collection system at scale, and 20 pump stations against Richmond's 20 lift stations — procured after sewer overflows reached a river, which is the Baykeeper shape with the names changed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That Jacobs runs plant, collections and wet weather as one contract under regulatory pressure: 99.57% permit compliance (PX-09), odor complaints down more than 55% (PX-01), a CMOM programme against a cleaning and CCTV regime (PX-43), and a saving the client's own finance office published (PX-17)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Contact on file: Mike LeBlanc, Director of Finance, 203.574.6840 x7059, mleblanc@waterburyct.org. </w:t>
            </w:r>
            <w:r>
              <w:rPr>
                <w:rFonts w:ascii="Arial" w:hAnsi="Arial"/>
                <w:b/>
              </w:rPr>
              <w:t>Permission not on file; currency unverified (G-12).</w:t>
            </w:r>
            <w:r>
              <w:rPr>
                <w:rFonts w:ascii="Arial" w:hAnsi="Arial"/>
              </w:rPr>
              <w:t xml:space="preserve"> LeBlanc is also the TM-0006 speaker and the quote attributed to him has a live conflict — see Q-01</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Westside and Marine Park WWTPs, City of Vancouver, WA</w:t>
            </w:r>
            <w:r>
              <w:rPr>
                <w:rFonts w:ascii="Arial" w:hAnsi="Arial"/>
              </w:rPr>
              <w:t xml:space="preserve"> — 28.26 MGD and 16.1 MGD activated sludge, a 3.2 MGD industrial waste lagoon, eight major lift stations, since 2015 (LN-46 to LN-49)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closest process twin and the only stormwater asset in the portfolio: Westside runs primary clarifiers into activated sludge with biofilter odor control and anaerobic digestion; Marine Park carries pump-assisted stormwater injection wells. Both were taken from the same operator Richmond has today, and the relationship is eleven years old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That we displace this operator and keep the client for a decade (PX-34, PX-35); that stormwater infrastructure is not new to us (LN-47); and that a legacy SCADA and PLC estate can be rebuilt under a running plant (PX-44) — the three things Richmond is most afraid of, in one project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Owner contact and annual fee both missing — two of six mandatory C-052 fields on a primary reference. This is the highest-priority reference gap (G-06), owner named, date 2026-09-12.</w:t>
            </w:r>
            <w:r>
              <w:rPr>
                <w:rFonts w:ascii="Arial" w:hAnsi="Arial"/>
              </w:rPr>
              <w:t xml:space="preserve"> The transition testimonial contact is Frank Dick, PE, 360.487.7179 (TM-0019, TM-0020), who is not the owner contact</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Edward C. Little Water Recycling Facility, West Basin MWD, El Segundo, CA</w:t>
            </w:r>
            <w:r>
              <w:rPr>
                <w:rFonts w:ascii="Arial" w:hAnsi="Arial"/>
              </w:rPr>
              <w:t xml:space="preserve"> — 40 MGD, nine advanced treatment trains, five-year contract, full responsibility 1 September 2025 (LN-50 to LN-53)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live displacement, in this state, this year: California, 40 MGD, and Jacobs is taking the work over from the same firm that operates Richmond today, 400 miles down the same coast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That a large, complex California transition from a long-tenured operator went smoothly and left the workforce measurably better off (PX-37, PX-42)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Contact on file: Susanna Li, Manager of Engineering, 310.660.6238, susannal@westbasinca.gov (also TM-0004, so one call covers consent and reference permission). </w:t>
            </w:r>
            <w:r>
              <w:rPr>
                <w:rFonts w:ascii="Arial" w:hAnsi="Arial"/>
                <w:b/>
              </w:rPr>
              <w:t>Permission not on file. Annual fee missing (G-06).</w:t>
            </w:r>
            <w:r>
              <w:rPr>
                <w:rFonts w:ascii="Arial" w:hAnsi="Arial"/>
              </w:rPr>
              <w:t xml:space="preserve"> Keep every operating-history claim proportional to a 2025 start (Section 10)</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City of Clovis WWTP/WRF, Clovis, CA</w:t>
            </w:r>
            <w:r>
              <w:rPr>
                <w:rFonts w:ascii="Arial" w:hAnsi="Arial"/>
              </w:rPr>
              <w:t xml:space="preserve"> — 2.8 MGD Title 22 MBR scalping plant, since 2009, 17 years (LN-54 to LN-56)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longest continuous California municipal relationship we can show, under Title 22, with regulatory, environmental </w:t>
            </w:r>
            <w:r>
              <w:rPr>
                <w:rFonts w:ascii="Arial" w:hAnsi="Arial"/>
                <w:b/>
              </w:rPr>
              <w:t>and odor</w:t>
            </w:r>
            <w:r>
              <w:rPr>
                <w:rFonts w:ascii="Arial" w:hAnsi="Arial"/>
              </w:rPr>
              <w:t xml:space="preserve"> performance guarantees written into the contract — the durability answer beside West Basin's recency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regulatory fluency, sustained permit and odor performance against contractual guarantees, and more than $100,000 returned through value engineering (PX-29)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Contact on file: Nicholas Torstensen, Assistant Public Utilities Director, 1033 Fifth Street, Clovis CA 93611, 559.324.2662, nicholast@clovisca.org. </w:t>
            </w:r>
            <w:r>
              <w:rPr>
                <w:rFonts w:ascii="Arial" w:hAnsi="Arial"/>
                <w:b/>
              </w:rPr>
              <w:t>Permission not on file. Annual fee missing (G-06).</w:t>
            </w:r>
            <w:r>
              <w:rPr>
                <w:rFonts w:ascii="Arial" w:hAnsi="Arial"/>
              </w:rPr>
              <w:t xml:space="preserve"> </w:t>
            </w:r>
            <w:r>
              <w:rPr>
                <w:rFonts w:ascii="Arial" w:hAnsi="Arial"/>
                <w:b/>
              </w:rPr>
              <w:t>Reconcile the "guarantees met consistently and reliably" line against the Clovis rows of the self-disclosed excursion record before the write-up is drafted</w:t>
            </w:r>
            <w:r>
              <w:rPr>
                <w:rFonts w:ascii="Arial" w:hAnsi="Arial"/>
              </w:rPr>
              <w:t xml:space="preserve"> (G-26, ST-0016 caution)</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R-5</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Southbridge WWTP, Southbridge, MA</w:t>
            </w:r>
            <w:r>
              <w:rPr>
                <w:rFonts w:ascii="Arial" w:hAnsi="Arial"/>
              </w:rPr>
              <w:t xml:space="preserve"> — 3.77 MGD, 48 miles of collection, 11 lift stations, $1.7M/yr, since 1 February 2025 (LN-57, LN-58)</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closest analogue to Richmond's own procurement: a town that ran a competitive process to replace an incumbent contractor, and the only odor turnaround in the library with a named before-condition and a capital-light fix</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That an incumbent replacement produces measurable odor improvement without a capital project (PX-06), and that a young O&amp;M relationship earns capital work — an $85M nitrogen upgrade inside the first year (LN-58)</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Contact on file: John Jovan, Jr., Town Manager, 508.764.5405, jjovan@southbridgemass.org. </w:t>
            </w:r>
            <w:r>
              <w:rPr>
                <w:rFonts w:ascii="Arial" w:hAnsi="Arial"/>
                <w:b/>
              </w:rPr>
              <w:t>Permission not on file (G-12).</w:t>
            </w:r>
            <w:r>
              <w:rPr>
                <w:rFonts w:ascii="Arial" w:hAnsi="Arial"/>
              </w:rPr>
              <w:t xml:space="preserve"> Tenure is 19 months at submission — see Section 10</w:t>
            </w:r>
          </w:p>
        </w:tc>
      </w:tr>
    </w:tbl>
    <w:p>
      <w:pPr>
        <w:spacing w:after="80"/>
      </w:pPr>
    </w:p>
    <w:p>
      <w:pPr>
        <w:pStyle w:val="Heading2"/>
      </w:pPr>
      <w:r>
        <w:rPr>
          <w:rFonts w:ascii="Arial" w:hAnsi="Arial"/>
        </w:rPr>
        <w:t>The two bench</w:t>
      </w:r>
    </w:p>
    <w:tbl>
      <w:tblPr>
        <w:tblW w:type="pct" w:w="5000"/>
        <w:jc w:val="left"/>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reference</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one-line Richmond reason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it must prove</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permission and contact status</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San Marcos WWTP, San Marcos, TX</w:t>
            </w:r>
            <w:r>
              <w:rPr>
                <w:rFonts w:ascii="Arial" w:hAnsi="Arial"/>
              </w:rPr>
              <w:t xml:space="preserve"> — 9 MGD, 20 years (LN-59)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Process-identical to Richmond and nothing else in the bank is:</w:t>
            </w:r>
            <w:r>
              <w:rPr>
                <w:rFonts w:ascii="Arial" w:hAnsi="Arial"/>
              </w:rPr>
              <w:t xml:space="preserve"> screening, grit, primary clarification, activated-sludge BNR, secondary clarification, tertiary filtration, UV, post-aeration, biosolids dewatering, three odor biotrickling filters, and discharge to an ecologically sensitive river. Promote it into the five, displacing R-5, the moment G-11 supplies a contact, a fee and contract dates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four commitments Richmond prices: ferric chloride down 65% (PX-18), 174,000 kWh and $22,000 a year (PX-19), polymer down 40% and hauling down 50% (PX-24), and odor controlled biologically rather than chemically (PX-07)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 contact, no fee, no contract dates in the bank.</w:t>
            </w:r>
            <w:r>
              <w:rPr>
                <w:rFonts w:ascii="Arial" w:hAnsi="Arial"/>
              </w:rPr>
              <w:t xml:space="preserve"> The highest-value and least documented asset we hold. Start the chase here (G-11, D-04)</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B-2</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Traverse City Regional WWTP, Traverse City, MI</w:t>
            </w:r>
            <w:r>
              <w:rPr>
                <w:rFonts w:ascii="Arial" w:hAnsi="Arial"/>
              </w:rPr>
              <w:t xml:space="preserve"> — 8.5 MGD MBR, 17 MGD peak, $3.5M/yr, since 1990 (LN-60)</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regulatory-turnaround reference: Jacobs took over a noncompliant plant under enforcement, restored compliance, resolved the enforcement actions, and has held it for 35 years. Substitute it for R-4 if the Clovis fee cannot be released or the guarantee language proves unusable</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That an enforcement position can be reversed and stay reversed, evidenced by awards in four separate years across two decades (PX-12), plus a 30% energy reduction (PX-20)</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Contact on file: Art Krueger, Director of Municipal Facilities, 231.922.4923, akrueger@traversecitymi.gov. </w:t>
            </w:r>
            <w:r>
              <w:rPr>
                <w:rFonts w:ascii="Arial" w:hAnsi="Arial"/>
                <w:b/>
              </w:rPr>
              <w:t>Permission not on file.</w:t>
            </w:r>
            <w:r>
              <w:rPr>
                <w:rFonts w:ascii="Arial" w:hAnsi="Arial"/>
              </w:rPr>
              <w:t xml:space="preserve"> Lead with the turnaround, not the tenure — a 35-year incumbency is the wrong note in front of a City replacing a long-tenured operator</w:t>
            </w:r>
          </w:p>
        </w:tc>
      </w:tr>
    </w:tbl>
    <w:p>
      <w:pPr>
        <w:spacing w:after="80"/>
      </w:pPr>
    </w:p>
    <w:p>
      <w:pPr>
        <w:pStyle w:val="Heading2"/>
      </w:pPr>
      <w:r>
        <w:rPr>
          <w:rFonts w:ascii="Arial" w:hAnsi="Arial"/>
        </w:rPr>
        <w:t>Coverage against the six criteria, stated honestly</w:t>
      </w:r>
    </w:p>
    <w:tbl>
      <w:tblPr>
        <w:tblW w:type="pct" w:w="5000"/>
        <w:jc w:val="left"/>
        <w:tblLayout w:type="autofit"/>
        <w:tblLook w:firstColumn="1" w:firstRow="1" w:lastColumn="0" w:lastRow="0" w:noHBand="0" w:noVBand="1" w:val="04A0"/>
      </w:tblPr>
      <w:tblGrid>
        <w:gridCol w:w="3264"/>
        <w:gridCol w:w="3264"/>
        <w:gridCol w:w="3264"/>
      </w:tblGrid>
      <w:tr>
        <w:trPr>
          <w:tblHeader w:val="true"/>
          <w:cantSplit/>
        </w:trPr>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criterion</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covered by</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note</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R-3, R-4 (and Auburn, held as the Qualifications closer quote)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Three of five references sit outside California; Section 10 has the one-sentence Rule 31 construction for that</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Activated sludge with primary clarifiers at comparable scale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R-2 Westside 28.26, R-1 Waterbury 27, B-1 San Marcos 9</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Nothing in the set sits inside 5–20 MGD with primary clarifiers.</w:t>
            </w:r>
            <w:r>
              <w:rPr>
                <w:rFonts w:ascii="Arial" w:hAnsi="Arial"/>
              </w:rPr>
              <w:t xml:space="preserve"> State the band as "9 to 28 MGD, primary treatment into activated sludge" rather than claiming an exact match. If B-1 is promoted the band closes to 9 MGD at the bottom</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Collection system at scale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R-1 approximately 310 miles and 20 pump stations; R-5 48 miles and 11 lift stations; R-2 eight major lift stations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C-001.4 answer is the enumerated eleven-system list at LN-20, not the reference set</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Stormwater collection scope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R-2 pump-assisted stormwater injection wells is the nearest fact; there is no municipal stormwater collection O&amp;M reference in the bank</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G-03 supplies the write-around, and D-07 turns the position into a theme</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Odor and community</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R-1 (more than 55%, a $2M upgrade, a source-characterization study), R-4 (contract guarantees), R-5 (dispersion study, no capital), R-2 (biofilter), B-1 (biotrickling filters)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best-evidenced theme in the pursuit after the OCWUT extraction</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Regulatory settlement or enforcement</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R-1 (overflow-driven procurement), R-4 (self-disclosure record), B-2 (enforcement resolved)</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Incumbent displacement</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R-2 (2015–2016), R-3 (2025, California), R-5 (competitive replacement of a contractor)</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Wilmington, DE is a third displacement of the same operator (PX-40, TM-0021) and is available for the interview</w:t>
            </w:r>
          </w:p>
        </w:tc>
      </w:tr>
    </w:tbl>
    <w:p>
      <w:pPr>
        <w:spacing w:after="80"/>
      </w:pPr>
    </w:p>
    <w:p>
      <w:pPr/>
      <w:r>
        <w:rPr>
          <w:rFonts w:ascii="Arial" w:hAnsi="Arial"/>
          <w:b/>
        </w:rPr>
        <w:t>Dropped, deliberately.</w:t>
      </w:r>
      <w:r>
        <w:rPr>
          <w:rFonts w:ascii="Arial" w:hAnsi="Arial"/>
        </w:rPr>
        <w:t xml:space="preserve"> </w:t>
      </w:r>
      <w:r>
        <w:rPr>
          <w:rFonts w:ascii="Arial" w:hAnsi="Arial"/>
          <w:b/>
        </w:rPr>
        <w:t>South Huron Valley Utility Authority</w:t>
      </w:r>
      <w:r>
        <w:rPr>
          <w:rFonts w:ascii="Arial" w:hAnsi="Arial"/>
        </w:rPr>
        <w:t xml:space="preserve"> leaves the five: two unresolved source conflicts (36 against 39 interceptor miles; a literal "$xxM" fee placeholder on its own Appendix B page) and no usable client quote, because the testimonial printed on its page is a copy of the Southbridge quote. Its workforce-transition value is carried better by R-2 and R-1 (PX-35, PX-36). </w:t>
      </w:r>
      <w:r>
        <w:rPr>
          <w:rFonts w:ascii="Arial" w:hAnsi="Arial"/>
          <w:b/>
        </w:rPr>
        <w:t>Westerly, RI</w:t>
      </w:r>
      <w:r>
        <w:rPr>
          <w:rFonts w:ascii="Arial" w:hAnsi="Arial"/>
        </w:rPr>
        <w:t xml:space="preserve"> stays out of the five at 3.3 MGD with no California or stormwater angle, but supplies five of our strongest proof points (PX-05, PX-11, PX-14, PX-25, PX-26, PX-32) as a case-study callout inside 8.4.5, where it costs no reference slot. </w:t>
      </w:r>
      <w:r>
        <w:rPr>
          <w:rFonts w:ascii="Arial" w:hAnsi="Arial"/>
          <w:b/>
        </w:rPr>
        <w:t>Auburn, CA</w:t>
      </w:r>
      <w:r>
        <w:rPr>
          <w:rFonts w:ascii="Arial" w:hAnsi="Arial"/>
        </w:rPr>
        <w:t xml:space="preserve"> has no owner contact anywhere in the bank and no fee (G-17); it is the Qualifications closer quote if cleared, not a listed reference.</w:t>
      </w:r>
    </w:p>
    <w:p>
      <w:pPr>
        <w:pStyle w:val="Heading1"/>
      </w:pPr>
      <w:r>
        <w:rPr>
          <w:rFonts w:ascii="Arial" w:hAnsi="Arial"/>
        </w:rPr>
        <w:t>4. House stories, ranked</w:t>
      </w:r>
    </w:p>
    <w:p>
      <w:pPr/>
      <w:r>
        <w:rPr>
          <w:rFonts w:ascii="Arial" w:hAnsi="Arial"/>
        </w:rPr>
        <w:t xml:space="preserve">Eight stories, ranked by the scored points each moves. Every proof ID is from Section 2; every ST- ID resolves in </w:t>
      </w:r>
      <w:r>
        <w:rPr>
          <w:rFonts w:ascii="Consolas" w:hAnsi="Consolas"/>
          <w:sz w:val="22"/>
        </w:rPr>
        <w:t>stories/catalog.md</w:t>
      </w:r>
      <w:r>
        <w:rPr>
          <w:rFonts w:ascii="Arial" w:hAnsi="Arial"/>
        </w:rPr>
        <w:t xml:space="preserve">. </w:t>
      </w:r>
      <w:r>
        <w:rPr>
          <w:rFonts w:ascii="Consolas" w:hAnsi="Consolas"/>
          <w:sz w:val="22"/>
        </w:rPr>
        <w:t>STN-</w:t>
      </w:r>
      <w:r>
        <w:rPr>
          <w:rFonts w:ascii="Arial" w:hAnsi="Arial"/>
        </w:rPr>
        <w:t xml:space="preserve"> entries are real, sourced stories not yet catalogued — D-24 catalogues them.</w:t>
      </w:r>
    </w:p>
    <w:tbl>
      <w:tblPr>
        <w:tblW w:type="pct" w:w="5000"/>
        <w:jc w:val="left"/>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rank</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story</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the beat — quote it, do not paraphrase it away</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proof ids</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assigned section</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ST-0005 — Waterbury: river overflows to a client-published $12.7 million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City estimated cost savings of up to $12.7 million compared to the previous operating approach." The number is the client's, and it now travels with a 99.57% compliance rate, an odor result and a collections result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PX-17, PX-01, PX-02, PX-04, PX-09, PX-36, PX-43, PX-53, PX-56 · LN-39 to LN-45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8.4.2 Executive Summary, the closer</w:t>
            </w:r>
            <w:r>
              <w:rPr>
                <w:rFonts w:ascii="Arial" w:hAnsi="Arial"/>
              </w:rPr>
              <w:t xml:space="preserve"> · 8.4.3 R-1 write-up · 8.4.5 collections and odor</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STN-01 — Vancouver: a 38-year operator replaced, then the control system rebuilt under a running plant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led a $25M, multi-year modernization of the SCADA and control infrastructure... without a single service interruption." Two plants, no interruption, and the staff scored the change 3.3 to 4.7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PX-13, PX-21, PX-22, PX-34, PX-35, PX-38, PX-44, PX-57 · LN-46 to LN-49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8.4.4 transition · 8.4.5 Maintenance Plan, OT and cybersecurity · 8.4.2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ST-0013 — West Basin: the nation's largest reuse facility, taken over this year, in California</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are currently leading the transition from the District's previous contract operator." Then the staff satisfaction moving 3.6 to 4.1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PX-37, PX-42 · LN-50, LN-51, LN-52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8.4.3 Qualifications, the closer</w:t>
            </w:r>
            <w:r>
              <w:rPr>
                <w:rFonts w:ascii="Arial" w:hAnsi="Arial"/>
              </w:rPr>
              <w:t xml:space="preserve"> · 8.4.4 transition · 8.4.2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ST-0001 — Westerly: the first eighteen months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"Removing six 30-yard containers of trash and debris from throughout the facility and pump stations, including scrap metal that was recycled with the money refunded to the client."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PX-05, PX-11, PX-14, PX-25, PX-26, PX-32 · LN-61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8.4.5 Site housekeeping, the section closer</w:t>
            </w:r>
            <w:r>
              <w:rPr>
                <w:rFonts w:ascii="Arial" w:hAnsi="Arial"/>
              </w:rPr>
              <w:t xml:space="preserve"> · 8.4.2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STN-02 — San Marcos: twenty years of taking cost out of the same treatment train Richmond runs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"Our team reduced ferric chloride use by 65%... cut electricity consumption by more than 174,000 kWh annually through operational changes alone, with no capital investment required."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PX-07, PX-18, PX-19, PX-24, PX-58 · LN-59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Operational Approach — process, chemical, energy, odor, solids · 8.4.7 fee narrative</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ST-0008 — Southbridge: odor complaints resolved without a capital project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"These changes addressed the root causes of odors without requiring immediate capital investment." It names a before-condition under a previous operator and a mechanism, and answers the fear that odor fixes mean capital dollars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PX-06 (qualitative). Pair with PX-05 so the odor theme carries one dollar figure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odor sidebar · 8.4.2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ST-0006 — Traverse City: a noncompliant plant under enforcement becomes a 35-year record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"We assumed operations when the facility was noncompliant and implemented a comprehensive operational strategy and maintenance management program that restored compliance and resolved enforcement actions." Then cite the award spread, not one award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PX-10, PX-12, PX-20 · LN-60</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permit compliance · 8.4.5 Operational Approach</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ST-0014 — Auburn: more than three decades, and Plant of the Year every year since 2012</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Jacobs team has won Plant of the Year and Collections of the Year every year since 2012 from the California Water Environment Association." Specific enough to be checked, which is what makes it credible</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PX-11 pattern; PP-0305 · LN-36, LN-37</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8.4.3 California sidebar · 8.4.5 collections sidebar</w:t>
            </w:r>
          </w:p>
        </w:tc>
      </w:tr>
    </w:tbl>
    <w:p>
      <w:pPr>
        <w:spacing w:after="80"/>
      </w:pPr>
    </w:p>
    <w:p>
      <w:pPr/>
      <w:r>
        <w:rPr>
          <w:rFonts w:ascii="Arial" w:hAnsi="Arial"/>
          <w:b/>
        </w:rPr>
        <w:t>Held in reserve, not budgeted:</w:t>
      </w:r>
      <w:r>
        <w:rPr>
          <w:rFonts w:ascii="Arial" w:hAnsi="Arial"/>
        </w:rPr>
        <w:t xml:space="preserve"> ST-0027, reading the operating record — use it as a *device* only, rebuilt entirely from Richmond's own 18 August findings (SCADA runtimes never updated after the lead and lag pump change, grit not cleaned in ten years, one primary clarifier drive broken on the day of the visit, no stormwater debris baseline), closing on the 90-day condition assessment commitment (PX-49). Every figure in the catalogued version belongs to another plant and none of them may travel. ST-0012 Annual Innovation Workshop (PX-30, 8.4.5 innovation). ST-0010 South Huron workforce (PX-41, 8.4.4 support). ST-0020 SmartCover (PX-55, labelled a vendor case study every time). ST-0002 Westerly biosolids (PX-25, 8.4.7 only). ST-0024 Key West UV (PX-51).</w:t>
      </w:r>
    </w:p>
    <w:p>
      <w:pPr>
        <w:pStyle w:val="Heading2"/>
      </w:pPr>
      <w:r>
        <w:rPr>
          <w:rFonts w:ascii="Arial" w:hAnsi="Arial"/>
        </w:rPr>
        <w:t>The two closers, and their fallbacks</w:t>
      </w:r>
    </w:p>
    <w:p>
      <w:pPr/>
      <w:r>
        <w:rPr>
          <w:rFonts w:ascii="Arial" w:hAnsi="Arial"/>
          <w:b/>
        </w:rPr>
        <w:t>Executive Summary closer: ST-0005, Waterbury.</w:t>
      </w:r>
      <w:r>
        <w:rPr>
          <w:rFonts w:ascii="Arial" w:hAnsi="Arial"/>
        </w:rPr>
        <w:t xml:space="preserve"> It is the only story whose origin is a river-protection compliance failure, whose middle is a cleaning and CCTV programme run to a schedule, and whose end is a number the client published. With PX-01, PX-09 and PX-43 attached it closes on odor, permit performance and collections in one paragraph — the three things Richmond told us it cares about. </w:t>
      </w:r>
      <w:r>
        <w:rPr>
          <w:rFonts w:ascii="Arial" w:hAnsi="Arial"/>
          <w:b/>
        </w:rPr>
        <w:t>Fallback if the Waterbury permission or the Q-01 attribution does not clear: ST-0001, Westerly</w:t>
      </w:r>
      <w:r>
        <w:rPr>
          <w:rFonts w:ascii="Arial" w:hAnsi="Arial"/>
        </w:rPr>
        <w:t xml:space="preserve"> — six 30-yard containers and 32 eliminated callouts, the only dated, itemized answer in the library to the housekeeping finding every trip report records, and it needs no client voice to land.</w:t>
      </w:r>
    </w:p>
    <w:p>
      <w:pPr/>
      <w:r>
        <w:rPr>
          <w:rFonts w:ascii="Arial" w:hAnsi="Arial"/>
          <w:b/>
        </w:rPr>
        <w:t>Qualifications closer: ST-0013, West Basin.</w:t>
      </w:r>
      <w:r>
        <w:rPr>
          <w:rFonts w:ascii="Arial" w:hAnsi="Arial"/>
        </w:rPr>
        <w:t xml:space="preserve"> Qualifications is where the California corporation, California good standing (C-050) and the California operating record (C-001.2) live. West Basin closes it because it is the one project that is California, at scale, and a live displacement — the argument made as a fact rather than a promise. </w:t>
      </w:r>
      <w:r>
        <w:rPr>
          <w:rFonts w:ascii="Arial" w:hAnsi="Arial"/>
          <w:b/>
        </w:rPr>
        <w:t>Fallback if the West Basin permission does not clear: the California record stated without a client voice</w:t>
      </w:r>
      <w:r>
        <w:rPr>
          <w:rFonts w:ascii="Arial" w:hAnsi="Arial"/>
        </w:rPr>
        <w:t xml:space="preserve"> — 1984 first project (LN-31), 26 facilities (LN-32), the recomputed tenure map (LN-35), and the Auburn award streak (LN-37) — closing on the enumerated crosswalk rather than on a quote. </w:t>
      </w:r>
      <w:r>
        <w:rPr>
          <w:rFonts w:ascii="Arial" w:hAnsi="Arial"/>
          <w:b/>
        </w:rPr>
        <w:t>Neither closer may be replaced by an unnamed voice.</w:t>
      </w:r>
    </w:p>
    <w:p>
      <w:pPr>
        <w:pStyle w:val="Heading1"/>
      </w:pPr>
      <w:r>
        <w:rPr>
          <w:rFonts w:ascii="Arial" w:hAnsi="Arial"/>
        </w:rPr>
        <w:t>5. Quotable inventory</w:t>
      </w:r>
    </w:p>
    <w:p>
      <w:pPr/>
      <w:r>
        <w:rPr>
          <w:rFonts w:ascii="Arial" w:hAnsi="Arial"/>
        </w:rPr>
        <w:t xml:space="preserve">Every quote the proposal may print, with its permission status. </w:t>
      </w:r>
      <w:r>
        <w:rPr>
          <w:rFonts w:ascii="Arial" w:hAnsi="Arial"/>
          <w:b/>
        </w:rPr>
        <w:t>All 46 entries in `testimonials/inventory.md` carry `permission: unknown`. No release, approval or reuse authorization is recorded anywhere in the content bank.</w:t>
      </w:r>
      <w:r>
        <w:rPr>
          <w:rFonts w:ascii="Arial" w:hAnsi="Arial"/>
        </w:rPr>
        <w:t xml:space="preserve"> Every client quote below is therefore </w:t>
      </w:r>
      <w:r>
        <w:rPr>
          <w:rFonts w:ascii="Arial" w:hAnsi="Arial"/>
          <w:b/>
        </w:rPr>
        <w:t>NOT PRINTABLE</w:t>
      </w:r>
      <w:r>
        <w:rPr>
          <w:rFonts w:ascii="Arial" w:hAnsi="Arial"/>
        </w:rPr>
        <w:t xml:space="preserve"> until the account manager confirms consent in writing (G-12). Voice Rule 32 also caps a pull quote at 35 words with name, title and organization, never unnamed, at most one per major section — so the ceiling is five quotes in the whole book even if every permission lands.</w:t>
      </w:r>
    </w:p>
    <w:p>
      <w:pPr/>
      <w:r>
        <w:rPr>
          <w:rFonts w:ascii="Arial" w:hAnsi="Arial"/>
        </w:rPr>
        <w:t>The text below is the wording a writer would lay out. It is recorded here so that no one has to go back to the inventory if permissions arrive late.</w:t>
      </w:r>
    </w:p>
    <w:tbl>
      <w:tblPr>
        <w:tblW w:type="pct" w:w="5000"/>
        <w:jc w:val="left"/>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text (trim to 35 words for a pull quote; print in full or not at all)</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attribution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permission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intended placement and note</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"Protection of the Naugatuck River is a key priority for our city. We went through a careful process to select our O&amp;M contractor, and I'm pleased that we chose Jacobs. I've seen a lot of improvements since our partnership began in 2018, and I rest easier knowing that Kevin Dahl and his team are taking excellent care of our wastewater system."</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CONFLICT.</w:t>
            </w:r>
            <w:r>
              <w:rPr>
                <w:rFonts w:ascii="Arial" w:hAnsi="Arial"/>
              </w:rPr>
              <w:t xml:space="preserve"> TM-0006 records Mike LeBlanc, Director of Finance, City of Waterbury (hull p0076 para 17). The identical text is attributed to Mayor Neil O'Leary in ocwut p0170 para 1, with "I'm *very* pleased"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 — attribution unresolved.</w:t>
            </w:r>
            <w:r>
              <w:rPr>
                <w:rFonts w:ascii="Arial" w:hAnsi="Arial"/>
              </w:rPr>
              <w:t xml:space="preserve"> Two Jacobs proposals put the same words in two different mouths, and LeBlanc is the R-1 reference contact. D-09 resolves or drops it. Also confirm Kevin Dahl is still on the account before printing a named-staff quote</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transition was managed very effectively, with minimal challenges, and resulted in a smooth and successful onboarding for a system of this complexity."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TM-0004 — Susanna Li, Manager of Engineering, West Basin Municipal Water District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 Highest-priority clearance.</w:t>
            </w:r>
            <w:r>
              <w:rPr>
                <w:rFonts w:ascii="Arial" w:hAnsi="Arial"/>
              </w:rPr>
              <w:t xml:space="preserve"> California, a transition, and the speaker is also the R-3 reference contact — one call covers both. Intended for 8.4.4</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"This O&amp;M contract reflects our fervent commitment to investing in the long-term performance of our recycled water treatment facilities... We look forward to working with Jacobs to continue that high-quality production our customers have come to know and trust."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TM-0017 — Gloria Gray, Board President and Division II Director, West Basin MWD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Board-level validation; pairs with Q-02 and with the ST-0013 Qualifications closer. Longer than 35 words in the source — trim to the closing sentence and re-clear the trimmed text. No contact on file</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"For the past 32 years, Jacobs has been our contract operator for the City of Auburn's Wastewater Treatment Plant and Collections System... The Jacobs team has won Plant of the Year and Collections of the Year every year since 2012 from the California Water Environment Association... we think of them as an extension of the City."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TM-0003 — Mengil Dean, Public Works Manager, City of Auburn WWTP, CA</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unknown; </w:t>
            </w:r>
            <w:r>
              <w:rPr>
                <w:rFonts w:ascii="Arial" w:hAnsi="Arial"/>
                <w:b/>
              </w:rPr>
              <w:t>no contact on file anywhere in the bank</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best California tenure quote we hold, and the single highest-value missing contact in the pursuit (G-17). The quote fixes "32 years", so Jacobs prose must use the unbounded phrasing at LN-36</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took responsibility of operating and maintaining Vancouver's wastewater treatment plants in 2016. As part of the transition process Jacobs put together a comprehensive transition plan which made the process very positive, smooth and seamless for not only the City but also the existing staff that became Jacobs employees. There was a high degree of transparency which continues to this day."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TM-0020 — Frank Dick, PE, Sewer and Wastewater Engineering Supervisor, City of Vancouver Public Works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transparency theme's best external voice and the R-2 transition quote. Trim to 35 words. The "in 2016" is consistent with LN-48 as the transition completion year; the prose beside it must not print 2015 as an alternative</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"Jacobs has seamlessly integrated engineering, construction, and contract operations to deliver several equipment and controls system in a cost-effective manner... maintain treatment plant level-of-service; and maintain or extend service life of assets."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TM-0019 — Frank Dick, PE, City of Vancouver Public Works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controls and OT quote — the exact voice for the Richmond cybersecurity hot button. It contains a word banned in our own prose; quoted client speech is exempt, but do not echo it</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Town of Westerly was pleased to receive Jacobs' innovative proposal, which increased the annual O&amp;M budget by $100,000 while saving the Town $100,000 annually in contract costs. Jacobs staff were on hand to take over hours before the contract inception and they hit the ground running."</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TM-0007 — Sheila M. McGauvran, PE, Town Engineer, Town of Westerly, RI</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most quotable paradox in the library and the natural voice for the M&amp;R transparency argument in 8.4.7. The page reference contact is a different person, so consent must come from McGauvran</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Q-08</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"Southbridge was in need of a fresh start for our wastewater operations, and after undertaking a competitive procurement process, we were able to select the company that we feel is best suited for our needs."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TM-0008 — Rich Benoit, Director of Public Works, Town of Southbridge, MA</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Carries a source hazard: the identical quote is reprinted on the South Huron page (hull p0079 para 20) and </w:t>
            </w:r>
            <w:r>
              <w:rPr>
                <w:rFonts w:ascii="Arial" w:hAnsi="Arial"/>
                <w:b/>
              </w:rPr>
              <w:t>must never be attributed to SHVUA</w:t>
            </w:r>
            <w:r>
              <w:rPr>
                <w:rFonts w:ascii="Arial" w:hAnsi="Arial"/>
              </w:rPr>
              <w:t xml:space="preserve"> — that would be a fabricated endorsement</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Q-09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"One of the value-added qualities of Jacobs is the maintenance program. For example, the Traverse City WWTP filter membrane operation has exceeded the life expectancy because of the maintenance program Jacobs put in place."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TM-0009 — Richard Lewis, Council Commissioner, City of Traverse City, MI</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An elected official crediting maintenance for an asset-life outcome. A variant appears in fulton p0175 para 10; use the hull p0080 para 23 wording and no other</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Q-10</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"...What I appreciate most is the outstanding communication and transparency we have with their team, which is essential to having a positive and productive partnership."</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TM-0016 — Andrew Katen, Turlock Irrigation District, CA</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unknown; </w:t>
            </w:r>
            <w:r>
              <w:rPr>
                <w:rFonts w:ascii="Arial" w:hAnsi="Arial"/>
                <w:b/>
              </w:rPr>
              <w:t>no title in the source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 — doubly blocked.</w:t>
            </w:r>
            <w:r>
              <w:rPr>
                <w:rFonts w:ascii="Arial" w:hAnsi="Arial"/>
              </w:rPr>
              <w:t xml:space="preserve"> Rule 32 requires name, title and organization. Obtain the title with the consent, or drop</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Q-11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"From design through start-up and now operations, Jacobs has provided valuable support and service to Soquel Creek Water District... We've welcomed Jacobs as an extension of our team."</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TM-0015 — Melanie Mow Schumacher, General Manager, Soquel Creek Water District, CA</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 no contact on file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A third California voice. The "extension of our team" phrase duplicates Q-04 — print at most one of the two</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Q-12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"Despite the many challenges presented by the COVID-19 outbreak, Jacobs implemented a smooth and successful transition from our previous operator... a technical team that applied their engineering and operational expertise to ensure that operations continued without interruption."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TM-0021 — Vincent R. Carroccia, Deputy Commissioner of Public Works, City of Wilmington, DE, 302.576.3081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third displacement of the same operator; use only if Q-05 cannot be cleared, to avoid two transition quotes in one section. TM-0010 is a second Carroccia quote about the Innovation Workshop — never print both</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Q-13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Annual Innovation Workshop was very informative and it was amazing how much information was packed in 8 hours. It was like attending a WEFTEC workshop in your own backyard with all the presentations that were custom made for your facility."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TM-0002 — Firooz Fath-Azam, </w:t>
            </w:r>
            <w:r>
              <w:rPr>
                <w:rFonts w:ascii="Arial" w:hAnsi="Arial"/>
                <w:b/>
              </w:rPr>
              <w:t>former</w:t>
            </w:r>
            <w:r>
              <w:rPr>
                <w:rFonts w:ascii="Arial" w:hAnsi="Arial"/>
              </w:rPr>
              <w:t xml:space="preserve"> System Manager, South Huron Valley Utility Authority, MI</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The speaker is a former manager; confirm he will stand behind it in a live pursuit, and print the title accurately if cleared</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Q-14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 the throes of the water crisis, only Jacobs was willing to answer our calls for assistance... they have proven to be outstanding partners, delivering on their commitments..."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TM-0005 — Ted Henifin, Interim Third Party Manager, JXN Water</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Powerful and off-theme for Richmond, and the account is politically sensitive. Reserve for the interview, not the book, and clear with the account team first</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Q-15</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Generic praise with no Richmond hook</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TM-0018 — Gilbert Davidson, Town Manager, Prescott Valley, AZ; TM-0031 — Bruce Rawls, PE, Spokane County Utilities Director, WA</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unknown</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NOT PRINTABLE, and recommend dropping both.</w:t>
            </w:r>
            <w:r>
              <w:rPr>
                <w:rFonts w:ascii="Arial" w:hAnsi="Arial"/>
              </w:rPr>
              <w:t xml:space="preserve"> Neither answers a Richmond criterion</w:t>
            </w:r>
          </w:p>
        </w:tc>
      </w:tr>
    </w:tbl>
    <w:p>
      <w:pPr>
        <w:spacing w:after="80"/>
      </w:pPr>
    </w:p>
    <w:p>
      <w:pPr>
        <w:pStyle w:val="Heading2"/>
      </w:pPr>
      <w:r>
        <w:rPr>
          <w:rFonts w:ascii="Arial" w:hAnsi="Arial"/>
        </w:rPr>
        <w:t>Quotes that are not client testimonials — separate rules</w:t>
      </w:r>
    </w:p>
    <w:tbl>
      <w:tblPr>
        <w:tblW w:type="pct" w:w="5000"/>
        <w:jc w:val="left"/>
        <w:tblLayout w:type="autofit"/>
        <w:tblLook w:firstColumn="1" w:firstRow="1" w:lastColumn="0" w:lastRow="0" w:noHBand="0" w:noVBand="1" w:val="04A0"/>
      </w:tblPr>
      <w:tblGrid>
        <w:gridCol w:w="3264"/>
        <w:gridCol w:w="3264"/>
        <w:gridCol w:w="3264"/>
      </w:tblGrid>
      <w:tr>
        <w:trPr>
          <w:tblHeader w:val="true"/>
          <w:cantSplit/>
        </w:trPr>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id(s)</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they are</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rule</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TM-0011, TM-0012, TM-0013</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Unattributed utility customers in SmartCover vendor marketing (Arlington TX, South Coast Water District, New Jersey American Water)</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NOT PRINTABLE.</w:t>
            </w:r>
            <w:r>
              <w:rPr>
                <w:rFonts w:ascii="Arial" w:hAnsi="Arial"/>
              </w:rPr>
              <w:t xml:space="preserve"> No named speaker, so they fail Rule 32 outright, and they are a vendor's marketing, not Jacobs past performance. Describe the capability without them or not at all</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TM-0014</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Tony Duffy, Jacobs Plant Manager at Clovis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Printable as a clearly labelled </w:t>
            </w:r>
            <w:r>
              <w:rPr>
                <w:rFonts w:ascii="Arial" w:hAnsi="Arial"/>
                <w:b/>
              </w:rPr>
              <w:t>operator voice</w:t>
            </w:r>
            <w:r>
              <w:rPr>
                <w:rFonts w:ascii="Arial" w:hAnsi="Arial"/>
              </w:rPr>
              <w:t xml:space="preserve"> inside our own prose, with Duffy's consent, and never where a reader would take it for the City of Clovis speaking</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TM-0022 to TM-0046</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Twenty-five Jacobs staff self-statements from the Fulton County and OCWUT proposals, including TM-0040 (Roy Aristizabal) and TM-0042 (Amy Dembinski)</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Printable as key-personnel callouts beside the named person's own bio, with that person's consent, never styled as a client speaking. </w:t>
            </w:r>
            <w:r>
              <w:rPr>
                <w:rFonts w:ascii="Arial" w:hAnsi="Arial"/>
                <w:b/>
              </w:rPr>
              <w:t>Do not reuse another pursuit's words for a Richmond person</w:t>
            </w:r>
            <w:r>
              <w:rPr>
                <w:rFonts w:ascii="Arial" w:hAnsi="Arial"/>
              </w:rPr>
              <w:t xml:space="preserve"> — write new statements for whoever is named here</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TM-0001</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Paul Rheault, Executive Vice President: "I, the below signatory, am authorized to bind the firm making this Proposal and attest that the contents contained herein are complete and accurate."</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 xml:space="preserve">This is the </w:t>
            </w:r>
            <w:r>
              <w:rPr>
                <w:rFonts w:ascii="Arial" w:hAnsi="Arial"/>
                <w:b/>
              </w:rPr>
              <w:t>cover-letter attestation pattern</w:t>
            </w:r>
            <w:r>
              <w:rPr>
                <w:rFonts w:ascii="Arial" w:hAnsi="Arial"/>
              </w:rPr>
              <w:t xml:space="preserve"> required by C-016, C-041 and C-042, not a testimonial. The name on it must be the confirmed Richmond signatory (G-13), not Rheault by default</w:t>
            </w:r>
          </w:p>
        </w:tc>
      </w:tr>
    </w:tbl>
    <w:p>
      <w:pPr>
        <w:spacing w:after="80"/>
      </w:pPr>
    </w:p>
    <w:p>
      <w:pPr/>
      <w:r>
        <w:rPr>
          <w:rFonts w:ascii="Arial" w:hAnsi="Arial"/>
          <w:b/>
        </w:rPr>
        <w:t>Count: 15 client quotes assessed, 0 printable today (16 speakers; Q-15 covers two).</w:t>
      </w:r>
      <w:r>
        <w:rPr>
          <w:rFonts w:ascii="Arial" w:hAnsi="Arial"/>
        </w:rPr>
        <w:t xml:space="preserve"> If no permission returns by 2026-09-22, the proposal prints </w:t>
      </w:r>
      <w:r>
        <w:rPr>
          <w:rFonts w:ascii="Arial" w:hAnsi="Arial"/>
          <w:b/>
        </w:rPr>
        <w:t>zero</w:t>
      </w:r>
      <w:r>
        <w:rPr>
          <w:rFonts w:ascii="Arial" w:hAnsi="Arial"/>
        </w:rPr>
        <w:t xml:space="preserve"> pull quotes and every section carries its argument in prose. That is the correct outcome, not a loss — and the two closers have named non-quote fallbacks in Section 4 so that the architecture does not fail silently.</w:t>
      </w:r>
    </w:p>
    <w:p>
      <w:pPr>
        <w:pStyle w:val="Heading1"/>
      </w:pPr>
      <w:r>
        <w:rPr>
          <w:rFonts w:ascii="Arial" w:hAnsi="Arial"/>
        </w:rPr>
        <w:t>6. The unmatchable fact</w:t>
      </w:r>
    </w:p>
    <w:p>
      <w:pPr/>
      <w:r>
        <w:rPr>
          <w:rFonts w:ascii="Arial" w:hAnsi="Arial"/>
          <w:b/>
        </w:rPr>
        <w:t>Mack Mckenzie was the Chief Plant Operator and Assistant General Manager of the Richmond Water Pollution Control Plant.</w:t>
      </w:r>
      <w:r>
        <w:rPr>
          <w:rFonts w:ascii="Arial" w:hAnsi="Arial"/>
        </w:rPr>
        <w:t xml:space="preserve"> No competitor can write that sentence, and neither can the incumbent. It is the highest-leverage fact in the pursuit and the easiest one to over-reach on.</w:t>
      </w:r>
    </w:p>
    <w:p>
      <w:pPr>
        <w:pStyle w:val="Heading2"/>
      </w:pPr>
      <w:r>
        <w:rPr>
          <w:rFonts w:ascii="Arial" w:hAnsi="Arial"/>
        </w:rPr>
        <w:t>Exact wording allowed</w:t>
      </w:r>
    </w:p>
    <w:p>
      <w:pPr/>
      <w:r>
        <w:rPr>
          <w:rFonts w:ascii="Arial" w:hAnsi="Arial"/>
        </w:rPr>
        <w:t xml:space="preserve">Verbatim from </w:t>
      </w:r>
      <w:r>
        <w:rPr>
          <w:rFonts w:ascii="Consolas" w:hAnsi="Consolas"/>
          <w:sz w:val="22"/>
        </w:rPr>
        <w:t>wiki/resumes/mack-mckenzie.md</w:t>
      </w:r>
      <w:r>
        <w:rPr>
          <w:rFonts w:ascii="Arial" w:hAnsi="Arial"/>
        </w:rPr>
        <w:t>, sourced to sm p0086 paras 2–3 (PP-0596, PP-0597):</w:t>
      </w:r>
    </w:p>
    <w:p>
      <w:pPr/>
      <w:r>
        <w:rPr>
          <w:rFonts w:ascii="Arial" w:hAnsi="Arial"/>
        </w:rPr>
        <w:t xml:space="preserve">&gt; </w:t>
      </w:r>
      <w:r>
        <w:rPr>
          <w:rFonts w:ascii="Arial" w:hAnsi="Arial"/>
          <w:b/>
        </w:rPr>
        <w:t>Chief Plant Operator (CPO)/Assistant General Manager | Richmond Water Pollution Control Plant | Richmond, CA.</w:t>
      </w:r>
      <w:r>
        <w:rPr>
          <w:rFonts w:ascii="Arial" w:hAnsi="Arial"/>
        </w:rPr>
        <w:t xml:space="preserve"> Mack was responsible for the operation, maintenance, collections system, and laboratory at the Richmond Water Pollution Control Plant, a facility designed for 16-MGD treatment of the City's sewage. He supervised 27 employees within five departments: Operations, Maintenance, Collections, Laboratory, and Administration.</w:t>
      </w:r>
    </w:p>
    <w:p>
      <w:pPr/>
      <w:r>
        <w:rPr>
          <w:rFonts w:ascii="Arial" w:hAnsi="Arial"/>
          <w:b/>
        </w:rPr>
        <w:t>Also available, verbatim, from the same block:</w:t>
      </w:r>
      <w:r>
        <w:rPr>
          <w:rFonts w:ascii="Arial" w:hAnsi="Arial"/>
        </w:rPr>
        <w:t xml:space="preserve"> duties including "fostering a safe work environment, meeting contract deliverables, maintaining client satisfaction, presenting at monthly board meetings, ensuring regulatory and lab compliance, addressing routine and emergency maintenance issues, capital planning, budget compliance, managing large capital projects, implementing efficiency programs, and developing long-term strategic plans"; "Mack also trained operations staff in wastewater theory and practical application"; credentials Wastewater Treatment Plant Operator Grade V, Water Treatment Operator T2, AWT3, Distribution System Operator D2; current standing "Member, California State Water Resources Control Board — Wastewater Needs Assessment Advisory Group (2024–2027)"; and 33 miles of sewer line cleaning and CCTV recording completed at the Fillmore Recycled Water Facility (PP-0605).</w:t>
      </w:r>
    </w:p>
    <w:p>
      <w:pPr>
        <w:pStyle w:val="Heading2"/>
      </w:pPr>
      <w:r>
        <w:rPr>
          <w:rFonts w:ascii="Arial" w:hAnsi="Arial"/>
        </w:rPr>
        <w:t>Seven hard rules</w:t>
      </w:r>
    </w:p>
    <w:p>
      <w:pPr>
        <w:pStyle w:val="ListNumber"/>
      </w:pPr>
      <w:r>
        <w:rPr>
          <w:rFonts w:ascii="Arial" w:hAnsi="Arial"/>
          <w:b/>
        </w:rPr>
        <w:t>Past tense, always.</w:t>
      </w:r>
      <w:r>
        <w:rPr>
          <w:rFonts w:ascii="Arial" w:hAnsi="Arial"/>
        </w:rPr>
        <w:t xml:space="preserve"> Mack ran that plant; he does not run it now.</w:t>
      </w:r>
    </w:p>
    <w:p>
      <w:pPr>
        <w:pStyle w:val="ListNumber"/>
      </w:pPr>
      <w:r>
        <w:rPr>
          <w:rFonts w:ascii="Arial" w:hAnsi="Arial"/>
          <w:b/>
        </w:rPr>
        <w:t>Never print the capacity in the same paragraph.</w:t>
      </w:r>
      <w:r>
        <w:rPr>
          <w:rFonts w:ascii="Arial" w:hAnsi="Arial"/>
        </w:rPr>
        <w:t xml:space="preserve"> The resume says "designed for 16-MGD"; the City's plant is 20 MGD today with a 4.6 MG storm storage tank (LN-67, LN-85). Both are true at different dates, and a reader who spots the seam reads it as carelessness about the City's own plant. The box names the role, the four functions, the 27 people and the five departments. Nothing about capacity. If the box and a current-capacity sentence would land on the same page, move the capacity sentence.</w:t>
      </w:r>
    </w:p>
    <w:p>
      <w:pPr>
        <w:pStyle w:val="ListNumber"/>
      </w:pPr>
      <w:r>
        <w:rPr>
          <w:rFonts w:ascii="Arial" w:hAnsi="Arial"/>
          <w:b/>
        </w:rPr>
        <w:t>Never state when he was there, or for how long.</w:t>
      </w:r>
      <w:r>
        <w:rPr>
          <w:rFonts w:ascii="Arial" w:hAnsi="Arial"/>
        </w:rPr>
        <w:t xml:space="preserve"> The bank carries no Richmond tenure dates, and the resume's "Total Water/Wastewater Experience: 11 years" covers a career that also includes Soquel Creek, Novato, SBIWTP San Diego, Limoneira, Santa Paula and Fillmore. Write the role as a completed fact without a period until the account team supplies dates (G-19).</w:t>
      </w:r>
    </w:p>
    <w:p>
      <w:pPr>
        <w:pStyle w:val="ListNumber"/>
      </w:pPr>
      <w:r>
        <w:rPr>
          <w:rFonts w:ascii="Arial" w:hAnsi="Arial"/>
          <w:b/>
        </w:rPr>
        <w:t>Never write him as proposed until D-01 is decided.</w:t>
      </w:r>
      <w:r>
        <w:rPr>
          <w:rFonts w:ascii="Arial" w:hAnsi="Arial"/>
        </w:rPr>
        <w:t xml:space="preserve"> PURSUIT records both key personnel as placeholders by the decision of 2026-09-05 and Mack's role as pending. Until that changes he is a Jacobs operations leader who held that post. The pilot's editor already made this correction once.</w:t>
      </w:r>
    </w:p>
    <w:p>
      <w:pPr>
        <w:pStyle w:val="ListNumber"/>
      </w:pPr>
      <w:r>
        <w:rPr>
          <w:rFonts w:ascii="Arial" w:hAnsi="Arial"/>
          <w:b/>
        </w:rPr>
        <w:t>Never imply access.</w:t>
      </w:r>
      <w:r>
        <w:rPr>
          <w:rFonts w:ascii="Arial" w:hAnsi="Arial"/>
        </w:rPr>
        <w:t xml:space="preserve"> C-014 bars contact with City employees about this solicitation and C-043 requires disclosure of any communication with City staff or Council since the RFP release. A former Richmond WPCP leader on our team invites exactly that question. The wording states his history and nothing about relationships, and the C-043 disclosure is completed on the strength of a positive check, not an assumption.</w:t>
      </w:r>
    </w:p>
    <w:p>
      <w:pPr>
        <w:pStyle w:val="ListNumber"/>
      </w:pPr>
      <w:r>
        <w:rPr>
          <w:rFonts w:ascii="Arial" w:hAnsi="Arial"/>
          <w:b/>
        </w:rPr>
        <w:t>The prose beside the box says what it changes, once.</w:t>
      </w:r>
      <w:r>
        <w:rPr>
          <w:rFonts w:ascii="Arial" w:hAnsi="Arial"/>
        </w:rPr>
        <w:t xml:space="preserve"> One sentence, in the main clause, naming a Richmond-specific consequence — the collections and laboratory scope, or the five-department span, or the monthly board reporting. Not "unique insight". Not "unmatched familiarity" (Rule 34 bars an intensifier without a number in the same sentence).</w:t>
      </w:r>
    </w:p>
    <w:p>
      <w:pPr>
        <w:pStyle w:val="ListNumber"/>
      </w:pPr>
      <w:r>
        <w:rPr>
          <w:rFonts w:ascii="Arial" w:hAnsi="Arial"/>
          <w:b/>
        </w:rPr>
        <w:t>His Richmond history does not satisfy C-053.2 or C-054.</w:t>
      </w:r>
      <w:r>
        <w:rPr>
          <w:rFonts w:ascii="Arial" w:hAnsi="Arial"/>
        </w:rPr>
        <w:t xml:space="preserve"> Those require the named Project Manager and Collection System Manager. Placing the box near the org chart will read as if it does.</w:t>
      </w:r>
    </w:p>
    <w:p>
      <w:pPr>
        <w:pStyle w:val="Heading2"/>
      </w:pPr>
      <w:r>
        <w:rPr>
          <w:rFonts w:ascii="Arial" w:hAnsi="Arial"/>
        </w:rPr>
        <w:t>Placement rule</w:t>
      </w:r>
    </w:p>
    <w:p>
      <w:pPr>
        <w:pStyle w:val="ListBullet"/>
      </w:pPr>
      <w:r>
        <w:rPr>
          <w:rFonts w:ascii="Arial" w:hAnsi="Arial"/>
          <w:b/>
        </w:rPr>
        <w:t>Executive Summary:</w:t>
      </w:r>
      <w:r>
        <w:rPr>
          <w:rFonts w:ascii="Arial" w:hAnsi="Arial"/>
        </w:rPr>
        <w:t xml:space="preserve"> inside the first 100 words, in a boxed callout beside the opening paragraph. One box, 25 to 40 words, role and functions only.</w:t>
      </w:r>
    </w:p>
    <w:p>
      <w:pPr>
        <w:pStyle w:val="ListBullet"/>
      </w:pPr>
      <w:r>
        <w:rPr>
          <w:rFonts w:ascii="Arial" w:hAnsi="Arial"/>
          <w:b/>
        </w:rPr>
        <w:t>Qualifications (8.4.3):</w:t>
      </w:r>
      <w:r>
        <w:rPr>
          <w:rFonts w:ascii="Arial" w:hAnsi="Arial"/>
        </w:rPr>
        <w:t xml:space="preserve"> inside the first 100 words, in the same box with the same wording, at the head of the section, before the corporate-entity table.</w:t>
      </w:r>
    </w:p>
    <w:p>
      <w:pPr>
        <w:pStyle w:val="ListBullet"/>
      </w:pPr>
      <w:r>
        <w:rPr>
          <w:rFonts w:ascii="Arial" w:hAnsi="Arial"/>
          <w:b/>
        </w:rPr>
        <w:t>Nowhere else.</w:t>
      </w:r>
      <w:r>
        <w:rPr>
          <w:rFonts w:ascii="Arial" w:hAnsi="Arial"/>
        </w:rPr>
        <w:t xml:space="preserve"> Not the cover letter, not the technical approach, not the fee proposal. The device budget in Section 8 allows these two boxes and no third. This is the only device in the proposal that repeats verbatim, and that repetition is deliberate — it is the single exception to Rule 27's anti-repetition test. A fact this good degrades on the third telling.</w:t>
      </w:r>
    </w:p>
    <w:p>
      <w:pPr>
        <w:pStyle w:val="Heading2"/>
      </w:pPr>
      <w:r>
        <w:rPr>
          <w:rFonts w:ascii="Arial" w:hAnsi="Arial"/>
        </w:rPr>
        <w:t>The decision — D-01</w:t>
      </w:r>
    </w:p>
    <w:p>
      <w:pPr/>
      <w:r>
        <w:rPr>
          <w:rFonts w:ascii="Arial" w:hAnsi="Arial"/>
          <w:b/>
        </w:rPr>
        <w:t>What role does Mack Mckenzie hold, and is he available?</w:t>
      </w:r>
    </w:p>
    <w:tbl>
      <w:tblPr>
        <w:tblW w:type="pct" w:w="5000"/>
        <w:jc w:val="left"/>
        <w:tblLayout w:type="autofit"/>
        <w:tblLook w:firstColumn="1" w:firstRow="1" w:lastColumn="0" w:lastRow="0" w:noHBand="0" w:noVBand="1" w:val="04A0"/>
      </w:tblPr>
      <w:tblGrid>
        <w:gridCol w:w="3264"/>
        <w:gridCol w:w="3264"/>
        <w:gridCol w:w="3264"/>
      </w:tblGrid>
      <w:tr>
        <w:trPr>
          <w:tblHeader w:val="true"/>
          <w:cantSplit/>
        </w:trPr>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option</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 the proposal can then say</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risk</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 — named on-site Project Manager</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Everything above, and C-053.2, C-054 and C-087 are answered by the one person in the industry who has already done this job at this plant. Converts a 15% section asset into a 30% section asset</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Highest value, highest exposure. Requires availability, relocation and his consent; the City may test the claim against its own institutional memory; his current Soquel Creek project manager role would need to be backfilled</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 — named transition or start-up lead, or Operations Manager</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fact stays past tense but attaches to a named Richmond role, which is what makes the box mean something</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Moderate. Still requires availability. Must be paired with a strong named PM</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C — not on the team; the fact stated as firm knowledge only</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box stays, framed as Jacobs experience</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Lowest value. An evaluator who notices he is not proposed reads the box as decoration, and a competitor's debrief will eventually ask the question for us. If C is chosen, cut the box from the Executive Summary and keep it only in Qualifications</w:t>
            </w:r>
          </w:p>
        </w:tc>
      </w:tr>
    </w:tbl>
    <w:p>
      <w:pPr>
        <w:spacing w:after="80"/>
      </w:pPr>
    </w:p>
    <w:p>
      <w:pPr/>
      <w:r>
        <w:rPr>
          <w:rFonts w:ascii="Arial" w:hAnsi="Arial"/>
          <w:b/>
        </w:rPr>
        <w:t>Recommendation: pursue A, decide by 2026-09-12, and fall back to B on 2026-09-15 if availability is not confirmed.</w:t>
      </w:r>
      <w:r>
        <w:rPr>
          <w:rFonts w:ascii="Arial" w:hAnsi="Arial"/>
        </w:rPr>
        <w:t xml:space="preserve"> This is a sequenced decision, not a binary: A is worth chasing because it moves points in the heaviest section, and B is a dated safety net that does not stake that section on one person. Whichever is chosen, the box wording does not change; what changes is the sentence beside it.</w:t>
      </w:r>
    </w:p>
    <w:p>
      <w:pPr/>
      <w:r>
        <w:rPr>
          <w:rFonts w:ascii="Arial" w:hAnsi="Arial"/>
          <w:b/>
        </w:rPr>
        <w:t>Also required, whichever option is chosen:</w:t>
      </w:r>
      <w:r>
        <w:rPr>
          <w:rFonts w:ascii="Arial" w:hAnsi="Arial"/>
        </w:rPr>
        <w:t xml:space="preserve"> confirm his employer of record during the Richmond tenure — City employee or contract-operator staff. That answers both the conflict-of-interest question and whether the 27 employees were City or contractor staff.</w:t>
      </w:r>
    </w:p>
    <w:p>
      <w:pPr>
        <w:pStyle w:val="Heading1"/>
      </w:pPr>
      <w:r>
        <w:rPr>
          <w:rFonts w:ascii="Arial" w:hAnsi="Arial"/>
        </w:rPr>
        <w:t>7. Gap decisions</w:t>
      </w:r>
    </w:p>
    <w:p>
      <w:pPr/>
      <w:r>
        <w:rPr>
          <w:rFonts w:ascii="Arial" w:hAnsi="Arial"/>
        </w:rPr>
        <w:t>Every known gap, with a decision. The rule: nothing on this list may reach body text as a bracket, a hedge or a hedged figure. Either it is sourced by the date shown, or the write-around named here is used, or it is dropped.</w:t>
      </w:r>
    </w:p>
    <w:tbl>
      <w:tblPr>
        <w:tblW w:type="pct" w:w="5000"/>
        <w:jc w:val="left"/>
        <w:tblLayout w:type="autofit"/>
        <w:tblLook w:firstColumn="1" w:firstRow="1" w:lastColumn="0" w:lastRow="0" w:noHBand="0" w:noVBand="1" w:val="04A0"/>
      </w:tblPr>
      <w:tblGrid>
        <w:gridCol w:w="2448"/>
        <w:gridCol w:w="2448"/>
        <w:gridCol w:w="2448"/>
        <w:gridCol w:w="2448"/>
      </w:tblGrid>
      <w:tr>
        <w:trPr>
          <w:tblHeader w:val="true"/>
          <w:cantSplit/>
        </w:trPr>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gap</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decision</w:t>
            </w:r>
          </w:p>
        </w:tc>
        <w:tc>
          <w:tcPr>
            <w:tcW w:type="dxa" w:w="244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detail</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"55%+ odor complaint reduction" — flagged unsourced in the Directive and in FP §K.17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RESOLVED — source found; register and clear</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Six placements in the OCWUT verbatim layer (PX-01). Lock the magnitude at "more than 55%" and the window at "between contract years one and two" — three sources support that window; two say "within the first contract year" and one says "in the first 2 years". Register PPN-01 to PPN-04 (PX-01 to PX-04). </w:t>
            </w:r>
            <w:r>
              <w:rPr>
                <w:rFonts w:ascii="Arial" w:hAnsi="Arial"/>
                <w:b/>
              </w:rPr>
              <w:t>Owner: Roy Aristizabal, by 2026-09-12.</w:t>
            </w:r>
            <w:r>
              <w:rPr>
                <w:rFonts w:ascii="Arial" w:hAnsi="Arial"/>
              </w:rPr>
              <w:t xml:space="preserve"> Client permission follows under G-12</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NexGen EAM depth and Oklahoma City (Directive win theme 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Roy Aristizabal with Amy Dembinski; if not cleared, WRITE AROUND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content exists in the OCWUT verbatim layer, but OCWUT is a live pursuit whose outcome is not recorded, and "our team is OCWUT's implementation consultant" is a claim about another client's engagement. </w:t>
            </w:r>
            <w:r>
              <w:rPr>
                <w:rFonts w:ascii="Arial" w:hAnsi="Arial"/>
                <w:b/>
              </w:rPr>
              <w:t>Two halves, two answers.</w:t>
            </w:r>
            <w:r>
              <w:rPr>
                <w:rFonts w:ascii="Arial" w:hAnsi="Arial"/>
              </w:rPr>
              <w:t xml:space="preserve"> The *personnel* facts are usable now with the individuals' consent: Janeane Giarrusso, IAM, CMMS and NexGen SME; Amy Dembinski, CRL, 18 years in enterprise asset management, based in Tulsa, currently supporting the City of Oklahoma City's NexGen EAM implementation (ocwut p0085 para 17). The *engagement* claim is internal-only until OCWUT clears it. Write-around for the theme: the City mandates NexGen, GIS and SewerAI (LN-78), so the section describes how we configure and operate inside the City's chosen tools — hierarchy build, criticality scoring, PM and PdM libraries, work-order routing, the CCTV-to-PACP-to-condition-index chain, and the accuracy responsibility C-009 places on the operator — carried by the named SMEs and by PX-48 and PX-49, with no claimed NexGen tenure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Stormwater collection-system reference (C-001.5)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Howard Brewen; then WRITE AROUND as specified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There is no municipal stormwater collection O&amp;M reference in the bank — no catch basins, open channels or hydrodynamic separators. What exists, in priority order: Vancouver Marine Park's pump-assisted stormwater injection wells (LN-47, confirm first); Santa Monica SWIP stormwater, urban runoff and brackish groundwater diversion up to 0.5 MGD (PX-62, subject to G-20); the standard permit-ownership statement that Jacobs assumes responsibility for all permit requirements including stormwater; and the ENR ranking in Sanitary and Storm Sewers (LN-15). </w:t>
            </w:r>
            <w:r>
              <w:rPr>
                <w:rFonts w:ascii="Arial" w:hAnsi="Arial"/>
                <w:b/>
              </w:rPr>
              <w:t>Write it as capability plus method, never as a reference.</w:t>
            </w:r>
            <w:r>
              <w:rPr>
                <w:rFonts w:ascii="Arial" w:hAnsi="Arial"/>
              </w:rPr>
              <w:t xml:space="preserve"> Answer C-001.5 in the crosswalk with a row stating precisely which stormwater assets we operate, then answer the City's real question — that no debris baseline exists — with the year-one assessment and baseline cleaning. </w:t>
            </w:r>
            <w:r>
              <w:rPr>
                <w:rFonts w:ascii="Arial" w:hAnsi="Arial"/>
                <w:b/>
              </w:rPr>
              <w:t>Do not leave the crosswalk row blank:</w:t>
            </w:r>
            <w:r>
              <w:rPr>
                <w:rFonts w:ascii="Arial" w:hAnsi="Arial"/>
              </w:rPr>
              <w:t xml:space="preserve"> a modest true answer beats a blank and immeasurably beats a stretched one. The Fulton County MS4 programme belongs to CERM and is not Jacobs past performance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Bonding and surety — capacity, surety company, the notarized statement and the 30-day cancellation acknowledgment (C-026, C-047, C-051)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named owner required today; escalate 2026-09-08. No write-around exists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C-047 requires a notarized statement from the </w:t>
            </w:r>
            <w:r>
              <w:rPr>
                <w:rFonts w:ascii="Arial" w:hAnsi="Arial"/>
                <w:b/>
              </w:rPr>
              <w:t>surety company itself</w:t>
            </w:r>
            <w:r>
              <w:rPr>
                <w:rFonts w:ascii="Arial" w:hAnsi="Arial"/>
              </w:rPr>
              <w:t xml:space="preserve">, not an agent or broker. Its absence is a responsiveness failure under C-072 before any scoring happens. This is the single highest-consequence item on the sheet and it currently has a function, not a person. The only adjacent fact in the bank is Jacobs' 10-K disclosure of approximately $2.0 billion in surety bonds outstanding (fulton p0431 para 38, as of 2023-09-29), which may support a capacity sentence but </w:t>
            </w:r>
            <w:r>
              <w:rPr>
                <w:rFonts w:ascii="Arial" w:hAnsi="Arial"/>
                <w:b/>
              </w:rPr>
              <w:t>is not a substitute</w:t>
            </w:r>
            <w:r>
              <w:rPr>
                <w:rFonts w:ascii="Arial" w:hAnsi="Arial"/>
              </w:rPr>
              <w:t>. The body carries one sentence stating that performance and payment bonds equal to 100% of the Annual Fee will be furnished</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California principal office address and telephone (C-044, C-040.5)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2026-09-11 — Legal and Real Estate with Howard Brewen</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bank carries only the Boston address used for Hull. C-040.5 requires the office nearest Richmond </w:t>
            </w:r>
            <w:r>
              <w:rPr>
                <w:rFonts w:ascii="Arial" w:hAnsi="Arial"/>
                <w:b/>
              </w:rPr>
              <w:t>and</w:t>
            </w:r>
            <w:r>
              <w:rPr>
                <w:rFonts w:ascii="Arial" w:hAnsi="Arial"/>
              </w:rPr>
              <w:t xml:space="preserve"> the office from which the project will be managed — two addresses, possibly different. Print the two addresses, never an office count (LN-33). Write-around if unresolved: the project is managed from the Richmond WPCP site itself, with the California O&amp;M Director's office named as the supporting office. </w:t>
            </w:r>
            <w:r>
              <w:rPr>
                <w:rFonts w:ascii="Arial" w:hAnsi="Arial"/>
                <w:b/>
              </w:rPr>
              <w:t>Do not print a Boston address in a Richmond proposal</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Missing mandatory C-052 fields on primary references: Vancouver owner contact </w:t>
            </w:r>
            <w:r>
              <w:rPr>
                <w:rFonts w:ascii="Arial" w:hAnsi="Arial"/>
                <w:b/>
              </w:rPr>
              <w:t>and</w:t>
            </w:r>
            <w:r>
              <w:rPr>
                <w:rFonts w:ascii="Arial" w:hAnsi="Arial"/>
              </w:rPr>
              <w:t xml:space="preserve"> annual fee; West Basin annual fee; Clovis annual fee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Roy Aristizabal, one named account manager per reference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C-052 makes the annual fee and the owner contact mandatory fields. </w:t>
            </w:r>
            <w:r>
              <w:rPr>
                <w:rFonts w:ascii="Arial" w:hAnsi="Arial"/>
                <w:b/>
              </w:rPr>
              <w:t>Vancouver is missing two of six and carries the strategic spine of the proposal; it needs its own owner and its own escalation.</w:t>
            </w:r>
            <w:r>
              <w:rPr>
                <w:rFonts w:ascii="Arial" w:hAnsi="Arial"/>
              </w:rPr>
              <w:t xml:space="preserve"> If a fee cannot be released by Pink team, substitute in this order: promote San Marcos (B-1) if G-11 has closed, then Traverse City ($3.5M, LN-60), then Westerly ($2.4M, LN-61), and demote the fee-less reference to a narrative mention elsewhere. Decide at Pink team so no write-up is built twice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Current TRIR, EMR and DART as of the proposal date, plus OSHA citations in the last five years (C-049.3)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corporate HSE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figures at LN-24 to LN-27 are the Hull and Santa Monica cycles. HSE must also reconcile the 0.89 current TRIR against the 0.19 five-year RIR before either is printed, and either recompute the BLS benchmark or name its base years in the sentence. LN-29 is the only citation history in the bank. Write-around if only partial: print the EMR series, which is externally verifiable through NCCI, and the TRIR series with years attached, and drop the industry-comparison percentages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G-08</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Ten-year litigation and termination-for-cause disclosure (C-056)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2026-09-18 — Legal and General Counsel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Every version in the bank is framed on five years (LN-11). </w:t>
            </w:r>
            <w:r>
              <w:rPr>
                <w:rFonts w:ascii="Arial" w:hAnsi="Arial"/>
                <w:b/>
              </w:rPr>
              <w:t>No write-around:</w:t>
            </w:r>
            <w:r>
              <w:rPr>
                <w:rFonts w:ascii="Arial" w:hAnsi="Arial"/>
              </w:rPr>
              <w:t xml:space="preserve"> a five-year answer to a ten-year question is visible on the page and reads as evasion in the section where evasion costs most. The entity-specific OMI wording in FP §H is the right pattern; only the window needs extending. If Legal will not extend, state the ten-year window explicitly, answer it with the materiality-plus-SEC-filings construction, and keep the five-year OMI termination sentence as a separately labelled entity-specific fact</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G-09</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Regenerated five-year environmental violations table current to September 2026 (C-049.3)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2026-09-18 — OMFS compliance and Legal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two 26 May 2022 Oregon herbicide fines (LN-28) are the only entries in the bank and remain inside the window at submission. Disclose exactly what the RFP asks, in the RFP's format, with a Resolution column beside every row, closing on PX-16</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Bay Area offices and staff counts within a radius of Richmond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WRITE AROUND — no sourcing attempt</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regional-proximity block is a template with no California figures, and the only office counts we hold conflict 15 against 11 (LN-33). Proximity is a claim about response, so answer it with response: name the managing office and the nearest office by address (G-05), then carry the argument with the twelve California O&amp;M projects able to respond within hours and the 2,400 regional associates (LN-34), plus the named California governance chain. A Richmond evaluator can check an office count; it is not worth the exposure in a 15% section</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 Marcos owner contact, annual project fee and contract dates (C-052)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account team via Roy Aristizabal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 Marcos is the only process-identical reference in the bank and the least documented — no contact, no fee, no dates. If all three land by Pink team, promote it into the five in place of R-5 (D-04). If they do not, it stays bench and its four proof points (PX-07, PX-18, PX-19, PX-24) are still usable inside 8.4.5 as a named project, which needs no reference slot</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Written reference permission and contact currency for all five references, and permission for every printed quote (C-048, C-052, C-075)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2026-09-19 — account managers, coordinated by Roy Aristizabal; one dated batch, not five conversations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Zero permissions on file across 46 testimonials and every reference sheet. C-075 lets the City telephone any client named in the proposal. Each call confirms three things: the contact is current, the client consents to being a reference, and the client knows which figures about them we have printed — particularly PX-01, PX-09, PX-17, PX-29, PX-37 and PX-44. </w:t>
            </w:r>
            <w:r>
              <w:rPr>
                <w:rFonts w:ascii="Arial" w:hAnsi="Arial"/>
                <w:b/>
              </w:rPr>
              <w:t>A reference surprised by our own number is worse than no reference.</w:t>
            </w:r>
            <w:r>
              <w:rPr>
                <w:rFonts w:ascii="Arial" w:hAnsi="Arial"/>
              </w:rPr>
              <w:t xml:space="preserve"> Sequence: permission, then contact currency, then quote clearance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Names and titles of the persons authorized to negotiate and to sign (C-016, C-042, C-050)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Corporate Secretary</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bank has no signatory names, only the governance chain (Pragada, Hill, Fischer, Rheault, Brewen). The cover letter must be signed by an official authorized to bind the entity confirmed at G-14, and the TM-0001 attestation wording is the pattern, not the person</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Confirmed contracting entity, California Secretary of State standing and tax ID (C-044, C-050)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2026-09-11 — Legal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Default: Operations Management International, Inc., a California corporation incorporated 10/25/1980 (LN-06, LN-07), wholly owned by Jacobs Solutions Inc. </w:t>
            </w:r>
            <w:r>
              <w:rPr>
                <w:rFonts w:ascii="Arial" w:hAnsi="Arial"/>
                <w:b/>
              </w:rPr>
              <w:t>This is not an administrative field, it is a win theme:</w:t>
            </w:r>
            <w:r>
              <w:rPr>
                <w:rFonts w:ascii="Arial" w:hAnsi="Arial"/>
              </w:rPr>
              <w:t xml:space="preserve"> the contracting party is itself a California corporation, in good standing in its home state of California, which is the strongest available answer to C-001.2 and to "who exactly are we contracting with". Rewrite the bank's home-state and foreign-state good-standing pair as a single California sentence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Named on-site Project Manager and Collection System Manager (C-053.2, C-054, C-087)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escalate to the pursuit team on 2026-09-08</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Both are placeholders by the decision of 2026-09-05. C-054 requires at least two named key personnel and C-087 gives the City approval rights over the Project Manager. </w:t>
            </w:r>
            <w:r>
              <w:rPr>
                <w:rFonts w:ascii="Arial" w:hAnsi="Arial"/>
                <w:b/>
              </w:rPr>
              <w:t>There is no write-around: an organization chart with two unfilled boxes is the single most damaging page in the proposal</w:t>
            </w:r>
            <w:r>
              <w:rPr>
                <w:rFonts w:ascii="Arial" w:hAnsi="Arial"/>
              </w:rPr>
              <w:t>, and it sits inside the 30% section. Collection System Manager recruitment is already a named client hot button. If the name is not secured, the compliant fallback is a named internal collections leader with a documented recruitment and City-approval protocol under C-087 — not a blank. Pair the offer with the relocation, stay-pay, licensing-incentive and key-personnel liquidated-damages positions the trip reports identified (D-18)</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South Huron interceptor mileage and annual fee (LN-62)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DROP the reference; keep the facts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Two unresolved conflicts and no usable quote. SHVUA leaves the five. Its 24 MGD plant remains a row in the LN-21 enumeration and PX-41 remains usable in 8.4.4. </w:t>
            </w:r>
            <w:r>
              <w:rPr>
                <w:rFonts w:ascii="Arial" w:hAnsi="Arial"/>
                <w:b/>
              </w:rPr>
              <w:t>Never reproduce the page carrying the "$xxM" placeholder, and never attribute the Southbridge quote printed on the SHVUA page to SHVUA</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Auburn owner contact and annual fee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2026-09-18 — Howard Brewen</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Auburn has no contact of record anywhere in the bank, and it carries the Qualifications closer quote (Q-04). Without a contact the quote cannot be cleared. If it does not land, the Qualifications closer uses the non-quote fallback named in Section 4 and Auburn stays a footprint-map entry</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G-18</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Validated lists of five activated-sludge plants at or above 10 MGD and five collection systems of at least 50 miles (C-001.3, C-001.4)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OMFS operations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Both requirements are met with margin; the gap is validation and currency, not existence.</w:t>
            </w:r>
            <w:r>
              <w:rPr>
                <w:rFonts w:ascii="Arial" w:hAnsi="Arial"/>
              </w:rPr>
              <w:t xml:space="preserve"> Eleven candidates each are enumerated at LN-20 and LN-21. What is missing is a validated list with Jacobs' operating role and current dates, and a recomputation of every relationship duration to 2026-09-29 — the bank's tables are frozen at the Hull cycle. Publish it as the desired-qualifications crosswalk, which is the device an evaluator can score in ten seconds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G-19</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Mack Mckenzie's role, availability, Richmond tenure dates and employer of record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Roy Aristizabal with Howard Brewen</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See Section 6. Default: pursue option A, fall back to B on 2026-09-15. Until dates land, write the role as a completed fact without a period</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Santa Monica SWIP contract status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Howard Brewen</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bank records SWIP facts, but the Santa Monica slug is a 2025 </w:t>
            </w:r>
            <w:r>
              <w:rPr>
                <w:rFonts w:ascii="Arial" w:hAnsi="Arial"/>
                <w:b/>
              </w:rPr>
              <w:t>proposal</w:t>
            </w:r>
            <w:r>
              <w:rPr>
                <w:rFonts w:ascii="Arial" w:hAnsi="Arial"/>
              </w:rPr>
              <w:t xml:space="preserve"> and whether it was won and is operating is not recorded. If won, it becomes a stormwater-adjacent California asset for G-03 and a sixth California project. </w:t>
            </w:r>
            <w:r>
              <w:rPr>
                <w:rFonts w:ascii="Arial" w:hAnsi="Arial"/>
                <w:b/>
              </w:rPr>
              <w:t>If not won, every SWIP-derived claim in the bank is proposal language, not past performance, and none of it may be cited as experience.</w:t>
            </w:r>
            <w:r>
              <w:rPr>
                <w:rFonts w:ascii="Arial" w:hAnsi="Arial"/>
              </w:rPr>
              <w:t xml:space="preserve"> This gates PX-62 and several method blocks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Prevailing wage, Living Wage, Local Employment Program, Ban the Box, Business Opportunity and Sanctuary City compliance statements (C-025, C-029, C-030)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2026-09-15 — HR and Legal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Five Richmond Municipal Code ordinances are incorporated by reference (LN-84). Prevailing wage also drives roughly 30% of operations and 90% of maintenance labour cost (LN-79), so the compliance statement and the fee build must agree. </w:t>
            </w:r>
            <w:r>
              <w:rPr>
                <w:rFonts w:ascii="Arial" w:hAnsi="Arial"/>
                <w:b/>
              </w:rPr>
              <w:t>Local hiring is politically live in Richmond and the incumbent currently employs the crew</w:t>
            </w:r>
            <w:r>
              <w:rPr>
                <w:rFonts w:ascii="Arial" w:hAnsi="Arial"/>
              </w:rPr>
              <w:t xml:space="preserve"> — the absorption of qualified incumbent staff, the Local Employment Program and Living Wage compliance belong in 8.4.4 as a commitment, not in a forms appendix</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Sanctuary City Compliance Statement and LLC Beneficial Owner Disclosure (C-030, C-031, C-057, C-119, C-120)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COMPLETE BY 2026-09-18 — Legal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Both Attachment D forms must be submitted even though the recommended contracting entity is a corporation rather than an LLC. Omitting the LLC form because it appears not to apply is a classic responsiveness failure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Insurance certificates and limits evidencing RFP §7.8, plus final corporate financial statements (C-020, C-051)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2026-09-18 — Risk and Finance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bank has an insurance approach paragraph and no limits. C-051 requires both the ability to furnish coverage and the company's final financial statements. Financials are excluded from the page count as supplemental (C-037), so this costs no narrative pages. The cover letter must also express willingness to agree to the insurance requirements (C-040.3)</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G-24</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wet-weather flow and collection-system mileage conflicts (LN-40, LN-42)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2026-09-12 — Waterbury account manager; otherwise WRITE AROUND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Write-arounds: "more than 300 miles" and "wet-weather flows well above design capacity". Both are true under either source and neither invites a correction from the reference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G-25</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Corporate figure conflicts — revenue, renewal rate, compliance rate, entity count, workforce, TRIR against RIR, Auburn tenure, Turlock and Soquel capacities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DECIDE AT PINK TEAM 2026-09-15; verify by a single-value search before production lock</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locks are recommended in Section 1. The production rule: </w:t>
            </w:r>
            <w:r>
              <w:rPr>
                <w:rFonts w:ascii="Arial" w:hAnsi="Arial"/>
                <w:b/>
              </w:rPr>
              <w:t>one value per fact across the whole document</w:t>
            </w:r>
            <w:r>
              <w:rPr>
                <w:rFonts w:ascii="Arial" w:hAnsi="Arial"/>
              </w:rPr>
              <w:t>, checked by a single-pass search before the lock. Hull carried $12B and $16B revenue on different pages of a winning proposal and never showed the seam; we should not rely on that twice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G-26</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Classification of the 13 self-disclosed permit excursions (Clovis, Crescent City, Gilroy, Red Bluff)</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CLASSIFY BY 2026-09-15 — OMFS compliance; then suppress the table</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Rule 30 bans volunteered incident tables, so the 13-row exhibit does not print (LN-30). </w:t>
            </w:r>
            <w:r>
              <w:rPr>
                <w:rFonts w:ascii="Arial" w:hAnsi="Arial"/>
                <w:b/>
              </w:rPr>
              <w:t>But four of the sites are Californian and California enforcement data is public and routinely checked by California agencies.</w:t>
            </w:r>
            <w:r>
              <w:rPr>
                <w:rFonts w:ascii="Arial" w:hAnsi="Arial"/>
              </w:rPr>
              <w:t xml:space="preserve"> Classify all 13 against C-049.3's definition of an environmental violation first; any that qualify go into the required LN-28 disclosure with a Resolution column. Suppressing an unclassified list converts a manageable four-move concession into a discoverable omission in front of the client best placed to find it. The Clovis "guarantees met consistently and reliably" line must be reconciled against whatever survives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G-27</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Cybersecurity plan content and OT service transfers (C-115, C-117, C-118 and its ten sub-rows)</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BUILD BY 2026-09-15 — OT lead with Roy Aristizabal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No source draft carried this, and it is a scored differentiator with a mandated deliverable. The material exists: </w:t>
            </w:r>
            <w:r>
              <w:rPr>
                <w:rFonts w:ascii="Consolas" w:hAnsi="Consolas"/>
                <w:sz w:val="22"/>
              </w:rPr>
              <w:t>technical-approach/swip-scada-ic-cybersecurity-approach.md</w:t>
            </w:r>
            <w:r>
              <w:rPr>
                <w:rFonts w:ascii="Arial" w:hAnsi="Arial"/>
              </w:rPr>
              <w:t xml:space="preserve"> (PP-0471, PP-0546, PP-0547, PP-0548), </w:t>
            </w:r>
            <w:r>
              <w:rPr>
                <w:rFonts w:ascii="Consolas" w:hAnsi="Consolas"/>
                <w:sz w:val="22"/>
              </w:rPr>
              <w:t>technical-approach/ot-scada-modernization-roadmap.md</w:t>
            </w:r>
            <w:r>
              <w:rPr>
                <w:rFonts w:ascii="Arial" w:hAnsi="Arial"/>
              </w:rPr>
              <w:t xml:space="preserve">, </w:t>
            </w:r>
            <w:r>
              <w:rPr>
                <w:rFonts w:ascii="Consolas" w:hAnsi="Consolas"/>
                <w:sz w:val="22"/>
              </w:rPr>
              <w:t>compliance-plans/integrated-safety-security-cybersecurity-program.md</w:t>
            </w:r>
            <w:r>
              <w:rPr>
                <w:rFonts w:ascii="Arial" w:hAnsi="Arial"/>
              </w:rPr>
              <w:t xml:space="preserve">, plus PX-44, PX-45 and PX-46. The plan must name a standard (ISO/IEC 27001 or NIST CSF), address critical-asset identification, role-based access control, incident response and recovery, and ongoing monitoring, and commit to annual review — and it must state the 1-hour notification (LN-77). </w:t>
            </w:r>
            <w:r>
              <w:rPr>
                <w:rFonts w:ascii="Arial" w:hAnsi="Arial"/>
                <w:b/>
              </w:rPr>
              <w:t>Also assign an owner to the service transfers</w:t>
            </w:r>
            <w:r>
              <w:rPr>
                <w:rFonts w:ascii="Arial" w:hAnsi="Arial"/>
              </w:rPr>
              <w:t xml:space="preserve"> at LN-81: the AT&amp;T circuit, the lift-station SIMs, the alarm dialer line, HachWIMS and one CCTV truck. PP-0471 carries a live value conflict and must not be printed as a dollar figure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G-28</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Five-year Capital Improvement Plan approach (C-004.5, C-007, C-101, C-113)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BUILD BY 2026-09-15 — asset management lead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No source draft carried this either, and it is a named client hot button, a 120-day deliverable and an annual one. The material exists: PX-49 (90-day baseline with capital-planning recommendations), PX-50, PX-22 (a dated capital-deferral dollar outcome), PX-48, and the blocks </w:t>
            </w:r>
            <w:r>
              <w:rPr>
                <w:rFonts w:ascii="Consolas" w:hAnsi="Consolas"/>
                <w:sz w:val="22"/>
              </w:rPr>
              <w:t>qualifications/full-service-lifecycle-capability-and-capital-planning-support.md</w:t>
            </w:r>
            <w:r>
              <w:rPr>
                <w:rFonts w:ascii="Arial" w:hAnsi="Arial"/>
              </w:rPr>
              <w:t xml:space="preserve">, </w:t>
            </w:r>
            <w:r>
              <w:rPr>
                <w:rFonts w:ascii="Consolas" w:hAnsi="Consolas"/>
                <w:sz w:val="22"/>
              </w:rPr>
              <w:t>technical-approach/grant-loan-funding-support-capital-planning.md</w:t>
            </w:r>
            <w:r>
              <w:rPr>
                <w:rFonts w:ascii="Arial" w:hAnsi="Arial"/>
              </w:rPr>
              <w:t xml:space="preserve"> and </w:t>
            </w:r>
            <w:r>
              <w:rPr>
                <w:rFonts w:ascii="Consolas" w:hAnsi="Consolas"/>
                <w:sz w:val="22"/>
              </w:rPr>
              <w:t>compliance-plans/capital-planning-construction-support-innovation-studies.md</w:t>
            </w:r>
            <w:r>
              <w:rPr>
                <w:rFonts w:ascii="Arial" w:hAnsi="Arial"/>
              </w:rPr>
              <w:t>. Tie it to the Baykeeper condition-assessment and risk-assessment obligations (C-121.7 to C-121.9) so the CIP and the settlement work are one process</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G-29</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Named subcontractors (C-064, C-053.8, C-004.9)</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DECIDE BY 2026-09-15 — Roy Aristizabal with the pricing lead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C-064 requires subcontracted work to be identified and the subcontractors </w:t>
            </w:r>
            <w:r>
              <w:rPr>
                <w:rFonts w:ascii="Arial" w:hAnsi="Arial"/>
                <w:b/>
              </w:rPr>
              <w:t>named</w:t>
            </w:r>
            <w:r>
              <w:rPr>
                <w:rFonts w:ascii="Arial" w:hAnsi="Arial"/>
              </w:rPr>
              <w:t>, and the sub-contracting plan is due before start (C-004.11 schedule). The candidate list from the RFP and the trip reports: CCTV of pipes above 20 inches (C-009), traffic control, hazardous waste, specialty electrical and OT, and any cathodic-protection or force-main UT specialist. This is a hard stop inside the 30% section and it currently has no owner in any source draft. C-070 also requires City pre-approval before subcontracted repair labour normally done by plant staff is paid from the M&amp;R fund — the maintenance narrative must say so</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G-30</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Encampment, roadway and lift-station safety, night escorts and traffic control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DECIDE BY 2026-09-15 — safety lead with the pricing lead</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 unanimous trip-report finding and a real cost line (LN-83), absent from all three source drafts. It belongs in 8.4.4 (staffing and crew safety), 8.4.5 Approach to emergencies and Maintenance Plan (access, traffic control, lane closures the City provides), and the fee build (approximately $3,500 a month). Written as a Jacobs method — escort protocol, two-person rules, site-security upgrades — never as a description of the neighbourhood</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G-31</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IPP outcome (Directive win theme 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SOURCE BY 2026-09-18 — account teams; otherwise carry as capability</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Industrial pretreatment appears as a named service at Vancouver (ocwut p0171 para 6), Bixby, South Huron, Traverse City and Westerly — five named programmes — and Jeff Heroux leads NPDES and IPP programmes. </w:t>
            </w:r>
            <w:r>
              <w:rPr>
                <w:rFonts w:ascii="Arial" w:hAnsi="Arial"/>
                <w:b/>
              </w:rPr>
              <w:t>Not one carries a measured outcome</w:t>
            </w:r>
            <w:r>
              <w:rPr>
                <w:rFonts w:ascii="Arial" w:hAnsi="Arial"/>
              </w:rPr>
              <w:t>: no enforcement resolved, no loading reduction, no surcharge recovered. Without one it is a capability list, and capability lists do not score. Richmond's 375 mg/L BOD and 450 mg/L TSS design basis (LN-66) makes source control a real opportunity, so ask once. If nothing lands, carry IPP as a named capability with a named person and three named programmes inside the Operational Approach, not as a theme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G-32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Which reach-back services sit inside the base fee and which are separately authorized (C-049.2)</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DECIDE BY 2026-09-19 — pricing lead with Roy Aristizabal</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C-049.2 asks the question directly. The bank's "at no additional cost to our clients" line is a strong answer but it must match the Richmond fee build, and the trip reports recommend budgeting regional support in the proforma rather than carrying it as overhead, with regional maintenance as reimbursable time and materials. </w:t>
            </w:r>
            <w:r>
              <w:rPr>
                <w:rFonts w:ascii="Arial" w:hAnsi="Arial"/>
                <w:b/>
              </w:rPr>
              <w:t>Answer with a boundary, not a slogan</w:t>
            </w:r>
            <w:r>
              <w:rPr>
                <w:rFonts w:ascii="Arial" w:hAnsi="Arial"/>
              </w:rPr>
              <w:t>, and set Richmond's own support-hours number (D-15) — never reuse Hull's 2,000 or Santa Monica's 1,300</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G-33</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"Communities of Practice" reach-back wording</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WRITE AROUND — use names, not the term</w:t>
            </w:r>
          </w:p>
        </w:tc>
        <w:tc>
          <w:tcPr>
            <w:tcW w:type="dxa" w:w="244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term does not appear in the bank. What does: four named reach-back groups (Regional Process Specialists, Regional Maintenance Specialists, Compliance and Reporting Group, Regional Management), the Annual Innovation Workshop, and named individuals already committed in the pursuit record — Bill Desing (air quality and sewer modelling), Bill McMillan (wet weather, Baykeeper negotiation), Jennifer Baldwin (AquaDNA SSO monitoring), Courtney Kennedy (Argon collections data). Named individuals with a named subject beat a named programme every time</w:t>
            </w:r>
          </w:p>
        </w:tc>
      </w:tr>
      <w:tr>
        <w:trPr>
          <w:cantSplit/>
        </w:trPr>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G-34</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City of Richmond business licence (C-027)</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WRITE AROUND — no sourcing needed</w:t>
            </w:r>
          </w:p>
        </w:tc>
        <w:tc>
          <w:tcPr>
            <w:tcW w:type="dxa" w:w="244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licence is required of the successful proposer and its subcontractors, not of the bidder. The cover letter states the intent to obtain it</w:t>
            </w:r>
          </w:p>
        </w:tc>
      </w:tr>
    </w:tbl>
    <w:p>
      <w:pPr>
        <w:spacing w:after="80"/>
      </w:pPr>
    </w:p>
    <w:p>
      <w:pPr/>
      <w:r>
        <w:rPr>
          <w:rFonts w:ascii="Arial" w:hAnsi="Arial"/>
          <w:b/>
        </w:rPr>
        <w:t>Count: 34 gap decisions — 1 resolved (G-01), 26 carrying a named owner and a date, 3 write-around only (G-10, G-33, G-34), 1 drop (G-16), and 3 carrying both a date and a pre-written write-around (G-02, G-03, G-24). Five further dated rows embed a write-around in their detail column (G-05, G-07, G-08, G-15, G-17).</w:t>
      </w:r>
    </w:p>
    <w:p>
      <w:pPr>
        <w:pStyle w:val="Heading1"/>
      </w:pPr>
      <w:r>
        <w:rPr>
          <w:rFonts w:ascii="Arial" w:hAnsi="Arial"/>
        </w:rPr>
        <w:t>8. Page and device budget per section</w:t>
      </w:r>
    </w:p>
    <w:p>
      <w:pPr/>
      <w:r>
        <w:rPr>
          <w:rFonts w:ascii="Arial" w:hAnsi="Arial"/>
          <w:b/>
        </w:rPr>
        <w:t>The cap.</w:t>
      </w:r>
      <w:r>
        <w:rPr>
          <w:rFonts w:ascii="Arial" w:hAnsi="Arial"/>
        </w:rPr>
        <w:t xml:space="preserve"> 40 pages or fewer, 12-point type, printable on 8.5 by 11 inch paper, PDF (C-037). Cover letter no more than three pages (C-040). The fee proposal is a separate submission (C-036, C-058) and costs no narrative pages.</w:t>
      </w:r>
    </w:p>
    <w:p>
      <w:pPr/>
      <w:r>
        <w:rPr>
          <w:rFonts w:ascii="Arial" w:hAnsi="Arial"/>
          <w:b/>
        </w:rPr>
        <w:t>Two rulings we make ourselves, because C-012 closed on 2026-09-04 and no clarification is possible.</w:t>
      </w:r>
    </w:p>
    <w:p>
      <w:pPr>
        <w:pStyle w:val="ListNumber"/>
      </w:pPr>
      <w:r>
        <w:rPr>
          <w:rFonts w:ascii="Arial" w:hAnsi="Arial"/>
          <w:b/>
        </w:rPr>
        <w:t>The cover letter counts against the 40 pages.</w:t>
      </w:r>
      <w:r>
        <w:rPr>
          <w:rFonts w:ascii="Arial" w:hAnsi="Arial"/>
        </w:rPr>
        <w:t xml:space="preserve"> It is narrative and it is not on the C-037 exclusion list. Budgeted at 3.</w:t>
      </w:r>
    </w:p>
    <w:p>
      <w:pPr>
        <w:pStyle w:val="ListNumber"/>
      </w:pPr>
      <w:r>
        <w:rPr>
          <w:rFonts w:ascii="Arial" w:hAnsi="Arial"/>
          <w:b/>
        </w:rPr>
        <w:t>Appendix narrative counts against the 40 pages.</w:t>
      </w:r>
      <w:r>
        <w:rPr>
          <w:rFonts w:ascii="Arial" w:hAnsi="Arial"/>
        </w:rPr>
        <w:t xml:space="preserve"> C-037 excludes "bios, required forms, and supplemental information such as financials or promotional materials" — it does not exclude appendices generically, and C-036 names "Appendices (if applicable)" as a mandated section. Only bios and resumes, the Attachment D forms, the financial statements, the insurance certificates and the notarized surety statement sit outside the count. </w:t>
      </w:r>
      <w:r>
        <w:rPr>
          <w:rFonts w:ascii="Arial" w:hAnsi="Arial"/>
          <w:b/>
        </w:rPr>
        <w:t>The appendix therefore carries its own budget line inside the 40.</w:t>
      </w:r>
      <w:r>
        <w:rPr>
          <w:rFonts w:ascii="Arial" w:hAnsi="Arial"/>
        </w:rPr>
        <w:t xml:space="preserve"> Anything we want outside the count must genuinely be a bio, a required form or a financial document.</w:t>
      </w:r>
    </w:p>
    <w:p>
      <w:pPr/>
      <w:r>
        <w:rPr>
          <w:rFonts w:ascii="Arial" w:hAnsi="Arial"/>
          <w:b/>
        </w:rPr>
        <w:t>The allocation, weighted to the scorecard.</w:t>
      </w:r>
      <w:r>
        <w:rPr>
          <w:rFonts w:ascii="Arial" w:hAnsi="Arial"/>
        </w:rPr>
        <w:t xml:space="preserve"> Qualifications carries 15 points and gets 6 pages. Staffing carries 30 and gets 9. Technical Approach carries 30 and gets 15. The pilot inverted this.</w:t>
      </w:r>
    </w:p>
    <w:tbl>
      <w:tblPr>
        <w:tblW w:type="pct" w:w="5000"/>
        <w:jc w:val="left"/>
        <w:tblLayout w:type="autofit"/>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cantSplit/>
        </w:trPr>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section</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pages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tables (max)</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stat callouts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fact boxes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pull quotes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figures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commitment callouts</w:t>
            </w:r>
          </w:p>
        </w:tc>
        <w:tc>
          <w:tcPr>
            <w:tcW w:type="dxa" w:w="108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detail sent to appendix</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8.4.1 Cover letter</w:t>
            </w:r>
            <w:r>
              <w:rPr>
                <w:rFonts w:ascii="Arial" w:hAnsi="Arial"/>
              </w:rPr>
              <w:t xml:space="preserve"> (C-040 to C-045, C-076)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Nothing. Prose only: the eight C-040 confirmations, the C-043 communications disclosure, the C-076 draft-agreement statement, the 180-day validity, the single point of contact, and an authorized signature</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8.4.2 Executive Summary</w:t>
            </w:r>
            <w:r>
              <w:rPr>
                <w:rFonts w:ascii="Arial" w:hAnsi="Arial"/>
              </w:rPr>
              <w:t xml:space="preserve"> (C-046)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 — the hot-button and commitment matrix; the dollarized value stack</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 — the Mack Mckenzie box, first 100 words</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 (only if a permission returns)</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 — the value wheel and the California footprint map</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Value-add pricing detail. Carries the </w:t>
            </w:r>
            <w:r>
              <w:rPr>
                <w:rFonts w:ascii="Arial" w:hAnsi="Arial"/>
                <w:b/>
              </w:rPr>
              <w:t>one</w:t>
            </w:r>
            <w:r>
              <w:rPr>
                <w:rFonts w:ascii="Arial" w:hAnsi="Arial"/>
              </w:rPr>
              <w:t xml:space="preserve"> value wheel and the </w:t>
            </w:r>
            <w:r>
              <w:rPr>
                <w:rFonts w:ascii="Arial" w:hAnsi="Arial"/>
                <w:b/>
              </w:rPr>
              <w:t>one</w:t>
            </w:r>
            <w:r>
              <w:rPr>
                <w:rFonts w:ascii="Arial" w:hAnsi="Arial"/>
              </w:rPr>
              <w:t xml:space="preserve"> Traditional-versus-Jacobs table in the proposal. Closer ST-0005</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8.4.3 Qualifications</w:t>
            </w:r>
            <w:r>
              <w:rPr>
                <w:rFonts w:ascii="Arial" w:hAnsi="Arial"/>
              </w:rPr>
              <w:t xml:space="preserve"> (C-044 to C-052, C-056)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5 — entity, tax ID, office and signatory identification; the C-001 desired-qualifications crosswalk; the consolidated five-reference six-field table; the HSE record; the C-049.3 violations disclosure with a Resolution column</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 — the Mack Mckenzie box; a benefits box closing the corporate-experience subsection</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 — the California footprint map (the org chart is spent in 8.4.4)</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extended reference write-ups beyond 150 words each, the full facilities table, award lists. Closer ST-0013. </w:t>
            </w:r>
            <w:r>
              <w:rPr>
                <w:rFonts w:ascii="Arial" w:hAnsi="Arial"/>
                <w:b/>
              </w:rPr>
              <w:t>The float page goes here first</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8.4.4 Staffing and Management Plan</w:t>
            </w:r>
            <w:r>
              <w:rPr>
                <w:rFonts w:ascii="Arial" w:hAnsi="Arial"/>
              </w:rPr>
              <w:t xml:space="preserve"> (C-053, C-054, C-064, C-080, C-087)</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 — key personnel, experience, education and certifications; on-site, off-site, support and subcontractor delineation; staffing to permit requirements by shift and coverage; backup, surge and named subcontractors</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2 — the proposal's </w:t>
            </w:r>
            <w:r>
              <w:rPr>
                <w:rFonts w:ascii="Arial" w:hAnsi="Arial"/>
                <w:b/>
              </w:rPr>
              <w:t>one</w:t>
            </w:r>
            <w:r>
              <w:rPr>
                <w:rFonts w:ascii="Arial" w:hAnsi="Arial"/>
              </w:rPr>
              <w:t xml:space="preserve"> org chart including subcontractors, and the transition milestone schedule</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 — key-personnel continuity with liquidated damages; the Project Manager reachable by telephone at all times (C-087)</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All resumes and bios, certification schedules, shift rosters. Carries the local-hiring and Living Wage commitments (G-21)</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8.4.5 Understanding and Technical Approach</w:t>
            </w:r>
            <w:r>
              <w:rPr>
                <w:rFonts w:ascii="Arial" w:hAnsi="Arial"/>
              </w:rPr>
              <w:t xml:space="preserve"> (C-055 and 150 requirement rows)</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15</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6 — one per C-036 sub-heading, plus one</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1</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5</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Deliverable templates, CMMS configuration detail, sampling schedules, the task-level transition Gantt, the odor study protocol, the cybersecurity asset register, the Baykeeper obligation register. Closer ST-0001</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8.4.6 Required forms</w:t>
            </w:r>
            <w:r>
              <w:rPr>
                <w:rFonts w:ascii="Arial" w:hAnsi="Arial"/>
              </w:rPr>
              <w:t xml:space="preserve"> (C-030, C-031, C-057)</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Entirely the Attachment D forms. Excluded from the count</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Appendices</w:t>
            </w:r>
            <w:r>
              <w:rPr>
                <w:rFonts w:ascii="Arial" w:hAnsi="Arial"/>
              </w:rPr>
              <w:t xml:space="preserve"> (C-036)</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 needed</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 needed</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permit and reporting calendar keyed to C-004 and Attachment E; the Baykeeper obligation register (C-121); the deliverables register (C-055.7, RFP §3.3); the full facilities table; the cybersecurity asset register; extended reference write-ups. </w:t>
            </w:r>
            <w:r>
              <w:rPr>
                <w:rFonts w:ascii="Arial" w:hAnsi="Arial"/>
                <w:b/>
              </w:rPr>
              <w:t>Every appendix item is pointed to in bold from the body</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8.4.7 Fee proposal</w:t>
            </w:r>
            <w:r>
              <w:rPr>
                <w:rFonts w:ascii="Arial" w:hAnsi="Arial"/>
              </w:rPr>
              <w:t xml:space="preserve"> (C-058 to C-078)</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0</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 inside the separate fee submission — the mandated fee table with the standalone stormwater cost (C-058); the M&amp;R accounting format; a worked gain-share example</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w:t>
            </w:r>
          </w:p>
        </w:tc>
        <w:tc>
          <w:tcPr>
            <w:tcW w:type="dxa" w:w="108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Separate submission. Allow one page of fee-rationale narrative inside it</w:t>
            </w:r>
          </w:p>
        </w:tc>
      </w:tr>
      <w:tr>
        <w:trPr>
          <w:cantSplit/>
        </w:trPr>
        <w:tc>
          <w:tcPr>
            <w:tcW w:type="dxa" w:w="108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total</w:t>
            </w:r>
          </w:p>
        </w:tc>
        <w:tc>
          <w:tcPr>
            <w:tcW w:type="dxa" w:w="108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39</w:t>
            </w: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p>
        </w:tc>
        <w:tc>
          <w:tcPr>
            <w:tcW w:type="dxa" w:w="108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1 page of float, assigned to 8.4.3 first and 8.4.5 second</w:t>
            </w:r>
          </w:p>
        </w:tc>
      </w:tr>
    </w:tbl>
    <w:p>
      <w:pPr>
        <w:spacing w:after="80"/>
      </w:pPr>
    </w:p>
    <w:p>
      <w:pPr>
        <w:pStyle w:val="Heading2"/>
      </w:pPr>
      <w:r>
        <w:rPr>
          <w:rFonts w:ascii="Arial" w:hAnsi="Arial"/>
        </w:rPr>
        <w:t>8.4.5 sub-allocation, 15 pages — organized on C-036's mandated headings</w:t>
      </w:r>
    </w:p>
    <w:p>
      <w:pPr/>
      <w:r>
        <w:rPr>
          <w:rFonts w:ascii="Arial" w:hAnsi="Arial"/>
        </w:rPr>
        <w:t xml:space="preserve">C-036 fixes the order and the headings; C-039 permits disqualification for failing to organize as outlined. C-055 says "at a minimum", so its remaining items are </w:t>
      </w:r>
      <w:r>
        <w:rPr>
          <w:rFonts w:ascii="Arial" w:hAnsi="Arial"/>
          <w:b/>
        </w:rPr>
        <w:t>content nested under those headings</w:t>
      </w:r>
      <w:r>
        <w:rPr>
          <w:rFonts w:ascii="Arial" w:hAnsi="Arial"/>
        </w:rPr>
        <w:t>, named as sub-headings so an evaluator can find each one.</w:t>
      </w:r>
    </w:p>
    <w:tbl>
      <w:tblPr>
        <w:tblW w:type="pct" w:w="5000"/>
        <w:jc w:val="left"/>
        <w:tblLayout w:type="autofit"/>
        <w:tblLook w:firstColumn="1" w:firstRow="1" w:lastColumn="0" w:lastRow="0" w:noHBand="0" w:noVBand="1" w:val="04A0"/>
      </w:tblPr>
      <w:tblGrid>
        <w:gridCol w:w="3264"/>
        <w:gridCol w:w="3264"/>
        <w:gridCol w:w="3264"/>
      </w:tblGrid>
      <w:tr>
        <w:trPr>
          <w:tblHeader w:val="true"/>
          <w:cantSplit/>
        </w:trPr>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C-036 heading</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pages</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nested C-055 content and the requirements it must clear</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Operational Approach</w:t>
            </w:r>
            <w:r>
              <w:rPr>
                <w:rFonts w:ascii="Arial" w:hAnsi="Arial"/>
              </w:rPr>
              <w:t xml:space="preserve"> (C-055.1)</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4.5</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Plant, collections and stormwater as one operation; the 20 MGD limit, the 4.6 MG storm tank and about four blending events a year (LN-67); wet-weather and blending; *Managing and interacting with the City* (C-055.4) — City access to systems and records, the monthly O&amp;M report and review meeting (C-094, C-007), real-time read-only access (C-103.6), City office space and 24-hour access (C-093); *Energy management* (C-055.5) — the 2,050 kWh/MG position (LN-72) carried by PX-19, PX-20, PX-28 and PX-31; *Approach to emergencies* (C-055.8) — the 1-hour and 2-hour standards and their liquidated damages (LN-71), wet weather, SSO response and manhole-depth verification, encampment and traffic-control access (LN-83, G-30); collections against the Baykeeper frequencies (LN-70, C-121) carried by PX-43; stormwater against C-114's eight tasks and the 2030 trash target (LN-69); odor across four layers carried by PX-01 to PX-08; industrial pretreatment as capability (G-31)</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Maintenance Plan</w:t>
            </w:r>
            <w:r>
              <w:rPr>
                <w:rFonts w:ascii="Arial" w:hAnsi="Arial"/>
              </w:rPr>
              <w:t xml:space="preserve"> (C-055.2)</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3.5</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In-house against subcontracted for the WWTP and both collection systems, with subcontractors </w:t>
            </w:r>
            <w:r>
              <w:rPr>
                <w:rFonts w:ascii="Arial" w:hAnsi="Arial"/>
                <w:b/>
              </w:rPr>
              <w:t>named</w:t>
            </w:r>
            <w:r>
              <w:rPr>
                <w:rFonts w:ascii="Arial" w:hAnsi="Arial"/>
              </w:rPr>
              <w:t xml:space="preserve"> (C-064, G-29) and the C-070 pre-approval rule stated; preventive, predictive and corrective programmes; the deferred-maintenance and corrosion answer; *Approach to asset management* (C-055.3) — the 90-day condition assessment (C-004.2, PX-49), the 120-day asset management plan inside the City's NexGen and GIS (C-004.3, C-103), SewerAI and PACP accuracy (C-009, C-107), the </w:t>
            </w:r>
            <w:r>
              <w:rPr>
                <w:rFonts w:ascii="Arial" w:hAnsi="Arial"/>
                <w:b/>
              </w:rPr>
              <w:t>5-year CIP</w:t>
            </w:r>
            <w:r>
              <w:rPr>
                <w:rFonts w:ascii="Arial" w:hAnsi="Arial"/>
              </w:rPr>
              <w:t xml:space="preserve"> (C-004.5, C-007, C-101, C-113, G-28) carried by PX-22, PX-48 and PX-50; *Site housekeeping* (C-055.9) — the ST-0001 closer with PX-32; </w:t>
            </w:r>
            <w:r>
              <w:rPr>
                <w:rFonts w:ascii="Arial" w:hAnsi="Arial"/>
                <w:b/>
              </w:rPr>
              <w:t>OT, SCADA and cybersecurity</w:t>
            </w:r>
            <w:r>
              <w:rPr>
                <w:rFonts w:ascii="Arial" w:hAnsi="Arial"/>
              </w:rPr>
              <w:t xml:space="preserve"> (C-115, C-117, C-118, G-27) carried by PX-44, PX-45 and PX-46, with the service-transfer list at LN-81</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Transition Plan</w:t>
            </w:r>
            <w:r>
              <w:rPr>
                <w:rFonts w:ascii="Arial" w:hAnsi="Arial"/>
              </w:rPr>
              <w:t xml:space="preserve"> (C-055.6)</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2.5</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Milestones and an approximate timeline to the 15 May 2027 start; the Transition Plan due 30 days before start (C-004.1); staff transition and retention carried by PX-35, PX-36, PX-37 and PX-38; the eight-discipline due-diligence walk of 18 August as the reason the plan is specific; first-90-days actions carried by PX-14 and PX-33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Innovation to improve revenue and green initiatives</w:t>
            </w:r>
            <w:r>
              <w:rPr>
                <w:rFonts w:ascii="Arial" w:hAnsi="Arial"/>
              </w:rPr>
              <w:t xml:space="preserve"> (C-055.10)</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Non-ratepayer revenue carried by PX-23, the nitrogen credit — the only proof of its kind in the bank and the exact phrase C-036 uses; the Annual Innovation Workshop (PX-30); energy and chemical value-adds with quantities (PX-18, PX-24, PX-25, PX-63); green initiatives; the value-add menu, each item with a dollar value or a quantity</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Development and implementation of Specific Deliverables</w:t>
            </w:r>
            <w:r>
              <w:rPr>
                <w:rFonts w:ascii="Arial" w:hAnsi="Arial"/>
              </w:rPr>
              <w:t xml:space="preserve"> (C-055.7)</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2.5</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A register keyed to RFP §3.3 and C-004.1 to C-004.11 with owner, due date and evidence; the Odor Control Plan including community issues and reporting (C-004.8, PX-56, PX-57, PX-59); the catch-basin cleaning plan and the drainage ditch maintenance plan (C-004.6, C-004.7); the safety plan (C-004.11); the data management system (C-004.4); the reporting cadence and the seven liquidated-damage standards (LN-71)</w:t>
            </w:r>
          </w:p>
        </w:tc>
      </w:tr>
    </w:tbl>
    <w:p>
      <w:pPr>
        <w:spacing w:after="80"/>
      </w:pPr>
    </w:p>
    <w:p>
      <w:pPr>
        <w:pStyle w:val="Heading2"/>
      </w:pPr>
      <w:r>
        <w:rPr>
          <w:rFonts w:ascii="Arial" w:hAnsi="Arial"/>
        </w:rPr>
        <w:t>Device rules that apply everywhere (Rule 32)</w:t>
      </w:r>
    </w:p>
    <w:p>
      <w:pPr/>
      <w:r>
        <w:rPr>
          <w:rFonts w:ascii="Arial" w:hAnsi="Arial"/>
        </w:rPr>
        <w:t xml:space="preserve">For device limits, a </w:t>
      </w:r>
      <w:r>
        <w:rPr>
          <w:rFonts w:ascii="Arial" w:hAnsi="Arial"/>
          <w:b/>
        </w:rPr>
        <w:t>major section</w:t>
      </w:r>
      <w:r>
        <w:rPr>
          <w:rFonts w:ascii="Arial" w:hAnsi="Arial"/>
        </w:rPr>
        <w:t xml:space="preserve"> is one of 8.4.1 to 8.4.7. A </w:t>
      </w:r>
      <w:r>
        <w:rPr>
          <w:rFonts w:ascii="Arial" w:hAnsi="Arial"/>
          <w:b/>
        </w:rPr>
        <w:t>subsection</w:t>
      </w:r>
      <w:r>
        <w:rPr>
          <w:rFonts w:ascii="Arial" w:hAnsi="Arial"/>
        </w:rPr>
        <w:t xml:space="preserve"> is a C-036 sub-heading in 8.4.5, or a numbered subsection elsewhere. Every count in the table above sits inside these limits; where a source draft exceeded one, the count here is the limit, not the ambition.</w:t>
      </w:r>
    </w:p>
    <w:p>
      <w:pPr>
        <w:pStyle w:val="ListBullet"/>
      </w:pPr>
      <w:r>
        <w:rPr>
          <w:rFonts w:ascii="Arial" w:hAnsi="Arial"/>
          <w:b/>
        </w:rPr>
        <w:t>Stat callout:</w:t>
      </w:r>
      <w:r>
        <w:rPr>
          <w:rFonts w:ascii="Arial" w:hAnsi="Arial"/>
        </w:rPr>
        <w:t xml:space="preserve"> number, comparator and consequence in 8 to 20 words, and the figure must also appear in the prose on the same page. </w:t>
      </w:r>
      <w:r>
        <w:rPr>
          <w:rFonts w:ascii="Arial" w:hAnsi="Arial"/>
          <w:b/>
        </w:rPr>
        <w:t>One per page maximum.</w:t>
      </w:r>
    </w:p>
    <w:p>
      <w:pPr>
        <w:pStyle w:val="ListBullet"/>
      </w:pPr>
      <w:r>
        <w:rPr>
          <w:rFonts w:ascii="Arial" w:hAnsi="Arial"/>
          <w:b/>
        </w:rPr>
        <w:t>Fact box:</w:t>
      </w:r>
      <w:r>
        <w:rPr>
          <w:rFonts w:ascii="Arial" w:hAnsi="Arial"/>
        </w:rPr>
        <w:t xml:space="preserve"> a verbless triad of outcomes, 15 to 30 words, the client named, no tool names. </w:t>
      </w:r>
      <w:r>
        <w:rPr>
          <w:rFonts w:ascii="Arial" w:hAnsi="Arial"/>
          <w:b/>
        </w:rPr>
        <w:t>One per subsection, closing it.</w:t>
      </w:r>
    </w:p>
    <w:p>
      <w:pPr>
        <w:pStyle w:val="ListBullet"/>
      </w:pPr>
      <w:r>
        <w:rPr>
          <w:rFonts w:ascii="Arial" w:hAnsi="Arial"/>
          <w:b/>
        </w:rPr>
        <w:t>Pull quote:</w:t>
      </w:r>
      <w:r>
        <w:rPr>
          <w:rFonts w:ascii="Arial" w:hAnsi="Arial"/>
        </w:rPr>
        <w:t xml:space="preserve"> 35 words maximum with name, title and organization, never unnamed. </w:t>
      </w:r>
      <w:r>
        <w:rPr>
          <w:rFonts w:ascii="Arial" w:hAnsi="Arial"/>
          <w:b/>
        </w:rPr>
        <w:t>One per major section maximum — and zero today</w:t>
      </w:r>
      <w:r>
        <w:rPr>
          <w:rFonts w:ascii="Arial" w:hAnsi="Arial"/>
        </w:rPr>
        <w:t xml:space="preserve"> until Section 5 permissions return.</w:t>
      </w:r>
    </w:p>
    <w:p>
      <w:pPr>
        <w:pStyle w:val="ListBullet"/>
      </w:pPr>
      <w:r>
        <w:rPr>
          <w:rFonts w:ascii="Arial" w:hAnsi="Arial"/>
          <w:b/>
        </w:rPr>
        <w:t>Commitment callout:</w:t>
      </w:r>
      <w:r>
        <w:rPr>
          <w:rFonts w:ascii="Arial" w:hAnsi="Arial"/>
        </w:rPr>
        <w:t xml:space="preserve"> a named person or role, a verb, an object, a cadence, and a number or dollar value. </w:t>
      </w:r>
      <w:r>
        <w:rPr>
          <w:rFonts w:ascii="Arial" w:hAnsi="Arial"/>
          <w:b/>
        </w:rPr>
        <w:t>Two per section maximum.</w:t>
      </w:r>
    </w:p>
    <w:p>
      <w:pPr>
        <w:pStyle w:val="ListBullet"/>
      </w:pPr>
      <w:r>
        <w:rPr>
          <w:rFonts w:ascii="Arial" w:hAnsi="Arial"/>
          <w:b/>
        </w:rPr>
        <w:t>Table share of total words:</w:t>
      </w:r>
      <w:r>
        <w:rPr>
          <w:rFonts w:ascii="Arial" w:hAnsi="Arial"/>
        </w:rPr>
        <w:t xml:space="preserve"> 0.35 hard ceiling, 0.25 target. The mandated six-field reference table, the C-001 crosswalk and the fee tables raise this legitimately; nothing else may.</w:t>
      </w:r>
    </w:p>
    <w:p>
      <w:pPr>
        <w:pStyle w:val="ListBullet"/>
      </w:pPr>
      <w:r>
        <w:rPr>
          <w:rFonts w:ascii="Arial" w:hAnsi="Arial"/>
          <w:b/>
        </w:rPr>
        <w:t>One org chart in the whole proposal</w:t>
      </w:r>
      <w:r>
        <w:rPr>
          <w:rFonts w:ascii="Arial" w:hAnsi="Arial"/>
        </w:rPr>
        <w:t xml:space="preserve"> — spent in 8.4.4, and C-044's "lines of authority" requirement in 8.4.3 is met with a compact governance list, not a second chart. </w:t>
      </w:r>
      <w:r>
        <w:rPr>
          <w:rFonts w:ascii="Arial" w:hAnsi="Arial"/>
          <w:b/>
        </w:rPr>
        <w:t>One value wheel</w:t>
      </w:r>
      <w:r>
        <w:rPr>
          <w:rFonts w:ascii="Arial" w:hAnsi="Arial"/>
        </w:rPr>
        <w:t xml:space="preserve">, in the Executive Summary. </w:t>
      </w:r>
      <w:r>
        <w:rPr>
          <w:rFonts w:ascii="Arial" w:hAnsi="Arial"/>
          <w:b/>
        </w:rPr>
        <w:t>One Traditional-versus-Jacobs table</w:t>
      </w:r>
      <w:r>
        <w:rPr>
          <w:rFonts w:ascii="Arial" w:hAnsi="Arial"/>
        </w:rPr>
        <w:t xml:space="preserve">, in the Executive Summary. </w:t>
      </w:r>
      <w:r>
        <w:rPr>
          <w:rFonts w:ascii="Arial" w:hAnsi="Arial"/>
          <w:b/>
        </w:rPr>
        <w:t>One map per section.</w:t>
      </w:r>
    </w:p>
    <w:p>
      <w:pPr>
        <w:pStyle w:val="ListBullet"/>
      </w:pPr>
      <w:r>
        <w:rPr>
          <w:rFonts w:ascii="Arial" w:hAnsi="Arial"/>
          <w:b/>
        </w:rPr>
        <w:t>Every exhibit</w:t>
      </w:r>
      <w:r>
        <w:rPr>
          <w:rFonts w:ascii="Arial" w:hAnsi="Arial"/>
        </w:rPr>
        <w:t xml:space="preserve"> carries a numbered caption in brand format, is pointed to in bold from the prose, and has the client's outcome in its rightmost column — "Value to the City", never "Processes".</w:t>
      </w:r>
    </w:p>
    <w:p>
      <w:pPr>
        <w:pStyle w:val="Heading2"/>
      </w:pPr>
      <w:r>
        <w:rPr>
          <w:rFonts w:ascii="Arial" w:hAnsi="Arial"/>
        </w:rPr>
        <w:t>Word targets, so pages are not the only control</w:t>
      </w:r>
    </w:p>
    <w:p>
      <w:pPr/>
      <w:r>
        <w:rPr>
          <w:rFonts w:ascii="Arial" w:hAnsi="Arial"/>
        </w:rPr>
        <w:t xml:space="preserve">The voice gate scores per 1,000 words of prose, and pages alone will not hold seven writers to it. At roughly 500 words of body per page after devices: </w:t>
      </w:r>
      <w:r>
        <w:rPr>
          <w:rFonts w:ascii="Arial" w:hAnsi="Arial"/>
          <w:b/>
        </w:rPr>
        <w:t>8.4.1 about 1,200 · 8.4.2 about 1,100 · 8.4.3 about 2,400 · 8.4.4 about 3,800 · 8.4.5 about 6,000 · appendix narrative about 600.</w:t>
      </w:r>
      <w:r>
        <w:rPr>
          <w:rFonts w:ascii="Arial" w:hAnsi="Arial"/>
        </w:rPr>
        <w:t xml:space="preserve"> Prose word count is measured separately from table word count; the pilot ran 4,029 words of body against 2,351 of prose for exactly this reason.</w:t>
      </w:r>
    </w:p>
    <w:p>
      <w:pPr>
        <w:pStyle w:val="Heading1"/>
      </w:pPr>
      <w:r>
        <w:rPr>
          <w:rFonts w:ascii="Arial" w:hAnsi="Arial"/>
        </w:rPr>
        <w:t>9. Win-theme evidence map</w:t>
      </w:r>
    </w:p>
    <w:p>
      <w:pPr/>
      <w:r>
        <w:rPr>
          <w:rFonts w:ascii="Arial" w:hAnsi="Arial"/>
        </w:rPr>
        <w:t xml:space="preserve">The Directive names seven themes. </w:t>
      </w:r>
      <w:r>
        <w:rPr>
          <w:rFonts w:ascii="Arial" w:hAnsi="Arial"/>
          <w:b/>
        </w:rPr>
        <w:t>Themes 1 and 6 are the same theme.</w:t>
      </w:r>
      <w:r>
        <w:rPr>
          <w:rFonts w:ascii="Arial" w:hAnsi="Arial"/>
        </w:rPr>
        <w:t xml:space="preserve"> Rule 26 caps a proposal at three to five themes, each named once and then recurring as a heading, a callout title and a closer at least three times. </w:t>
      </w:r>
      <w:r>
        <w:rPr>
          <w:rFonts w:ascii="Arial" w:hAnsi="Arial"/>
          <w:b/>
        </w:rPr>
        <w:t>Five themes are carried.</w:t>
      </w:r>
      <w:r>
        <w:rPr>
          <w:rFonts w:ascii="Arial" w:hAnsi="Arial"/>
        </w:rPr>
        <w:t xml:space="preserve"> Directive themes 3 (IPP) and 4 (NexGen) are demoted to sub-points because neither holds an outcome, and the freed slot goes to stormwater, which is the RFP's newest scope, the City's live enforcement exposure, and our weakest evidence position — which is exactly why saying it first wins the argument.</w:t>
      </w:r>
    </w:p>
    <w:tbl>
      <w:tblPr>
        <w:tblW w:type="pct" w:w="5000"/>
        <w:jc w:val="left"/>
        <w:tblLayout w:type="autofit"/>
        <w:tblLook w:firstColumn="1" w:firstRow="1" w:lastColumn="0" w:lastRow="0" w:noHBand="0" w:noVBand="1" w:val="04A0"/>
      </w:tblPr>
      <w:tblGrid>
        <w:gridCol w:w="1224"/>
        <w:gridCol w:w="1224"/>
        <w:gridCol w:w="1224"/>
        <w:gridCol w:w="1224"/>
        <w:gridCol w:w="1224"/>
        <w:gridCol w:w="1224"/>
        <w:gridCol w:w="1224"/>
        <w:gridCol w:w="1224"/>
      </w:tblGrid>
      <w:tr>
        <w:trPr>
          <w:tblHeader w:val="true"/>
          <w:cantSplit/>
        </w:trPr>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win theme</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8.4.1 Cover letter</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8.4.2 Executive Summary</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8.4.3 Qualifications</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8.4.4 Staffing</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8.4.5 Technical Approach</w:t>
            </w:r>
          </w:p>
        </w:tc>
        <w:tc>
          <w:tcPr>
            <w:tcW w:type="dxa" w:w="122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verdict</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T1</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 real partner: the City sees what we see</w:t>
            </w:r>
            <w:r>
              <w:rPr>
                <w:rFonts w:ascii="Arial" w:hAnsi="Arial"/>
              </w:rPr>
              <w:t xml:space="preserve"> (Directive 1 and 6 merged)</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single point of contact (C-040.7) and the draft-agreement confirmation (C-076) — *plain sentence*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PX-42, ST-0013; the M&amp;R and data-access commitments (LN-73) — *Traditional-versus-Jacobs table* and *commitment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LN-10 98% renewal; LN-11 zero terminations; the single named contracting entity (G-14); PX-16 disclosure with its Resolution column — *stat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PX-36, PX-38, PX-39; the Project Manager reachable at all times (C-087) — *fact box* and *commitment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Monthly itemized M&amp;R accounting with unused funds returned (LN-73); City real-time read-only access (LN-78); the monthly O&amp;M report and review; power reported as kWh/MG — *commitment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Carried.</w:t>
            </w:r>
            <w:r>
              <w:rPr>
                <w:rFonts w:ascii="Arial" w:hAnsi="Arial"/>
              </w:rPr>
              <w:t xml:space="preserve"> The best-evidenced theme in the set</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T2</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Four-layer odor and H2S control</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PX-01 with PX-02 — *stat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and Clovis odor performance inside the reference write-ups — *table rows*</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Bill Desing, air quality and sewer modelling, named (G-33) — *bullet*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PX-03 then PX-01 then PX-04 as before, mechanism and after; PX-07 biotrickling without chemical cost; PX-05's $134K; ST-0008 sidebar; PX-08's one-hour response; WATS collection-system odor and corrosion modelling; the sensor-to-dispersion early-warning system; ferric chloride control on the five-mile sludge line (LN-68); the C-004.8 community element (PX-56, PX-57, PX-59) — *five-step framework figure* and *fact box*</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Carried, and now the best-sourced theme in the pursuit</w:t>
            </w:r>
            <w:r>
              <w:rPr>
                <w:rFonts w:ascii="Arial" w:hAnsi="Arial"/>
              </w:rPr>
              <w:t xml:space="preserve"> after G-01 resolved. Every proof is client-named and unpermissioned, so G-12 gates it</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T3</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Successful comparable projects</w:t>
            </w:r>
            <w:r>
              <w:rPr>
                <w:rFonts w:ascii="Arial" w:hAnsi="Arial"/>
              </w:rPr>
              <w:t xml:space="preserve"> (Directive 5)</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brief history as a wastewater facilities operator (C-040.4) — *plain sentence*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ST-0005 closer; ST-0001 — *stat row*</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All five references; the C-001 crosswalk; the enumerated LN-20 and LN-21 lists; LN-32 California count; PX-11, PX-12, PX-13 awards — *crosswalk table* and *California footprint map*</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STN-01 Vancouver; PX-41 — *fact box*</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STN-02 San Marcos; ST-0001 Westerly; ST-0006 Traverse City; PX-51, PX-52, PX-53 — *embedded case studies*</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Carried</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T4</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Compliance leadership, belt and suspenders — the standard we will be held to</w:t>
            </w:r>
            <w:r>
              <w:rPr>
                <w:rFonts w:ascii="Arial" w:hAnsi="Arial"/>
              </w:rPr>
              <w:t xml:space="preserve"> (Directive 7, extended)</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C-040.1 and C-040.3 confirmations — *plain sentence*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LN-22 99.8% NPDES over 20 years, with its comparator in the sentence — *stat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PX-09, PX-10, PX-11, PX-15, PX-16; the five-layer permit-compliance approach (C-049.4); LN-25 EMR against the 1.0 requirement — *layered figure*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Certifications and staffing to permit requirements (C-053.6, C-080) — *table*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LN-75 permits and orders by number; the controlled obligation register mapped to the seven liquidated-damage standards (LN-71) and the Baykeeper rows (C-121); the cleaning and CCTV frequencies we commit to (LN-70) and the response times we accept damages against — </w:t>
            </w:r>
            <w:r>
              <w:rPr>
                <w:rFonts w:ascii="Arial" w:hAnsi="Arial"/>
                <w:b/>
              </w:rPr>
              <w:t>and the statement that we commit to frequency, condition and response, not to an absence of overflows</w:t>
            </w:r>
            <w:r>
              <w:rPr>
                <w:rFonts w:ascii="Arial" w:hAnsi="Arial"/>
              </w:rPr>
              <w:t xml:space="preserve"> — *register table* and *commitment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Carried.</w:t>
            </w:r>
            <w:r>
              <w:rPr>
                <w:rFonts w:ascii="Arial" w:hAnsi="Arial"/>
              </w:rPr>
              <w:t xml:space="preserve"> The extension answers the incumbent's live SSO-responsibility and hot-spot disputes with the RFP's own terms and needs no new evidence — only the decision to say it out loud (D-11)</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T5</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 stormwater baseline the City has never had</w:t>
            </w:r>
            <w:r>
              <w:rPr>
                <w:rFonts w:ascii="Arial" w:hAnsi="Arial"/>
              </w:rPr>
              <w:t xml:space="preserve"> (new, replacing the two unproven themes)</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year-one stormwater commitment — *commitment callout*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C-001.5 crosswalk row stating precisely which stormwater assets we operate (G-03); LN-47 Vancouver injection wells; PX-62 subject to G-20 — *table row*</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The Collection System Manager owns sanitary </w:t>
            </w:r>
            <w:r>
              <w:rPr>
                <w:rFonts w:ascii="Arial" w:hAnsi="Arial"/>
                <w:b/>
              </w:rPr>
              <w:t>and</w:t>
            </w:r>
            <w:r>
              <w:rPr>
                <w:rFonts w:ascii="Arial" w:hAnsi="Arial"/>
              </w:rPr>
              <w:t xml:space="preserve"> stormwater (C-053.2); crew safety and traffic control at stormwater assets (G-30) — *org-chart node*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C-114's eight tasks; catch basins twice a year; five hydrodynamic separators; the Lake and its diffuser; open channels; the year-one assessment and baseline cleaning that produces the debris baseline nobody has; the 2030 trash target under the Cease and Desist Order (LN-69); the C-004.6 and C-004.7 plans — *figure* and *fact box*</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Carried as a position, not as past performance.</w:t>
            </w:r>
            <w:r>
              <w:rPr>
                <w:rFonts w:ascii="Arial" w:hAnsi="Arial"/>
              </w:rPr>
              <w:t xml:space="preserve"> The honest construction is stronger than a borrowed reference and it converts the City's own finding into our first-year deliverable (D-07)</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*Directive 3, IPP expertise*</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IPP named as a delivered service at five projects</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Jeff Heroux, NPDES and IPP programmes — *table row*</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Source-control approach tied to the 375 mg/L BOD and 450 mg/L TSS design basis (LN-66)</w:t>
            </w:r>
          </w:p>
        </w:tc>
        <w:tc>
          <w:tcPr>
            <w:tcW w:type="dxa" w:w="122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Demoted — needs source.</w:t>
            </w:r>
            <w:r>
              <w:rPr>
                <w:rFonts w:ascii="Arial" w:hAnsi="Arial"/>
              </w:rPr>
              <w:t xml:space="preserve"> Five named programmes, zero outcomes (G-31). Carry as a named capability inside T3 and the Operational Approach; do not give it a heading</w:t>
            </w:r>
          </w:p>
        </w:tc>
      </w:tr>
      <w:tr>
        <w:trPr>
          <w:cantSplit/>
        </w:trPr>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*Directive 4, NexGen EAM depth*</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120-day commitment to deliver the asset management plan in the City's NexGen and GIS — *commitment callout*</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Janeane Giarrusso and Amy Dembinski as named SMEs, with their consent — *bench table row*</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The configure-and-operate method (G-02); PX-48, PX-49; the CCTV-to-PACP-to-condition-index chain and the C-009 accuracy responsibility</w:t>
            </w:r>
          </w:p>
        </w:tc>
        <w:tc>
          <w:tcPr>
            <w:tcW w:type="dxa" w:w="1224"/>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Demoted — the engagement claim is internal-only</w:t>
            </w:r>
            <w:r>
              <w:rPr>
                <w:rFonts w:ascii="Arial" w:hAnsi="Arial"/>
              </w:rPr>
              <w:t xml:space="preserve"> until OCWUT clears it (G-02). The named SME bench is usable now. Answer C-004.3 as a dated commitment, never as claimed depth</w:t>
            </w:r>
          </w:p>
        </w:tc>
      </w:tr>
    </w:tbl>
    <w:p>
      <w:pPr>
        <w:spacing w:after="80"/>
      </w:pPr>
    </w:p>
    <w:p>
      <w:pPr>
        <w:pStyle w:val="Heading1"/>
      </w:pPr>
      <w:r>
        <w:rPr>
          <w:rFonts w:ascii="Arial" w:hAnsi="Arial"/>
        </w:rPr>
        <w:t>10. Concession policy</w:t>
      </w:r>
    </w:p>
    <w:p>
      <w:pPr/>
      <w:r>
        <w:rPr>
          <w:rFonts w:ascii="Arial" w:hAnsi="Arial"/>
        </w:rPr>
        <w:t>The proposal makes admissions on purpose, early, in our own words, and always followed by the mechanism that answers them. Every required negative follows Rule 30's four moves in one paragraph — scale context, bounding, resolution, no-impact close — or Rule 31's one-sentence form, with the weakness in a subordinate clause and the answer in the main clause. An admission is never a hedge attached to a figure and never a self-disclaimer.</w:t>
      </w:r>
    </w:p>
    <w:p>
      <w:pPr>
        <w:pStyle w:val="Heading2"/>
      </w:pPr>
      <w:r>
        <w:rPr>
          <w:rFonts w:ascii="Arial" w:hAnsi="Arial"/>
        </w:rPr>
        <w:t>What may be admitted, and how</w:t>
      </w:r>
    </w:p>
    <w:tbl>
      <w:tblPr>
        <w:tblW w:type="pct" w:w="5000"/>
        <w:jc w:val="left"/>
        <w:tblLayout w:type="autofit"/>
        <w:tblLook w:firstColumn="1" w:firstRow="1" w:lastColumn="0" w:lastRow="0" w:noHBand="0" w:noVBand="1" w:val="04A0"/>
      </w:tblPr>
      <w:tblGrid>
        <w:gridCol w:w="3264"/>
        <w:gridCol w:w="3264"/>
        <w:gridCol w:w="3264"/>
      </w:tblGrid>
      <w:tr>
        <w:trPr>
          <w:tblHeader w:val="true"/>
          <w:cantSplit/>
        </w:trPr>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what</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how it is said</w:t>
            </w:r>
          </w:p>
        </w:tc>
        <w:tc>
          <w:tcPr>
            <w:tcW w:type="dxa" w:w="3264"/>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where</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West Basin has been ours since 2025</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State the date plainly and make the transition, not the tenure, the claim: full operating responsibility assumed 1 September 2025 after a contract operator of more than twenty years, with staff satisfaction measured up from 3.6 to 4.1 (LN-51, LN-52). One sentence. No dwelling</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8.4.3, 8.4.4</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Southbridge has been ours since February 2025</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Nineteen months, and an $85 million capital award inside the first year (LN-57, LN-58). A short relationship that has already produced something is a stronger sentence than a vague one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Three of the five references are outside California</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Rule 31, once: while three of the five operate outside California, they do so under comparable regulatory frameworks and at the plant and collection-system scale Richmond requires — followed immediately by the California record (LN-31, LN-32, LN-35, LN-37)</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 reference sits inside 5 to 20 MGD with primary clarifiers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State the band we do cover — "9 to 28 MGD, primary treatment into activated sludge" — rather than claiming an exact match. The crosswalk carries the requirement answer, not the reference set</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 hold no municipal stormwater collection O&amp;M contract of Richmond's type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Never admitted as an absence.</w:t>
            </w:r>
            <w:r>
              <w:rPr>
                <w:rFonts w:ascii="Arial" w:hAnsi="Arial"/>
              </w:rPr>
              <w:t xml:space="preserve"> Written forward per G-03: the stormwater assets Jacobs does operate, stated precisely in the crosswalk row; the permit responsibility Jacobs assumes; and the year-one assessment that produces the baseline the City does not have. A modest true answer in a mandatory qualification table scores better than a blank and immeasurably better than a stretched one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 crosswalk, 8.4.5, 8.4.7</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The stormwater level of effort is unknown</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Framed as a shared unknown and a governance offer, never as the City's failing. The City's own people said the same. Offer the year-one assessment and baseline cleaning, with the fee reset riding on the C-071 mechanism the RFP already provides for a more than 10% change in system size</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8.4.5, 8.4.7</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 do not guarantee an absence of overflows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Stated positively and once: we commit to cleaning frequencies, CCTV frequencies, hot-spot cadence, condition assessment and response times — all measurable, all already carrying liquidated damages (LN-70, LN-71) — and we say which of those is a guarantee and which is a best effort. A concession that reads as competence, and it heads off the hot-spot and SSO-responsibility disputes the incumbent is currently having</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8.4.5</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We disclose environmental and safety matters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Exactly as C-049.3 asks, in the RFP's format, with a Resolution column beside every row: the two Oregon herbicide fines with amounts and resolutions (LN-28), the OSHA citation history including the January 2024 citation vacated by letter on 2024-03-20 (LN-29), closing on PX-16's no-impact sentence. </w:t>
            </w:r>
            <w:r>
              <w:rPr>
                <w:rFonts w:ascii="Arial" w:hAnsi="Arial"/>
                <w:b/>
              </w:rPr>
              <w:t>Disclosure is the theme, not an exception to it</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Litigation and terminations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Answer the ten-year window C-056 actually asks for (G-08), in the entity's own name, with the materiality and SEC-filings construction. Keep any five-year statement separately and visibly labelled as five-year</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8.4.3</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The $2 million M&amp;R fund may not cover the first years</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Never as a bid qualification, an exception or a criticism of the City's budget. Said as a commitment: itemized monthly accounting, unused funds returned, the C-070 pre-approval rule honoured, and a separate first-year transition and corrective-maintenance budget proposed openly for the inherited backlog. Multiple trip reports judge exceedance likely and the City already suspects it</w:t>
            </w:r>
          </w:p>
        </w:tc>
        <w:tc>
          <w:tcPr>
            <w:tcW w:type="dxa" w:w="3264"/>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8.4.7, referenced from 8.4.5</w:t>
            </w:r>
          </w:p>
        </w:tc>
      </w:tr>
      <w:tr>
        <w:trPr>
          <w:cantSplit/>
        </w:trPr>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Assets transferring to an operator for the first time</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Not a concession — a scope-clarity offer. List them as first-year assessment items with named methods: force-main ultrasonic testing and air-relief location on the five-mile line, cathodic-protection survey, a refreshed condition report, the Keller Beach interceptor, the stormwater trash-capture units, the third-party chemical systems whose cost now moves to the operator, and the services that must transfer (LN-81). The City sees that we read the same site it did</w:t>
            </w:r>
          </w:p>
        </w:tc>
        <w:tc>
          <w:tcPr>
            <w:tcW w:type="dxa" w:w="3264"/>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8.4.5</w:t>
            </w:r>
          </w:p>
        </w:tc>
      </w:tr>
    </w:tbl>
    <w:p>
      <w:pPr>
        <w:spacing w:after="80"/>
      </w:pPr>
    </w:p>
    <w:p>
      <w:pPr>
        <w:pStyle w:val="Heading2"/>
      </w:pPr>
      <w:r>
        <w:rPr>
          <w:rFonts w:ascii="Arial" w:hAnsi="Arial"/>
        </w:rPr>
        <w:t>What is never volunteered</w:t>
      </w:r>
    </w:p>
    <w:p>
      <w:pPr>
        <w:pStyle w:val="ListBullet"/>
      </w:pPr>
      <w:r>
        <w:rPr>
          <w:rFonts w:ascii="Arial" w:hAnsi="Arial"/>
          <w:b/>
        </w:rPr>
        <w:t>Any internal figure conflict.</w:t>
      </w:r>
      <w:r>
        <w:rPr>
          <w:rFonts w:ascii="Arial" w:hAnsi="Arial"/>
        </w:rPr>
        <w:t xml:space="preserve"> One value per fact across the document (G-25). Never "99.8% (99.98% in other sources)". Never both revenue figures. Never both TRIR constructions.</w:t>
      </w:r>
    </w:p>
    <w:p>
      <w:pPr>
        <w:pStyle w:val="ListBullet"/>
      </w:pPr>
      <w:r>
        <w:rPr>
          <w:rFonts w:ascii="Arial" w:hAnsi="Arial"/>
          <w:b/>
        </w:rPr>
        <w:t>The 13-row self-disclosed permit-excursion table.</w:t>
      </w:r>
      <w:r>
        <w:rPr>
          <w:rFonts w:ascii="Arial" w:hAnsi="Arial"/>
        </w:rPr>
        <w:t xml:space="preserve"> Rule 30 bans volunteered incident tables by name. It is suppressed — but only after G-26 classifies all 13, because anything that meets C-049.3's definition of a violation must appear in the required disclosure instead.</w:t>
      </w:r>
    </w:p>
    <w:p>
      <w:pPr>
        <w:pStyle w:val="ListBullet"/>
      </w:pPr>
      <w:r>
        <w:rPr>
          <w:rFonts w:ascii="Arial" w:hAnsi="Arial"/>
          <w:b/>
        </w:rPr>
        <w:t>The 29-to-32 FTE internal estimate</w:t>
      </w:r>
      <w:r>
        <w:rPr>
          <w:rFonts w:ascii="Arial" w:hAnsi="Arial"/>
        </w:rPr>
        <w:t xml:space="preserve"> (LN-80), or any other pursuit estimate, until Staffing converts it into a committed org chart.</w:t>
      </w:r>
    </w:p>
    <w:p>
      <w:pPr>
        <w:pStyle w:val="ListBullet"/>
      </w:pPr>
      <w:r>
        <w:rPr>
          <w:rFonts w:ascii="Arial" w:hAnsi="Arial"/>
          <w:b/>
        </w:rPr>
        <w:t>The count of open gaps, the placeholder status of key personnel, or anything about our own drafting process.</w:t>
      </w:r>
      <w:r>
        <w:rPr>
          <w:rFonts w:ascii="Arial" w:hAnsi="Arial"/>
        </w:rPr>
        <w:t xml:space="preserve"> Body text carries no editorial residue at all (Rule 35).</w:t>
      </w:r>
    </w:p>
    <w:p>
      <w:pPr>
        <w:pStyle w:val="ListBullet"/>
      </w:pPr>
      <w:r>
        <w:rPr>
          <w:rFonts w:ascii="Arial" w:hAnsi="Arial"/>
          <w:b/>
        </w:rPr>
        <w:t>The incumbent's name, anywhere in the document.</w:t>
      </w:r>
      <w:r>
        <w:rPr>
          <w:rFonts w:ascii="Arial" w:hAnsi="Arial"/>
        </w:rPr>
        <w:t xml:space="preserve"> The one permitted use is naming no firm at all: our own transitioned projects are described as taken over from "the previous contract operator". Never as a comparison to the City's current situation, never in the Executive Summary, never adjacent to a trip-report finding about this site. D-12 records the one place a deviation could even be argued — the interview room, not a document that will be attached to the final agreement (C-034).</w:t>
      </w:r>
    </w:p>
    <w:p>
      <w:pPr>
        <w:pStyle w:val="ListBullet"/>
      </w:pPr>
      <w:r>
        <w:rPr>
          <w:rFonts w:ascii="Arial" w:hAnsi="Arial"/>
          <w:b/>
        </w:rPr>
        <w:t>Ownership-model swipes.</w:t>
      </w:r>
      <w:r>
        <w:rPr>
          <w:rFonts w:ascii="Arial" w:hAnsi="Arial"/>
        </w:rPr>
        <w:t xml:space="preserve"> The private-equity contrast sentence in the bank is banned by Rule 34 in any rewording, and would read as an attack on a firm the City chose.</w:t>
      </w:r>
    </w:p>
    <w:p>
      <w:pPr>
        <w:pStyle w:val="ListBullet"/>
      </w:pPr>
      <w:r>
        <w:rPr>
          <w:rFonts w:ascii="Arial" w:hAnsi="Arial"/>
          <w:b/>
        </w:rPr>
        <w:t>Any sentence attributing a shortcoming to the City, its staff or its programme.</w:t>
      </w:r>
      <w:r>
        <w:rPr>
          <w:rFonts w:ascii="Arial" w:hAnsi="Arial"/>
        </w:rPr>
        <w:t xml:space="preserve"> The trip reports catalogue housekeeping, deferred maintenance, unlabelled drums, inconsistent lockout-tagout, an open pit secured by a single wire, an out-of-service laboratory eyewash and end-of-life PLCs. Every one of them appears as a Jacobs first-90-days action, never as a finding about the City. The subject of the sentence is always Jacobs. Rule 34 bans "lacks", "deferred", "what the City has been missing" and their relatives outright.</w:t>
      </w:r>
    </w:p>
    <w:p>
      <w:pPr>
        <w:pStyle w:val="ListBullet"/>
      </w:pPr>
      <w:r>
        <w:rPr>
          <w:rFonts w:ascii="Arial" w:hAnsi="Arial"/>
          <w:b/>
        </w:rPr>
        <w:t>Vendor case studies as our own past performance.</w:t>
      </w:r>
      <w:r>
        <w:rPr>
          <w:rFonts w:ascii="Arial" w:hAnsi="Arial"/>
        </w:rPr>
        <w:t xml:space="preserve"> SmartCover and AquaDNA outcomes belong to the vendor and are labelled as such or left out (PX-55).</w:t>
      </w:r>
    </w:p>
    <w:p>
      <w:pPr>
        <w:pStyle w:val="ListBullet"/>
      </w:pPr>
      <w:r>
        <w:rPr>
          <w:rFonts w:ascii="Arial" w:hAnsi="Arial"/>
          <w:b/>
        </w:rPr>
        <w:t>Any un-permissioned quote, and any quote without a name and title</w:t>
      </w:r>
      <w:r>
        <w:rPr>
          <w:rFonts w:ascii="Arial" w:hAnsi="Arial"/>
        </w:rPr>
        <w:t xml:space="preserve"> (Section 5).</w:t>
      </w:r>
    </w:p>
    <w:p>
      <w:pPr>
        <w:pStyle w:val="ListBullet"/>
      </w:pPr>
      <w:r>
        <w:rPr>
          <w:rFonts w:ascii="Arial" w:hAnsi="Arial"/>
          <w:b/>
        </w:rPr>
        <w:t>The SHVUA "$xxM" placeholder page and the Southbridge testimonial reprinted on the SHVUA page.</w:t>
      </w:r>
      <w:r>
        <w:rPr>
          <w:rFonts w:ascii="Arial" w:hAnsi="Arial"/>
        </w:rPr>
        <w:t xml:space="preserve"> Both exist in the source library and both are blocked at QC.</w:t>
      </w:r>
    </w:p>
    <w:p>
      <w:pPr>
        <w:pStyle w:val="ListBullet"/>
      </w:pPr>
      <w:r>
        <w:rPr>
          <w:rFonts w:ascii="Arial" w:hAnsi="Arial"/>
          <w:b/>
        </w:rPr>
        <w:t>The seam between the resume's 16 MGD and the City's 20 MGD</w:t>
      </w:r>
      <w:r>
        <w:rPr>
          <w:rFonts w:ascii="Arial" w:hAnsi="Arial"/>
        </w:rPr>
        <w:t xml:space="preserve"> (Section 6, rule 2).</w:t>
      </w:r>
    </w:p>
    <w:p>
      <w:pPr>
        <w:pStyle w:val="Heading1"/>
      </w:pPr>
      <w:r>
        <w:rPr>
          <w:rFonts w:ascii="Arial" w:hAnsi="Arial"/>
        </w:rPr>
        <w:t>11. Decisions table</w:t>
      </w:r>
    </w:p>
    <w:p>
      <w:pPr/>
      <w:r>
        <w:rPr>
          <w:rFonts w:ascii="Arial" w:hAnsi="Arial"/>
        </w:rPr>
        <w:t>Every item needing Michael's or the pursuit team's decision, with a default recommendation, so that silence still produces a defensible proposal. Ordered by the date each one blocks work.</w:t>
      </w:r>
    </w:p>
    <w:tbl>
      <w:tblPr>
        <w:tblW w:type="pct" w:w="5000"/>
        <w:jc w:val="left"/>
        <w:tblLayout w:type="autofit"/>
        <w:tblLook w:firstColumn="1" w:firstRow="1" w:lastColumn="0" w:lastRow="0" w:noHBand="0" w:noVBand="1" w:val="04A0"/>
      </w:tblPr>
      <w:tblGrid>
        <w:gridCol w:w="1958"/>
        <w:gridCol w:w="1958"/>
        <w:gridCol w:w="1958"/>
        <w:gridCol w:w="1958"/>
        <w:gridCol w:w="1958"/>
      </w:tblGrid>
      <w:tr>
        <w:trPr>
          <w:tblHeader w:val="true"/>
          <w:cantSplit/>
        </w:trPr>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id</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decision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default recommendation</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owner</w:t>
            </w:r>
          </w:p>
        </w:tc>
        <w:tc>
          <w:tcPr>
            <w:tcW w:type="dxa" w:w="1958"/>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needed by</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Mack Mckenzie's role and availability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Pursue named on-site Project Manager; fall back to named transition and start-up lead on 2026-09-15 if availability is not confirmed.</w:t>
            </w:r>
            <w:r>
              <w:rPr>
                <w:rFonts w:ascii="Arial" w:hAnsi="Arial"/>
              </w:rPr>
              <w:t xml:space="preserve"> Confirm his employer of record during the Richmond tenure and do not state tenure dates until the account team supplies them</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 Roy Aristizabal, Howard Brewen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 fallback 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 the on-site Project Manager and the Collection System Manager, or submit with roles described but unnamed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Name both.</w:t>
            </w:r>
            <w:r>
              <w:rPr>
                <w:rFonts w:ascii="Arial" w:hAnsi="Arial"/>
              </w:rPr>
              <w:t xml:space="preserve"> C-054 requires it and C-087 gives the City approval rights over the Project Manager. An org chart with two empty boxes in the 30% section is the most damaging page we could submit. Escalate 2026-09-08. If the Collection System Manager cannot be recruited, name an internal collections leader with a documented recruitment and City-approval protocol — never a blank</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pursuit team</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Contracting entity and signatory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OMI, a California corporation since 10/25/1980</w:t>
            </w:r>
            <w:r>
              <w:rPr>
                <w:rFonts w:ascii="Arial" w:hAnsi="Arial"/>
              </w:rPr>
              <w:t>, wholly owned by Jacobs Solutions Inc., with the signatory confirmed by the Corporate Secretary. Treat it as a win theme, not a form field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Legal, Corporate Secretary</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2026-09-11</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Which five references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Waterbury, Vancouver, West Basin, Clovis, Southbridge</w:t>
            </w:r>
            <w:r>
              <w:rPr>
                <w:rFonts w:ascii="Arial" w:hAnsi="Arial"/>
              </w:rPr>
              <w:t>, with San Marcos and Traverse City on the bench. Promote San Marcos in place of Southbridge if G-11 delivers a contact, a fee and dates by Pink team. Swap out any reference whose annual fee cannot be released (G-06)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with Howard Brewen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to print a corporate revenue figure at all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w:t>
            </w:r>
            <w:r>
              <w:rPr>
                <w:rFonts w:ascii="Arial" w:hAnsi="Arial"/>
              </w:rPr>
              <w:t xml:space="preserve"> C-001.6 asks for O&amp;M revenue, which LN-02 and LN-03 answer with a 32-times margin. If a corporate-scale sentence is unavoidable, "more than $12 billion", document-wide, once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Finance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Lock the compliance-rate figure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99.8% across a 20-year NPDES record.</w:t>
            </w:r>
            <w:r>
              <w:rPr>
                <w:rFonts w:ascii="Arial" w:hAnsi="Arial"/>
              </w:rPr>
              <w:t xml:space="preserve"> Never alongside 99.98% in the same document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OMFS compliance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Adopt "a stormwater baseline the City has never had" as the fifth win theme, in place of the two unproven Directive themes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Adopt.</w:t>
            </w:r>
            <w:r>
              <w:rPr>
                <w:rFonts w:ascii="Arial" w:hAnsi="Arial"/>
              </w:rPr>
              <w:t xml:space="preserve"> It converts our weakest evidence position into the City's first-year deliverable, answers the 2025 Cease and Desist Order directly, and needs no borrowed reference. Demote IPP and NexGen to sub-points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 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D-08</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Print the Waterbury $12.7 million client-estimated saving</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Yes, with the client's knowledge.</w:t>
            </w:r>
            <w:r>
              <w:rPr>
                <w:rFonts w:ascii="Arial" w:hAnsi="Arial"/>
              </w:rPr>
              <w:t xml:space="preserve"> It is our largest client-attributed outcome and the City may verify it under C-075, so the reference must know it is in the proposal before the call comes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account manager</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D-09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Waterbury quote attribution conflict (Q-01)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Ask the account team which attribution is correct and print only that.</w:t>
            </w:r>
            <w:r>
              <w:rPr>
                <w:rFonts w:ascii="Arial" w:hAnsi="Arial"/>
              </w:rPr>
              <w:t xml:space="preserve"> If it is unresolved by 2026-09-19, drop the quote and carry Waterbury on PX-09, PX-17, PX-01 and PX-43 — the numbers are stronger than the quote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with the Waterbury account manager</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2026-09-19</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D-10</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Merge Directive themes 1 and 6 and carry five themes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Merge and carry five.</w:t>
            </w:r>
            <w:r>
              <w:rPr>
                <w:rFonts w:ascii="Arial" w:hAnsi="Arial"/>
              </w:rPr>
              <w:t xml:space="preserve"> Two near-identical themes cannot each own three headings under Rule 26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Say out loud that we commit to frequency, condition and response rather than to an absence of overflows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Say it.</w:t>
            </w:r>
            <w:r>
              <w:rPr>
                <w:rFonts w:ascii="Arial" w:hAnsi="Arial"/>
              </w:rPr>
              <w:t xml:space="preserve"> It is the only position that answers the incumbent's live SSO-responsibility and hot-spot disputes, it uses the RFP's own terms, and it limits our exposure under C-005.2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 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to name the incumbent anywhere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No, nowhere in the document.</w:t>
            </w:r>
            <w:r>
              <w:rPr>
                <w:rFonts w:ascii="Arial" w:hAnsi="Arial"/>
              </w:rPr>
              <w:t xml:space="preserve"> Rule 28. If the competitive posture warrants naming, it happens verbally at the 28 October interview, not in a document that will be attached to the final agreement (C-034)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appendix narrative counts inside the 40 pages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Assume it does.</w:t>
            </w:r>
            <w:r>
              <w:rPr>
                <w:rFonts w:ascii="Arial" w:hAnsi="Arial"/>
              </w:rPr>
              <w:t xml:space="preserve"> Only bios, required forms, financial statements, insurance certificates and the notarized surety statement sit outside. Budget 3 appendix pages inside the 40. No clarification is available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2026-09-08</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the cover letter counts inside the 40 pages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Assume it does.</w:t>
            </w:r>
            <w:r>
              <w:rPr>
                <w:rFonts w:ascii="Arial" w:hAnsi="Arial"/>
              </w:rPr>
              <w:t xml:space="preserve"> Budget 3 of 40</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2026-09-08</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The reach-back fee boundary and Richmond's own annual support hours (C-049.2)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State a boundary, not a slogan.</w:t>
            </w:r>
            <w:r>
              <w:rPr>
                <w:rFonts w:ascii="Arial" w:hAnsi="Arial"/>
              </w:rPr>
              <w:t xml:space="preserve"> Name what the base fee includes and what is separately authorized, set a Richmond-specific hours figure, and budget regional support in the proforma rather than as overhead, with regional maintenance as reimbursable time and materials. </w:t>
            </w:r>
            <w:r>
              <w:rPr>
                <w:rFonts w:ascii="Arial" w:hAnsi="Arial"/>
                <w:b/>
              </w:rPr>
              <w:t>Never reuse Hull's 2,000 or Santa Monica's 1,300 hours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 with 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2026-09-19</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Energy gain-share position on the 2,050 kWh/MG baseline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Accept the 50/50 structure and price the downside.</w:t>
            </w:r>
            <w:r>
              <w:rPr>
                <w:rFonts w:ascii="Arial" w:hAnsi="Arial"/>
              </w:rPr>
              <w:t xml:space="preserve"> The gain-share is symmetrical, the denominator is per million gallons, and actual influent averages about 5 MGD against a 6.50 MGD fee basis — so kWh/MG rises as flow falls. Model the exposure before committing, and carry the mechanism with dissolved-oxygen and LDO control (PX-31), PX-20 and PX-28</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2026-09-18</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D-17</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Stormwater pricing structure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Bid a fully compliant all-inclusive base fee with the year-one stormwater assessment and baseline cleaning priced inside it, and provide the standalone stormwater cost C-058 requires.</w:t>
            </w:r>
            <w:r>
              <w:rPr>
                <w:rFonts w:ascii="Arial" w:hAnsi="Arial"/>
              </w:rPr>
              <w:t xml:space="preserve"> Put the baseline-driven adjustment on the C-071 mechanism the RFP already provides. If an alternative structure is offered, present it as a clearly labelled alternate beside the compliant price — C-060 says the base fee covers all services and C-074 lets the City call any unacceptable aspect unresponsive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 with 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2026-09-18</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D-18</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First-year corrective-maintenance and backlog budget</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Propose it, separate from the $2M M&amp;R fund</w:t>
            </w:r>
            <w:r>
              <w:rPr>
                <w:rFonts w:ascii="Arial" w:hAnsi="Arial"/>
              </w:rPr>
              <w:t>, with monthly itemized reconciliation, unused funds returned, and the C-070 pre-approval rule honoured. Three trip reports independently judge the fund likely to be exceeded early; the offer converts a commercial risk into the transparency theme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Pricing lead with 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2026-09-22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D-19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Key-personnel retention offers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Include them:</w:t>
            </w:r>
            <w:r>
              <w:rPr>
                <w:rFonts w:ascii="Arial" w:hAnsi="Arial"/>
              </w:rPr>
              <w:t xml:space="preserve"> relocation, stay-pay and licensing incentives, key-personnel liquidated damages, and an in-house point-repair crew. A forward commitment beats a transition anecdote in the heaviest section on the scorecard, and the City's stated anxiety is the Collection System Manager</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with the pricing lead</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D-20</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to print any pull quote at all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Print none unless written permission returns by 2026-09-22.</w:t>
            </w:r>
            <w:r>
              <w:rPr>
                <w:rFonts w:ascii="Arial" w:hAnsi="Arial"/>
              </w:rPr>
              <w:t xml:space="preserve"> All 46 inventory entries are permission-unknown today. Both closers have named non-quote fallbacks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2026-09-22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D-21</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Recompute every tenure and duration to 2026-09-29</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Yes.</w:t>
            </w:r>
            <w:r>
              <w:rPr>
                <w:rFonts w:ascii="Arial" w:hAnsi="Arial"/>
              </w:rPr>
              <w:t xml:space="preserve"> The California footprint tenures, Auburn, Clovis, Soquel, Key West, Vancouver, Waterbury and Traverse City durations are all frozen at earlier cycles. Note that OMI's 45 years rolls to 46 on 2026-10-25, three days before the interview</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Account teams with Howard Brewen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2026-09-18</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D-22</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Named subcontractors (C-064)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Decide the list now:</w:t>
            </w:r>
            <w:r>
              <w:rPr>
                <w:rFonts w:ascii="Arial" w:hAnsi="Arial"/>
              </w:rPr>
              <w:t xml:space="preserve"> CCTV of pipes above 20 inches, traffic control, hazardous waste, specialty electrical and OT, and any force-main or cathodic-protection specialist. C-064 makes an unnamed subcontractor a compliance failure inside the 30% section</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D-23</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Whether to build a cybersecurity plan section and a 5-year CIP section at all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Yes to both.</w:t>
            </w:r>
            <w:r>
              <w:rPr>
                <w:rFonts w:ascii="Arial" w:hAnsi="Arial"/>
              </w:rPr>
              <w:t xml:space="preserve"> C-118 with ten sub-rows and C-004.5 with C-007, C-101 and C-113 are mandated, both are named client hot buttons, and the bank holds the material. They were absent from all three source drafts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with the OT and asset-management leads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D-24</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 xml:space="preserve">Register the 22 </w:t>
            </w:r>
            <w:r>
              <w:rPr>
                <w:rFonts w:ascii="Consolas" w:hAnsi="Consolas"/>
                <w:sz w:val="22"/>
              </w:rPr>
              <w:t>PPN-</w:t>
            </w:r>
            <w:r>
              <w:rPr>
                <w:rFonts w:ascii="Arial" w:hAnsi="Arial"/>
              </w:rPr>
              <w:t xml:space="preserve"> proof points, catalogue STN-01 and STN-02, and register the three qualitative proofs (PX-10, PX-41, PX-06)</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Yes, before any writer opens a section.</w:t>
            </w:r>
            <w:r>
              <w:rPr>
                <w:rFonts w:ascii="Arial" w:hAnsi="Arial"/>
              </w:rPr>
              <w:t xml:space="preserve"> Twenty-two facts and two stories are currently traceable only to this sheet and to a verbatim page</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Content-bank owner with Roy Aristizabal</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2026-09-12</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D-25</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Interview plan for 2026-10-28 (C-018)</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Attendees:</w:t>
            </w:r>
            <w:r>
              <w:rPr>
                <w:rFonts w:ascii="Arial" w:hAnsi="Arial"/>
              </w:rPr>
              <w:t xml:space="preserve"> both named key personnel, Mack Mckenzie, Howard Brewen and Roy Aristizabal. </w:t>
            </w:r>
            <w:r>
              <w:rPr>
                <w:rFonts w:ascii="Arial" w:hAnsi="Arial"/>
                <w:b/>
              </w:rPr>
              <w:t>And reserve material for the room:</w:t>
            </w:r>
            <w:r>
              <w:rPr>
                <w:rFonts w:ascii="Arial" w:hAnsi="Arial"/>
              </w:rPr>
              <w:t xml:space="preserve"> the incumbent-naming question (D-12), Q-14 if cleared, the Mckenzie reveal if D-01 lands on option A, and prepared answers on housekeeping, SSO responsibility and the M&amp;R fund. Rehearse before Red team, not after</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Roy Aristizabal with Michael Travis</w:t>
            </w:r>
          </w:p>
        </w:tc>
        <w:tc>
          <w:tcPr>
            <w:tcW w:type="dxa" w:w="1958"/>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2026-09-15, rehearsal by 2026-10-20</w:t>
            </w:r>
          </w:p>
        </w:tc>
      </w:tr>
      <w:tr>
        <w:trPr>
          <w:cantSplit/>
        </w:trPr>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D-26</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Local hiring and ordinance posture (C-025, C-029)</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Make it a commitment, not a compliance line.</w:t>
            </w:r>
            <w:r>
              <w:rPr>
                <w:rFonts w:ascii="Arial" w:hAnsi="Arial"/>
              </w:rPr>
              <w:t xml:space="preserve"> Offer employment to qualified incumbent staff, state Local Employment Program and Living Wage compliance in 8.4.4, and make sure the prevailing-wage split (about 30% of operations and 90% of maintenance labour) matches the fee build</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HR and Legal with the pricing lead</w:t>
            </w:r>
          </w:p>
        </w:tc>
        <w:tc>
          <w:tcPr>
            <w:tcW w:type="dxa" w:w="1958"/>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2026-09-15</w:t>
            </w:r>
          </w:p>
        </w:tc>
      </w:tr>
    </w:tbl>
    <w:p>
      <w:pPr>
        <w:spacing w:after="80"/>
      </w:pPr>
    </w:p>
    <w:p>
      <w:pPr>
        <w:pStyle w:val="Heading1"/>
      </w:pPr>
      <w:r>
        <w:rPr>
          <w:rFonts w:ascii="Arial" w:hAnsi="Arial"/>
        </w:rPr>
        <w:t>Sheet integrity</w:t>
      </w:r>
    </w:p>
    <w:p>
      <w:pPr>
        <w:pStyle w:val="ListBullet"/>
      </w:pPr>
      <w:r>
        <w:rPr>
          <w:rFonts w:ascii="Arial" w:hAnsi="Arial"/>
        </w:rPr>
        <w:t xml:space="preserve">Every figure in Section 1 is copied from </w:t>
      </w:r>
      <w:r>
        <w:rPr>
          <w:rFonts w:ascii="Consolas" w:hAnsi="Consolas"/>
          <w:sz w:val="22"/>
        </w:rPr>
        <w:t>proof-points/registry.md</w:t>
      </w:r>
      <w:r>
        <w:rPr>
          <w:rFonts w:ascii="Arial" w:hAnsi="Arial"/>
        </w:rPr>
        <w:t xml:space="preserve">, a verbatim page, a wiki block, the requirement exports, </w:t>
      </w:r>
      <w:r>
        <w:rPr>
          <w:rFonts w:ascii="Consolas" w:hAnsi="Consolas"/>
          <w:sz w:val="22"/>
        </w:rPr>
        <w:t>pursuit.md</w:t>
      </w:r>
      <w:r>
        <w:rPr>
          <w:rFonts w:ascii="Arial" w:hAnsi="Arial"/>
        </w:rPr>
        <w:t xml:space="preserve"> or </w:t>
      </w:r>
      <w:r>
        <w:rPr>
          <w:rFonts w:ascii="Consolas" w:hAnsi="Consolas"/>
          <w:sz w:val="22"/>
        </w:rPr>
        <w:t>trip-report-digest.md</w:t>
      </w:r>
      <w:r>
        <w:rPr>
          <w:rFonts w:ascii="Arial" w:hAnsi="Arial"/>
        </w:rPr>
        <w:t>. No value was computed, rounded or inferred except where a write-around is explicitly named as such ("more than 300 miles", "more than 42,000", "more than three decades").</w:t>
      </w:r>
    </w:p>
    <w:p>
      <w:pPr>
        <w:pStyle w:val="ListBullet"/>
      </w:pPr>
      <w:r>
        <w:rPr>
          <w:rFonts w:ascii="Arial" w:hAnsi="Arial"/>
        </w:rPr>
        <w:t xml:space="preserve">Every proof point in Section 2 carries a registry ID or a </w:t>
      </w:r>
      <w:r>
        <w:rPr>
          <w:rFonts w:ascii="Consolas" w:hAnsi="Consolas"/>
          <w:sz w:val="22"/>
        </w:rPr>
        <w:t>PPN-</w:t>
      </w:r>
      <w:r>
        <w:rPr>
          <w:rFonts w:ascii="Arial" w:hAnsi="Arial"/>
        </w:rPr>
        <w:t xml:space="preserve"> label with its verbatim page and paragraph anchor, and every </w:t>
      </w:r>
      <w:r>
        <w:rPr>
          <w:rFonts w:ascii="Consolas" w:hAnsi="Consolas"/>
          <w:sz w:val="22"/>
        </w:rPr>
        <w:t>PPN-</w:t>
      </w:r>
      <w:r>
        <w:rPr>
          <w:rFonts w:ascii="Arial" w:hAnsi="Arial"/>
        </w:rPr>
        <w:t xml:space="preserve"> entry has a register-before-use instruction at D-24.</w:t>
      </w:r>
    </w:p>
    <w:p>
      <w:pPr>
        <w:pStyle w:val="ListBullet"/>
      </w:pPr>
      <w:r>
        <w:rPr>
          <w:rFonts w:ascii="Arial" w:hAnsi="Arial"/>
        </w:rPr>
        <w:t>Every reference, story and quote in Sections 3, 4 and 5 carries an R-, ST-, STN- or TM- identifier traceable to the content bank, and every cross-reference to a gap uses the G- id defined in Section 7.</w:t>
      </w:r>
    </w:p>
    <w:p>
      <w:pPr>
        <w:pStyle w:val="ListBullet"/>
      </w:pPr>
      <w:r>
        <w:rPr>
          <w:rFonts w:ascii="Arial" w:hAnsi="Arial"/>
        </w:rPr>
        <w:t>Where sources conflict, all observed values appear with their source and a lock is recommended with a reason. Eight rows in Section 1 instruct the writer to state nothing until an owner resolves the conflict.</w:t>
      </w:r>
    </w:p>
    <w:p>
      <w:pPr>
        <w:pStyle w:val="ListBullet"/>
      </w:pPr>
      <w:r>
        <w:rPr>
          <w:rFonts w:ascii="Arial" w:hAnsi="Arial"/>
        </w:rPr>
        <w:t xml:space="preserve">Where nothing exists, there is a gap decision in Section 7 rather than a placeholder. </w:t>
      </w:r>
      <w:r>
        <w:rPr>
          <w:rFonts w:ascii="Arial" w:hAnsi="Arial"/>
          <w:b/>
        </w:rPr>
        <w:t>No item on this sheet authorizes a bracket, a tag or a hedge in body text.</w:t>
      </w:r>
    </w:p>
    <w:p>
      <w:pPr>
        <w:pStyle w:val="ListBullet"/>
      </w:pPr>
      <w:r>
        <w:rPr>
          <w:rFonts w:ascii="Arial" w:hAnsi="Arial"/>
        </w:rPr>
        <w:t>The page budget closes: 3 + 3 + 6 + 9 + 15 + 3 = 39, with 1 page of float and every appendix artifact given a home inside the count.</w:t>
      </w:r>
    </w:p>
    <w:p>
      <w:pPr>
        <w:pStyle w:val="Heading1"/>
      </w:pPr>
      <w:r>
        <w:rPr>
          <w:rFonts w:ascii="Arial" w:hAnsi="Arial"/>
        </w:rPr>
        <w:t>Decisions — tick one per row</w:t>
      </w:r>
    </w:p>
    <w:p>
      <w:pPr/>
      <w:r>
        <w:rPr>
          <w:rFonts w:ascii="Arial" w:hAnsi="Arial"/>
        </w:rPr>
        <w:t>Twenty-six decisions, each with a default recommendation. Tick Approve to accept the recommendation as written, or tick Change and write the substitute in the last column. Silence on a row means the default stands, and the default is always defensible — but every row left unmarked past its date in Section 11 costs a writer a day.</w:t>
      </w:r>
    </w:p>
    <w:tbl>
      <w:tblPr>
        <w:tblW w:type="pct" w:w="5000"/>
        <w:jc w:val="left"/>
        <w:tblLayout w:type="autofit"/>
        <w:tblLook w:firstColumn="1" w:firstRow="1" w:lastColumn="0" w:lastRow="0" w:noHBand="0" w:noVBand="1" w:val="04A0"/>
      </w:tblPr>
      <w:tblGrid>
        <w:gridCol w:w="2448"/>
        <w:gridCol w:w="2448"/>
        <w:gridCol w:w="2448"/>
        <w:gridCol w:w="2448"/>
      </w:tblGrid>
      <w:tr>
        <w:trPr>
          <w:tblHeader w:val="true"/>
          <w:cantSplit/>
        </w:trPr>
        <w:tc>
          <w:tcPr>
            <w:tcW w:type="dxa" w:w="2736"/>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Item</w:t>
            </w:r>
          </w:p>
        </w:tc>
        <w:tc>
          <w:tcPr>
            <w:tcW w:type="dxa" w:w="235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Recommendation</w:t>
            </w:r>
          </w:p>
        </w:tc>
        <w:tc>
          <w:tcPr>
            <w:tcW w:type="dxa" w:w="235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 Approve</w:t>
            </w:r>
          </w:p>
        </w:tc>
        <w:tc>
          <w:tcPr>
            <w:tcW w:type="dxa" w:w="2352"/>
            <w:vAlign w:val="center"/>
            <w:tcMar>
              <w:top w:w="40" w:type="dxa"/>
              <w:start w:w="80" w:type="dxa"/>
              <w:bottom w:w="40" w:type="dxa"/>
              <w:end w:w="80" w:type="dxa"/>
            </w:tcMar>
            <w:tcBorders>
              <w:bottom w:val="single" w:sz="12" w:space="0" w:color="000000"/>
            </w:tcBorders>
          </w:tcPr>
          <w:p>
            <w:pPr>
              <w:pStyle w:val="TableHeader"/>
              <w:keepNext/>
              <w:jc w:val="left"/>
            </w:pPr>
            <w:r>
              <w:rPr>
                <w:rFonts w:ascii="Arial" w:hAnsi="Arial"/>
                <w:b/>
              </w:rPr>
              <w:t>☐ Change (note)</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D-01</w:t>
            </w:r>
            <w:r>
              <w:rPr>
                <w:rFonts w:ascii="Arial" w:hAnsi="Arial"/>
                <w:b/>
              </w:rPr>
              <w:t xml:space="preserve"> — Mack Mckenzie's role and availability </w:t>
            </w:r>
            <w:r>
              <w:rPr>
                <w:rFonts w:ascii="Arial" w:hAnsi="Arial"/>
                <w:b/>
                <w:i/>
              </w:rPr>
              <w:t>(owner: Michael Travis, Roy Aristizabal, Howard Brewen; needed by 2026-09-12, fallback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Pursue named on-site Project Manager; fall back to named transition and start-up lead on 2026-09-15 if availability is not confirmed. Confirm his employer of record during the Richmond tenure and do not state tenure dates until the account team supplies them</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D-02</w:t>
            </w:r>
            <w:r>
              <w:rPr>
                <w:rFonts w:ascii="Arial" w:hAnsi="Arial"/>
                <w:b/>
              </w:rPr>
              <w:t xml:space="preserve"> — Name the on-site Project Manager and the Collection System Manager, or submit with roles described but unnamed </w:t>
            </w:r>
            <w:r>
              <w:rPr>
                <w:rFonts w:ascii="Arial" w:hAnsi="Arial"/>
                <w:b/>
                <w:i/>
              </w:rPr>
              <w:t>(owner: Roy Aristizabal, pursuit team;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Name both. C-054 requires it and C-087 gives the City approval rights over the Project Manager. An org chart with two empty boxes in the 30% section is the most damaging page we could submit. Escalate 2026-09-08. If the Collection System Manager cannot be recruited, name an internal collections leader with a documented recruitment and City-approval protocol — never a blank</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D-03</w:t>
            </w:r>
            <w:r>
              <w:rPr>
                <w:rFonts w:ascii="Arial" w:hAnsi="Arial"/>
                <w:b/>
              </w:rPr>
              <w:t xml:space="preserve"> — Contracting entity and signatory </w:t>
            </w:r>
            <w:r>
              <w:rPr>
                <w:rFonts w:ascii="Arial" w:hAnsi="Arial"/>
                <w:b/>
                <w:i/>
              </w:rPr>
              <w:t>(owner: Legal, Corporate Secretary; needed by 2026-09-11)</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OMI, a California corporation since 10/25/1980, wholly owned by Jacobs Solutions Inc., with the signatory confirmed by the Corporate Secretary. Treat it as a win theme, not a form field</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D-04</w:t>
            </w:r>
            <w:r>
              <w:rPr>
                <w:rFonts w:ascii="Arial" w:hAnsi="Arial"/>
                <w:b/>
              </w:rPr>
              <w:t xml:space="preserve"> — Which five references </w:t>
            </w:r>
            <w:r>
              <w:rPr>
                <w:rFonts w:ascii="Arial" w:hAnsi="Arial"/>
                <w:b/>
                <w:i/>
              </w:rPr>
              <w:t>(owner: Roy Aristizabal with Howard Brewen; needed by 2026-09-12)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Waterbury, Vancouver, West Basin, Clovis, Southbridge, with San Marcos and Traverse City on the bench. Promote San Marcos in place of Southbridge if G-11 delivers a contact, a fee and dates by Pink team. Swap out any reference whose annual fee cannot be released (G-06)</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D-05</w:t>
            </w:r>
            <w:r>
              <w:rPr>
                <w:rFonts w:ascii="Arial" w:hAnsi="Arial"/>
                <w:b/>
              </w:rPr>
              <w:t xml:space="preserve"> — Whether to print a corporate revenue figure at all </w:t>
            </w:r>
            <w:r>
              <w:rPr>
                <w:rFonts w:ascii="Arial" w:hAnsi="Arial"/>
                <w:b/>
                <w:i/>
              </w:rPr>
              <w:t>(owner: Finance;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 C-001.6 asks for O&amp;M revenue, which LN-02 and LN-03 answer with a 32-times margin. If a corporate-scale sentence is unavoidable, "more than $12 billion", document-wide, once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D-06</w:t>
            </w:r>
            <w:r>
              <w:rPr>
                <w:rFonts w:ascii="Arial" w:hAnsi="Arial"/>
                <w:b/>
              </w:rPr>
              <w:t xml:space="preserve"> — Lock the compliance-rate figure </w:t>
            </w:r>
            <w:r>
              <w:rPr>
                <w:rFonts w:ascii="Arial" w:hAnsi="Arial"/>
                <w:b/>
                <w:i/>
              </w:rPr>
              <w:t>(owner: OMFS compliance;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99.8% across a 20-year NPDES record. Never alongside 99.98% in the same document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D-07</w:t>
            </w:r>
            <w:r>
              <w:rPr>
                <w:rFonts w:ascii="Arial" w:hAnsi="Arial"/>
                <w:b/>
              </w:rPr>
              <w:t xml:space="preserve"> — Adopt "a stormwater baseline the City has never had" as the fifth win theme, in place of the two unproven Directive themes </w:t>
            </w:r>
            <w:r>
              <w:rPr>
                <w:rFonts w:ascii="Arial" w:hAnsi="Arial"/>
                <w:b/>
                <w:i/>
              </w:rPr>
              <w:t>(owner: Michael Travis, Roy Aristizabal; needed by 2026-09-12)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Adopt. It converts our weakest evidence position into the City's first-year deliverable, answers the 2025 Cease and Desist Order directly, and needs no borrowed reference. Demote IPP and NexGen to sub-points</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D-08</w:t>
            </w:r>
            <w:r>
              <w:rPr>
                <w:rFonts w:ascii="Arial" w:hAnsi="Arial"/>
                <w:b/>
              </w:rPr>
              <w:t xml:space="preserve"> — Print the Waterbury $12.7 million client-estimated saving </w:t>
            </w:r>
            <w:r>
              <w:rPr>
                <w:rFonts w:ascii="Arial" w:hAnsi="Arial"/>
                <w:b/>
                <w:i/>
              </w:rPr>
              <w:t>(owner: Waterbury account manager;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Yes, with the client's knowledge. It is our largest client-attributed outcome and the City may verify it under C-075, so the reference must know it is in the proposal before the call comes</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D-09</w:t>
            </w:r>
            <w:r>
              <w:rPr>
                <w:rFonts w:ascii="Arial" w:hAnsi="Arial"/>
                <w:b/>
              </w:rPr>
              <w:t xml:space="preserve"> — The Waterbury quote attribution conflict (Q-01) </w:t>
            </w:r>
            <w:r>
              <w:rPr>
                <w:rFonts w:ascii="Arial" w:hAnsi="Arial"/>
                <w:b/>
                <w:i/>
              </w:rPr>
              <w:t>(owner: Roy Aristizabal with the Waterbury account manager; needed by 2026-09-19)</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Ask the account team which attribution is correct and print only that. If it is unresolved by 2026-09-19, drop the quote and carry Waterbury on PX-09, PX-17, PX-01 and PX-43 — the numbers are stronger than the quote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D-10</w:t>
            </w:r>
            <w:r>
              <w:rPr>
                <w:rFonts w:ascii="Arial" w:hAnsi="Arial"/>
                <w:b/>
              </w:rPr>
              <w:t xml:space="preserve"> — Merge Directive themes 1 and 6 and carry five themes </w:t>
            </w:r>
            <w:r>
              <w:rPr>
                <w:rFonts w:ascii="Arial" w:hAnsi="Arial"/>
                <w:b/>
                <w:i/>
              </w:rPr>
              <w:t>(owner: Michael Travis; needed by 2026-09-12)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Merge and carry five. Two near-identical themes cannot each own three headings under Rule 26</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D-11</w:t>
            </w:r>
            <w:r>
              <w:rPr>
                <w:rFonts w:ascii="Arial" w:hAnsi="Arial"/>
                <w:b/>
              </w:rPr>
              <w:t xml:space="preserve"> — Say out loud that we commit to frequency, condition and response rather than to an absence of overflows </w:t>
            </w:r>
            <w:r>
              <w:rPr>
                <w:rFonts w:ascii="Arial" w:hAnsi="Arial"/>
                <w:b/>
                <w:i/>
              </w:rPr>
              <w:t>(owner: Michael Travis, Roy Aristizabal;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Say it. It is the only position that answers the incumbent's live SSO-responsibility and hot-spot disputes, it uses the RFP's own terms, and it limits our exposure under C-005.2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D-12</w:t>
            </w:r>
            <w:r>
              <w:rPr>
                <w:rFonts w:ascii="Arial" w:hAnsi="Arial"/>
                <w:b/>
              </w:rPr>
              <w:t xml:space="preserve"> — Whether to name the incumbent anywhere </w:t>
            </w:r>
            <w:r>
              <w:rPr>
                <w:rFonts w:ascii="Arial" w:hAnsi="Arial"/>
                <w:b/>
                <w:i/>
              </w:rPr>
              <w:t>(owner: Michael Travis; needed by 2026-09-12)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No, nowhere in the document. Rule 28. If the competitive posture warrants naming, it happens verbally at the 28 October interview, not in a document that will be attached to the final agreement (C-034)</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D-13</w:t>
            </w:r>
            <w:r>
              <w:rPr>
                <w:rFonts w:ascii="Arial" w:hAnsi="Arial"/>
                <w:b/>
              </w:rPr>
              <w:t xml:space="preserve"> — Whether appendix narrative counts inside the 40 pages </w:t>
            </w:r>
            <w:r>
              <w:rPr>
                <w:rFonts w:ascii="Arial" w:hAnsi="Arial"/>
                <w:b/>
                <w:i/>
              </w:rPr>
              <w:t>(owner: Michael Travis; needed by 2026-09-08)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Assume it does. Only bios, required forms, financial statements, insurance certificates and the notarized surety statement sit outside. Budget 3 appendix pages inside the 40. No clarification is available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D-14</w:t>
            </w:r>
            <w:r>
              <w:rPr>
                <w:rFonts w:ascii="Arial" w:hAnsi="Arial"/>
                <w:b/>
              </w:rPr>
              <w:t xml:space="preserve"> — Whether the cover letter counts inside the 40 pages </w:t>
            </w:r>
            <w:r>
              <w:rPr>
                <w:rFonts w:ascii="Arial" w:hAnsi="Arial"/>
                <w:b/>
                <w:i/>
              </w:rPr>
              <w:t>(owner: Michael Travis; needed by 2026-09-08)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Assume it does. Budget 3 of 40</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D-15</w:t>
            </w:r>
            <w:r>
              <w:rPr>
                <w:rFonts w:ascii="Arial" w:hAnsi="Arial"/>
                <w:b/>
              </w:rPr>
              <w:t xml:space="preserve"> — The reach-back fee boundary and Richmond's own annual support hours (C-049.2) </w:t>
            </w:r>
            <w:r>
              <w:rPr>
                <w:rFonts w:ascii="Arial" w:hAnsi="Arial"/>
                <w:b/>
                <w:i/>
              </w:rPr>
              <w:t>(owner: Pricing lead with Roy Aristizabal; needed by 2026-09-19)</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State a boundary, not a slogan. Name what the base fee includes and what is separately authorized, set a Richmond-specific hours figure, and budget regional support in the proforma rather than as overhead, with regional maintenance as reimbursable time and materials. Never reuse Hull's 2,000 or Santa Monica's 1,300 hours</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D-16</w:t>
            </w:r>
            <w:r>
              <w:rPr>
                <w:rFonts w:ascii="Arial" w:hAnsi="Arial"/>
                <w:b/>
              </w:rPr>
              <w:t xml:space="preserve"> — Energy gain-share position on the 2,050 kWh/MG baseline </w:t>
            </w:r>
            <w:r>
              <w:rPr>
                <w:rFonts w:ascii="Arial" w:hAnsi="Arial"/>
                <w:b/>
                <w:i/>
              </w:rPr>
              <w:t>(owner: Pricing lead; needed by 2026-09-18)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Accept the 50/50 structure and price the downside. The gain-share is symmetrical, the denominator is per million gallons, and actual influent averages about 5 MGD against a 6.50 MGD fee basis — so kWh/MG rises as flow falls. Model the exposure before committing, and carry the mechanism with dissolved-oxygen and LDO control (PX-31), PX-20 and PX-28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D-17</w:t>
            </w:r>
            <w:r>
              <w:rPr>
                <w:rFonts w:ascii="Arial" w:hAnsi="Arial"/>
                <w:b/>
              </w:rPr>
              <w:t xml:space="preserve"> — Stormwater pricing structure </w:t>
            </w:r>
            <w:r>
              <w:rPr>
                <w:rFonts w:ascii="Arial" w:hAnsi="Arial"/>
                <w:b/>
                <w:i/>
              </w:rPr>
              <w:t>(owner: Pricing lead with Roy Aristizabal; needed by 2026-09-18)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Bid a fully compliant all-inclusive base fee with the year-one stormwater assessment and baseline cleaning priced inside it, and provide the standalone stormwater cost C-058 requires. Put the baseline-driven adjustment on the C-071 mechanism the RFP already provides. If an alternative structure is offered, present it as a clearly labelled alternate beside the compliant price — C-060 says the base fee covers all services and C-074 lets the City call any unacceptable aspect unresponsive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D-18</w:t>
            </w:r>
            <w:r>
              <w:rPr>
                <w:rFonts w:ascii="Arial" w:hAnsi="Arial"/>
                <w:b/>
              </w:rPr>
              <w:t xml:space="preserve"> — First-year corrective-maintenance and backlog budget </w:t>
            </w:r>
            <w:r>
              <w:rPr>
                <w:rFonts w:ascii="Arial" w:hAnsi="Arial"/>
                <w:b/>
                <w:i/>
              </w:rPr>
              <w:t>(owner: Pricing lead with Michael Travis; needed by 2026-09-22)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Propose it, separate from the $2M M&amp;R fund, with monthly itemized reconciliation, unused funds returned, and the C-070 pre-approval rule honoured. Three trip reports independently judge the fund likely to be exceeded early; the offer converts a commercial risk into the transparency theme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D-19</w:t>
            </w:r>
            <w:r>
              <w:rPr>
                <w:rFonts w:ascii="Arial" w:hAnsi="Arial"/>
                <w:b/>
              </w:rPr>
              <w:t xml:space="preserve"> — Key-personnel retention offers </w:t>
            </w:r>
            <w:r>
              <w:rPr>
                <w:rFonts w:ascii="Arial" w:hAnsi="Arial"/>
                <w:b/>
                <w:i/>
              </w:rPr>
              <w:t>(owner: Roy Aristizabal with the pricing lead;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Include them: relocation, stay-pay and licensing incentives, key-personnel liquidated damages, and an in-house point-repair crew. A forward commitment beats a transition anecdote in the heaviest section on the scorecard, and the City's stated anxiety is the Collection System Manager</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D-20</w:t>
            </w:r>
            <w:r>
              <w:rPr>
                <w:rFonts w:ascii="Arial" w:hAnsi="Arial"/>
                <w:b/>
              </w:rPr>
              <w:t xml:space="preserve"> — Whether to print any pull quote at all </w:t>
            </w:r>
            <w:r>
              <w:rPr>
                <w:rFonts w:ascii="Arial" w:hAnsi="Arial"/>
                <w:b/>
                <w:i/>
              </w:rPr>
              <w:t>(owner: Roy Aristizabal; needed by 2026-09-22)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Print none unless written permission returns by 2026-09-22. All 46 inventory entries are permission-unknown today. Both closers have named non-quote fallbacks</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D-21</w:t>
            </w:r>
            <w:r>
              <w:rPr>
                <w:rFonts w:ascii="Arial" w:hAnsi="Arial"/>
                <w:b/>
              </w:rPr>
              <w:t xml:space="preserve"> — Recompute every tenure and duration to 2026-09-29 </w:t>
            </w:r>
            <w:r>
              <w:rPr>
                <w:rFonts w:ascii="Arial" w:hAnsi="Arial"/>
                <w:b/>
                <w:i/>
              </w:rPr>
              <w:t>(owner: Account teams with Howard Brewen; needed by 2026-09-18)</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Yes. The California footprint tenures, Auburn, Clovis, Soquel, Key West, Vancouver, Waterbury and Traverse City durations are all frozen at earlier cycles. Note that OMI's 45 years rolls to 46 on 2026-10-25, three days before the interview</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D-22</w:t>
            </w:r>
            <w:r>
              <w:rPr>
                <w:rFonts w:ascii="Arial" w:hAnsi="Arial"/>
                <w:b/>
              </w:rPr>
              <w:t xml:space="preserve"> — Named subcontractors (C-064) </w:t>
            </w:r>
            <w:r>
              <w:rPr>
                <w:rFonts w:ascii="Arial" w:hAnsi="Arial"/>
                <w:b/>
                <w:i/>
              </w:rPr>
              <w:t>(owner: Roy Aristizabal;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Decide the list now: CCTV of pipes above 20 inches, traffic control, hazardous waste, specialty electrical and OT, and any force-main or cathodic-protection specialist. C-064 makes an unnamed subcontractor a compliance failure inside the 30% section</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D-23</w:t>
            </w:r>
            <w:r>
              <w:rPr>
                <w:rFonts w:ascii="Arial" w:hAnsi="Arial"/>
                <w:b/>
              </w:rPr>
              <w:t xml:space="preserve"> — Whether to build a cybersecurity plan section and a 5-year CIP section at all </w:t>
            </w:r>
            <w:r>
              <w:rPr>
                <w:rFonts w:ascii="Arial" w:hAnsi="Arial"/>
                <w:b/>
                <w:i/>
              </w:rPr>
              <w:t>(owner: Roy Aristizabal with the OT and asset-management leads; needed by 2026-09-15)</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Yes to both. C-118 with ten sub-rows and C-004.5 with C-007, C-101 and C-113 are mandated, both are named client hot buttons, and the bank holds the material. They were absent from all three source drafts</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D-24</w:t>
            </w:r>
            <w:r>
              <w:rPr>
                <w:rFonts w:ascii="Arial" w:hAnsi="Arial"/>
                <w:b/>
              </w:rPr>
              <w:t xml:space="preserve"> — Register the 22 PPN- proof points, catalogue STN-01 and STN-02, and register the three qualitative proofs (PX-10, PX-41, PX-06) </w:t>
            </w:r>
            <w:r>
              <w:rPr>
                <w:rFonts w:ascii="Arial" w:hAnsi="Arial"/>
                <w:b/>
                <w:i/>
              </w:rPr>
              <w:t>(owner: Content-bank owner with Roy Aristizabal; needed by 2026-09-12)</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Yes, before any writer opens a section. Twenty-two facts and two stories are currently traceable only to this sheet and to a verbatim page</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b/>
              </w:rPr>
              <w:t>D-25</w:t>
            </w:r>
            <w:r>
              <w:rPr>
                <w:rFonts w:ascii="Arial" w:hAnsi="Arial"/>
                <w:b/>
              </w:rPr>
              <w:t xml:space="preserve"> — Interview plan for 2026-10-28 (C-018) </w:t>
            </w:r>
            <w:r>
              <w:rPr>
                <w:rFonts w:ascii="Arial" w:hAnsi="Arial"/>
                <w:b/>
                <w:i/>
              </w:rPr>
              <w:t>(owner: Roy Aristizabal with Michael Travis; needed by 2026-09-15, rehearsal by 2026-10-20)</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Attendees: both named key personnel, Mack Mckenzie, Howard Brewen and Roy Aristizabal. And reserve material for the room: the incumbent-naming question (D-12), Q-14 if cleared, the Mckenzie reveal if D-01 lands on option A, and prepared answers on housekeeping, SSO responsibility and the M&amp;R fund. Rehearse before Red team, not after</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keepNext/>
              <w:jc w:val="left"/>
            </w:pPr>
            <w:r>
              <w:rPr>
                <w:rFonts w:ascii="Arial" w:hAnsi="Arial"/>
              </w:rPr>
              <w:t>☐</w:t>
            </w:r>
          </w:p>
        </w:tc>
      </w:tr>
      <w:tr>
        <w:trPr>
          <w:cantSplit/>
        </w:trPr>
        <w:tc>
          <w:tcPr>
            <w:tcW w:type="dxa" w:w="2736"/>
            <w:vAlign w:val="top"/>
            <w:tcMar>
              <w:top w:w="40" w:type="dxa"/>
              <w:start w:w="80" w:type="dxa"/>
              <w:bottom w:w="40" w:type="dxa"/>
              <w:end w:w="80" w:type="dxa"/>
            </w:tcMar>
            <w:tcBorders>
              <w:bottom w:val="single" w:sz="4" w:space="0" w:color="E6E6E6"/>
            </w:tcBorders>
          </w:tcPr>
          <w:p>
            <w:pPr>
              <w:pStyle w:val="TableBody"/>
              <w:jc w:val="left"/>
            </w:pPr>
            <w:r>
              <w:rPr>
                <w:rFonts w:ascii="Arial" w:hAnsi="Arial"/>
                <w:b/>
              </w:rPr>
              <w:t>D-26</w:t>
            </w:r>
            <w:r>
              <w:rPr>
                <w:rFonts w:ascii="Arial" w:hAnsi="Arial"/>
                <w:b/>
              </w:rPr>
              <w:t xml:space="preserve"> — Local hiring and ordinance posture (C-025, C-029) </w:t>
            </w:r>
            <w:r>
              <w:rPr>
                <w:rFonts w:ascii="Arial" w:hAnsi="Arial"/>
                <w:b/>
                <w:i/>
              </w:rPr>
              <w:t>(owner: HR and Legal with the pricing lead; needed by 2026-09-15)</w:t>
            </w:r>
          </w:p>
        </w:tc>
        <w:tc>
          <w:tcPr>
            <w:tcW w:type="dxa" w:w="235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Make it a commitment, not a compliance line. Offer employment to qualified incumbent staff, state Local Employment Program and Living Wage compliance in 8.4.4, and make sure the prevailing-wage split (about 30% of operations and 90% of maintenance labour) matches the fee build</w:t>
            </w:r>
          </w:p>
        </w:tc>
        <w:tc>
          <w:tcPr>
            <w:tcW w:type="dxa" w:w="235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t>
            </w:r>
          </w:p>
        </w:tc>
        <w:tc>
          <w:tcPr>
            <w:tcW w:type="dxa" w:w="2352"/>
            <w:vAlign w:val="top"/>
            <w:tcMar>
              <w:top w:w="40" w:type="dxa"/>
              <w:start w:w="80" w:type="dxa"/>
              <w:bottom w:w="40" w:type="dxa"/>
              <w:end w:w="80" w:type="dxa"/>
            </w:tcMar>
            <w:tcBorders>
              <w:bottom w:val="single" w:sz="4" w:space="0" w:color="E6E6E6"/>
            </w:tcBorders>
          </w:tcPr>
          <w:p>
            <w:pPr>
              <w:pStyle w:val="TableBody"/>
              <w:jc w:val="left"/>
            </w:pPr>
            <w:r>
              <w:rPr>
                <w:rFonts w:ascii="Arial" w:hAnsi="Arial"/>
              </w:rPr>
              <w:t>☐</w:t>
            </w:r>
          </w:p>
        </w:tc>
      </w:tr>
    </w:tbl>
    <w:p>
      <w:pPr>
        <w:spacing w:after="80"/>
      </w:pPr>
    </w:p>
    <w:p>
      <w:pPr/>
      <w:r>
        <w:rPr>
          <w:rFonts w:ascii="Arial" w:hAnsi="Arial"/>
          <w:b/>
        </w:rPr>
        <w:t>Four rows carry a date before Pink team and block other work if they slip: D-13 and D-14 (page rulings, 2026-09-08), D-03 (contracting entity, 2026-09-11), and D-01, D-04, D-07, D-10, D-12 and D-24 (2026-09-12).</w:t>
      </w:r>
      <w:r>
        <w:rPr>
          <w:rFonts w:ascii="Arial" w:hAnsi="Arial"/>
        </w:rPr>
        <w:t xml:space="preserve"> G-04, the notarized surety statement, is not a decision — it is a responsiveness gate with no write-around, and it needs a named person today.</w:t>
      </w:r>
    </w:p>
    <w:sectPr w:rsidR="00FC693F" w:rsidRPr="0006063C" w:rsidSect="00034616">
      <w:headerReference w:type="default" r:id="rId9"/>
      <w:footerReference w:type="default" r:id="rId10"/>
      <w:pgSz w:w="12240" w:h="15840"/>
      <w:pgMar w:top="1224" w:right="1224" w:bottom="1224"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312"/>
      <w:gridCol w:w="3168"/>
      <w:gridCol w:w="3312"/>
    </w:tblGrid>
    <w:tr>
      <w:tc>
        <w:tcPr>
          <w:tcW w:type="dxa" w:w="3312"/>
          <w:tcMar>
            <w:top w:w="40" w:type="dxa"/>
            <w:start w:w="0" w:type="dxa"/>
            <w:bottom w:w="0" w:type="dxa"/>
            <w:end w:w="0" w:type="dxa"/>
          </w:tcMar>
        </w:tcPr>
        <w:p>
          <w:pPr>
            <w:jc w:val="left"/>
          </w:pPr>
          <w:r>
            <w:rPr>
              <w:rFonts w:ascii="Arial" w:hAnsi="Arial"/>
              <w:color w:val="A5A5A5"/>
              <w:sz w:val="18"/>
            </w:rPr>
            <w:t>Pursuit spec sheet v1</w:t>
          </w:r>
        </w:p>
      </w:tc>
      <w:tc>
        <w:tcPr>
          <w:tcW w:type="dxa" w:w="3168"/>
          <w:tcMar>
            <w:top w:w="40" w:type="dxa"/>
            <w:start w:w="0" w:type="dxa"/>
            <w:bottom w:w="0" w:type="dxa"/>
            <w:end w:w="0" w:type="dxa"/>
          </w:tcMar>
        </w:tcPr>
        <w:p>
          <w:pPr>
            <w:jc w:val="center"/>
          </w:pPr>
          <w:r>
            <w:rPr>
              <w:rFonts w:ascii="Arial" w:hAnsi="Arial"/>
              <w:color w:val="A5A5A5"/>
              <w:sz w:val="18"/>
            </w:rPr>
            <w:t xml:space="preserve">Page </w:t>
          </w:r>
          <w:r>
            <w:fldChar w:fldCharType="begin"/>
            <w:instrText xml:space="preserve">PAGE</w:instrText>
            <w:fldChar w:fldCharType="separate"/>
            <w:t>1</w:t>
            <w:fldChar w:fldCharType="end"/>
          </w:r>
          <w:r>
            <w:rPr>
              <w:rFonts w:ascii="Arial" w:hAnsi="Arial"/>
              <w:color w:val="A5A5A5"/>
              <w:sz w:val="18"/>
            </w:rPr>
          </w:r>
        </w:p>
      </w:tc>
      <w:tc>
        <w:tcPr>
          <w:tcW w:type="dxa" w:w="3312"/>
          <w:tcMar>
            <w:top w:w="40" w:type="dxa"/>
            <w:start w:w="0" w:type="dxa"/>
            <w:bottom w:w="0" w:type="dxa"/>
            <w:end w:w="0" w:type="dxa"/>
          </w:tcMar>
        </w:tcPr>
        <w:p>
          <w:pPr>
            <w:jc w:val="right"/>
          </w:pPr>
          <w:r>
            <w:rPr>
              <w:rFonts w:ascii="Arial" w:hAnsi="Arial"/>
              <w:color w:val="A5A5A5"/>
              <w:sz w:val="18"/>
            </w:rPr>
            <w:t>© Jacobs 2026 — Confidential — DRAFT</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60"/>
      <w:gridCol w:w="7632"/>
    </w:tblGrid>
    <w:tr>
      <w:tc>
        <w:tcPr>
          <w:tcW w:type="dxa" w:w="2160"/>
          <w:tcMar>
            <w:top w:w="0" w:type="dxa"/>
            <w:start w:w="0" w:type="dxa"/>
            <w:bottom w:w="40" w:type="dxa"/>
            <w:end w:w="0" w:type="dxa"/>
          </w:tcMar>
          <w:tcBorders>
            <w:bottom w:val="single" w:sz="4" w:space="0" w:color="C8C8C8"/>
          </w:tcBorders>
        </w:tcPr>
        <w:p>
          <w:pPr>
            <w:jc w:val="left"/>
          </w:pPr>
          <w:r>
            <w:rPr>
              <w:rFonts w:ascii="Arial" w:hAnsi="Arial"/>
              <w:b/>
              <w:color w:val="000000"/>
              <w:sz w:val="18"/>
            </w:rPr>
            <w:t>Jacobs</w:t>
          </w:r>
        </w:p>
      </w:tc>
      <w:tc>
        <w:tcPr>
          <w:tcW w:type="dxa" w:w="7632"/>
          <w:tcMar>
            <w:top w:w="0" w:type="dxa"/>
            <w:start w:w="0" w:type="dxa"/>
            <w:bottom w:w="40" w:type="dxa"/>
            <w:end w:w="0" w:type="dxa"/>
          </w:tcMar>
          <w:tcBorders>
            <w:bottom w:val="single" w:sz="4" w:space="0" w:color="C8C8C8"/>
          </w:tcBorders>
        </w:tcPr>
        <w:p>
          <w:pPr>
            <w:jc w:val="right"/>
          </w:pPr>
          <w:r>
            <w:rPr>
              <w:rFonts w:ascii="Arial" w:hAnsi="Arial"/>
              <w:color w:val="333333"/>
              <w:sz w:val="18"/>
            </w:rPr>
            <w:t>City of Richmond — WPCP, Collection and Stormwater O&amp;M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Wingdings" w:hAnsi="Wingdings"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Wingdings" w:hAnsi="Wingdings"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Wingdings" w:hAnsi="Wingdings"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231EDC"/>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color w:val="333333"/>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color w:val="333333"/>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80"/>
    </w:pPr>
    <w:rPr>
      <w:rFonts w:ascii="Arial" w:hAnsi="Arial"/>
      <w:b w:val="0"/>
      <w:bCs/>
      <w:color w:val="A5A5A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ingHead">
    <w:name w:val="Standing Head"/>
    <w:pPr>
      <w:spacing w:after="80" w:line="240" w:lineRule="auto"/>
    </w:pPr>
    <w:rPr>
      <w:rFonts w:ascii="Arial" w:hAnsi="Arial"/>
      <w:b/>
      <w:color w:val="231EDC"/>
      <w:sz w:val="20"/>
    </w:rPr>
  </w:style>
  <w:style w:type="paragraph" w:customStyle="1" w:styleId="SectionTitle">
    <w:name w:val="Section Title"/>
    <w:pPr>
      <w:spacing w:after="80" w:line="252" w:lineRule="auto"/>
    </w:pPr>
    <w:rPr>
      <w:rFonts w:ascii="Arial" w:hAnsi="Arial"/>
      <w:b/>
      <w:color w:val="000000"/>
      <w:sz w:val="48"/>
    </w:rPr>
  </w:style>
  <w:style w:type="paragraph" w:customStyle="1" w:styleId="DeckLine">
    <w:name w:val="Deck Line"/>
    <w:pPr>
      <w:spacing w:after="80" w:line="264" w:lineRule="auto"/>
    </w:pPr>
    <w:rPr>
      <w:rFonts w:ascii="Arial" w:hAnsi="Arial"/>
      <w:b w:val="0"/>
      <w:color w:val="333333"/>
      <w:sz w:val="26"/>
    </w:rPr>
  </w:style>
  <w:style w:type="paragraph" w:customStyle="1" w:styleId="CalloutLabel">
    <w:name w:val="Callout Label"/>
    <w:pPr>
      <w:spacing w:after="80" w:line="240" w:lineRule="auto"/>
    </w:pPr>
    <w:rPr>
      <w:rFonts w:ascii="Arial" w:hAnsi="Arial"/>
      <w:b/>
      <w:color w:val="231EDC"/>
      <w:sz w:val="20"/>
    </w:rPr>
  </w:style>
  <w:style w:type="paragraph" w:customStyle="1" w:styleId="CalloutText">
    <w:name w:val="Callout Text"/>
    <w:pPr>
      <w:spacing w:after="80" w:line="276" w:lineRule="auto"/>
    </w:pPr>
    <w:rPr>
      <w:rFonts w:ascii="Arial" w:hAnsi="Arial"/>
      <w:b w:val="0"/>
      <w:color w:val="333333"/>
      <w:sz w:val="21"/>
    </w:rPr>
  </w:style>
  <w:style w:type="paragraph" w:customStyle="1" w:styleId="FigurePlaceholder">
    <w:name w:val="Figure Placeholder"/>
    <w:pPr>
      <w:spacing w:after="80" w:line="240" w:lineRule="auto"/>
    </w:pPr>
    <w:rPr>
      <w:rFonts w:ascii="Arial" w:hAnsi="Arial"/>
      <w:b w:val="0"/>
      <w:color w:val="A5A5A5"/>
      <w:sz w:val="22"/>
    </w:rPr>
  </w:style>
  <w:style w:type="paragraph" w:customStyle="1" w:styleId="DraftBanner">
    <w:name w:val="Draft Banner"/>
    <w:pPr>
      <w:spacing w:after="80" w:line="240" w:lineRule="auto"/>
    </w:pPr>
    <w:rPr>
      <w:rFonts w:ascii="Arial" w:hAnsi="Arial"/>
      <w:b/>
      <w:color w:val="333333"/>
      <w:sz w:val="24"/>
    </w:rPr>
  </w:style>
  <w:style w:type="paragraph" w:customStyle="1" w:styleId="TableBody">
    <w:name w:val="Table Body"/>
    <w:pPr>
      <w:spacing w:after="80" w:line="252" w:lineRule="auto"/>
    </w:pPr>
    <w:rPr>
      <w:rFonts w:ascii="Arial" w:hAnsi="Arial"/>
      <w:b w:val="0"/>
      <w:color w:val="333333"/>
      <w:sz w:val="20"/>
    </w:rPr>
  </w:style>
  <w:style w:type="paragraph" w:customStyle="1" w:styleId="TableHeader">
    <w:name w:val="Table Header"/>
    <w:pPr>
      <w:spacing w:after="80" w:line="252" w:lineRule="auto"/>
    </w:pPr>
    <w:rPr>
      <w:rFonts w:ascii="Arial" w:hAnsi="Arial"/>
      <w:b/>
      <w:color w:val="000000"/>
      <w:sz w:val="20"/>
    </w:rPr>
  </w:style>
  <w:style w:type="paragraph" w:customStyle="1" w:styleId="DraftBody">
    <w:name w:val="Draft Body"/>
    <w:pPr>
      <w:spacing w:after="80" w:line="264" w:lineRule="auto"/>
    </w:pPr>
    <w:rPr>
      <w:rFonts w:ascii="Arial" w:hAnsi="Arial"/>
      <w:b w:val="0"/>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