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jc w:val="center"/>
      </w:pPr>
      <w:r>
        <w:rPr>
          <w:rFonts w:ascii="Times New Roman" w:cs="Times New Roman" w:eastAsia="Times New Roman" w:hAnsi="Times New Roman"/>
          <w:b/>
          <w:bCs/>
          <w:sz w:val="32"/>
          <w:szCs w:val="32"/>
        </w:rPr>
        <w:t xml:space="preserve">The Consistency Crisis in AI Shopping Recommendations:</w:t>
      </w:r>
    </w:p>
    <w:p>
      <w:pPr>
        <w:spacing w:after="200"/>
        <w:jc w:val="center"/>
      </w:pPr>
      <w:r>
        <w:rPr>
          <w:rFonts w:ascii="Times New Roman" w:cs="Times New Roman" w:eastAsia="Times New Roman" w:hAnsi="Times New Roman"/>
          <w:b/>
          <w:bCs/>
          <w:sz w:val="32"/>
          <w:szCs w:val="32"/>
        </w:rPr>
        <w:t xml:space="preserve">Inconsistency, Invisibility, and the AgentShelf Score</w:t>
      </w:r>
    </w:p>
    <w:p>
      <w:pPr>
        <w:spacing w:after="80"/>
        <w:jc w:val="center"/>
      </w:pPr>
      <w:r>
        <w:rPr>
          <w:rFonts w:ascii="Times New Roman" w:cs="Times New Roman" w:eastAsia="Times New Roman" w:hAnsi="Times New Roman"/>
          <w:b/>
          <w:bCs/>
          <w:sz w:val="24"/>
          <w:szCs w:val="24"/>
        </w:rPr>
        <w:t xml:space="preserve">Zhiyi (Michael) Lyu</w:t>
      </w:r>
    </w:p>
    <w:p>
      <w:pPr>
        <w:spacing w:after="80"/>
        <w:jc w:val="center"/>
      </w:pPr>
      <w:r>
        <w:rPr>
          <w:rFonts w:ascii="Times New Roman" w:cs="Times New Roman" w:eastAsia="Times New Roman" w:hAnsi="Times New Roman"/>
          <w:i/>
          <w:iCs/>
          <w:sz w:val="24"/>
          <w:szCs w:val="24"/>
        </w:rPr>
        <w:t xml:space="preserve">AgentShelf Research</w:t>
      </w:r>
    </w:p>
    <w:p>
      <w:pPr>
        <w:spacing w:after="80"/>
        <w:jc w:val="center"/>
      </w:pPr>
      <w:r>
        <w:rPr>
          <w:rFonts w:ascii="Times New Roman" w:cs="Times New Roman" w:eastAsia="Times New Roman" w:hAnsi="Times New Roman"/>
          <w:i/>
          <w:iCs/>
          <w:sz w:val="24"/>
          <w:szCs w:val="24"/>
        </w:rPr>
        <w:t xml:space="preserve">Northeastern University</w:t>
      </w:r>
    </w:p>
    <w:p>
      <w:pPr>
        <w:spacing w:after="300"/>
        <w:jc w:val="center"/>
      </w:pPr>
      <w:r>
        <w:rPr>
          <w:rFonts w:ascii="Times New Roman" w:cs="Times New Roman" w:eastAsia="Times New Roman" w:hAnsi="Times New Roman"/>
          <w:sz w:val="24"/>
          <w:szCs w:val="24"/>
        </w:rPr>
        <w:t xml:space="preserve">May 2026</w:t>
      </w:r>
    </w:p>
    <w:p>
      <w:pPr>
        <w:pStyle w:val="Heading1"/>
        <w:spacing w:after="200" w:before="360"/>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2"/>
          <w:szCs w:val="22"/>
        </w:rPr>
        <w:t xml:space="preserve">AI-powered shopping assistants are rapidly becoming primary purchase advisors for hundreds of millions of consumers. Yet no systematic study has examined whether different AI engines give consistent recommendations for the same shopping query. We present the first large-scale cross-engine analysis of AI shopping recommendation consistency, querying five major AI engines (ChatGPT, Gemini, Perplexity, Claude, and DeepSeek) with 60 real-world shopping queries across four consumer product categories, each repeated three times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 900 responses, 3,120 product mentions). Our analysis reveals two independent and previously undifferentiated failure modes in AI shopping recommendations.</w:t>
      </w:r>
    </w:p>
    <w:p>
      <w:pPr>
        <w:spacing w:after="200" w:line="360"/>
        <w:jc w:val="both"/>
      </w:pPr>
      <w:r>
        <w:rPr>
          <w:rFonts w:ascii="Times New Roman" w:cs="Times New Roman" w:eastAsia="Times New Roman" w:hAnsi="Times New Roman"/>
          <w:b/>
          <w:bCs/>
          <w:sz w:val="22"/>
          <w:szCs w:val="22"/>
        </w:rPr>
        <w:t xml:space="preserve">First, </w:t>
      </w:r>
      <w:r>
        <w:rPr>
          <w:rFonts w:ascii="Times New Roman" w:cs="Times New Roman" w:eastAsia="Times New Roman" w:hAnsi="Times New Roman"/>
          <w:b/>
          <w:bCs/>
          <w:i/>
          <w:iCs/>
          <w:sz w:val="22"/>
          <w:szCs w:val="22"/>
        </w:rPr>
        <w:t xml:space="preserve">inconsistency</w:t>
      </w:r>
      <w:r>
        <w:rPr>
          <w:rFonts w:ascii="Times New Roman" w:cs="Times New Roman" w:eastAsia="Times New Roman" w:hAnsi="Times New Roman"/>
          <w:sz w:val="22"/>
          <w:szCs w:val="22"/>
        </w:rPr>
        <w:t xml:space="preserve">: the average pairwise Jaccard similarity between engine recommendations is only 0.448. Even the most self-consistent engine (Claude, 0.679) changes its recommendations approximately one-third of the time on repeated identical queries. </w:t>
      </w:r>
      <w:r>
        <w:rPr>
          <w:rFonts w:ascii="Times New Roman" w:cs="Times New Roman" w:eastAsia="Times New Roman" w:hAnsi="Times New Roman"/>
          <w:b/>
          <w:bCs/>
          <w:sz w:val="22"/>
          <w:szCs w:val="22"/>
        </w:rPr>
        <w:t xml:space="preserve">Second, </w:t>
      </w:r>
      <w:r>
        <w:rPr>
          <w:rFonts w:ascii="Times New Roman" w:cs="Times New Roman" w:eastAsia="Times New Roman" w:hAnsi="Times New Roman"/>
          <w:b/>
          <w:bCs/>
          <w:i/>
          <w:iCs/>
          <w:sz w:val="22"/>
          <w:szCs w:val="22"/>
        </w:rPr>
        <w:t xml:space="preserve">invisibility</w:t>
      </w:r>
      <w:r>
        <w:rPr>
          <w:rFonts w:ascii="Times New Roman" w:cs="Times New Roman" w:eastAsia="Times New Roman" w:hAnsi="Times New Roman"/>
          <w:sz w:val="22"/>
          <w:szCs w:val="22"/>
        </w:rPr>
        <w:t xml:space="preserve">: products rated best-in-category by expert review sites are entirely absent from all five AI engines—notably The Outset, designated best moisturizer for normal skin by Wirecutter, which received zero mentions across all 900 responses.</w:t>
      </w:r>
    </w:p>
    <w:p>
      <w:pPr>
        <w:spacing w:after="200" w:line="360"/>
        <w:jc w:val="both"/>
      </w:pPr>
      <w:r>
        <w:rPr>
          <w:rFonts w:ascii="Times New Roman" w:cs="Times New Roman" w:eastAsia="Times New Roman" w:hAnsi="Times New Roman"/>
          <w:sz w:val="22"/>
          <w:szCs w:val="22"/>
        </w:rPr>
        <w:t xml:space="preserve">We propose the AgentShelf Score, a cross-engine consensus metric combining inter-engine agreement (w₁ = 0.5), intra-engine consistency (w₂ = 0.3), and source citation rate (w₃ = 0.2). Validation against expert recommendations shows 60% overlap at the highest score tier. A logistic regression decomposition of recommendation probability into latent brand AI visibility (α), engine tendency (β), and query specificity (γ) parameters confirms that brand effects dominate recommendation behavior, with model-derived visibility exhibiting strong correlation with AgentShelf Score (Spearman ρ = 0.791,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0.0001). We argue that inconsistency and invisibility are orthogonal failure modes requiring fundamentally different interventions: consensus-based filtering can mitigate inconsistency, but cannot surface products absent from all engines' training data and retrieval indices. All data, code, and analysis are publicly available.</w:t>
      </w:r>
    </w:p>
    <w:p>
      <w:pPr>
        <w:spacing w:after="200" w:line="36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AI shopping recommendations, cross-engine consistency, brand visibility, recommendation reliability, consumer AI, AgentShelf Score</w:t>
      </w:r>
    </w:p>
    <w:p>
      <w:r>
        <w:br w:type="page"/>
      </w:r>
    </w:p>
    <w:p>
      <w:pPr>
        <w:pStyle w:val="Heading1"/>
        <w:spacing w:after="200" w:before="36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Consider a consumer who asks an AI assistant: </w:t>
      </w:r>
      <w:r>
        <w:rPr>
          <w:rFonts w:ascii="Times New Roman" w:cs="Times New Roman" w:eastAsia="Times New Roman" w:hAnsi="Times New Roman"/>
          <w:i/>
          <w:iCs/>
          <w:sz w:val="24"/>
          <w:szCs w:val="24"/>
        </w:rPr>
        <w:t xml:space="preserve">"What are the best wireless earbuds under $50?"</w:t>
      </w:r>
      <w:r>
        <w:rPr>
          <w:rFonts w:ascii="Times New Roman" w:cs="Times New Roman" w:eastAsia="Times New Roman" w:hAnsi="Times New Roman"/>
          <w:sz w:val="24"/>
          <w:szCs w:val="24"/>
        </w:rPr>
        <w:t xml:space="preserve"> ChatGPT recommends the Anker Soundcore Space A40 at $48. DeepSeek recommends the Soundcore P20i at $25. Perplexity recommends the Sony WF-C510 at $40. Claude recommends the EarFun Air 2 at approximately $50. Gemini provides a different top recommendation each of the three times it is asked. Same question, same budget constraint, five fundamentally different answers spanning a 2× price range.</w:t>
      </w:r>
    </w:p>
    <w:p>
      <w:pPr>
        <w:spacing w:after="200" w:line="360"/>
        <w:jc w:val="both"/>
      </w:pPr>
      <w:r>
        <w:rPr>
          <w:rFonts w:ascii="Times New Roman" w:cs="Times New Roman" w:eastAsia="Times New Roman" w:hAnsi="Times New Roman"/>
          <w:sz w:val="24"/>
          <w:szCs w:val="24"/>
        </w:rPr>
        <w:t xml:space="preserve">This scenario is not hypothetical. It is a direct observation from the present study. As AI shopping assistants become primary purchase advisors—with ChatGPT alone processing over 2.5 billion daily messages as of mid-2025—a fundamental question about their reliability remains unexamined: when different AI engines are presented with the same consumer shopping query, do they converge on the same product recommendations?</w:t>
      </w:r>
    </w:p>
    <w:p>
      <w:pPr>
        <w:spacing w:after="200" w:line="360"/>
        <w:jc w:val="both"/>
      </w:pPr>
      <w:r>
        <w:rPr>
          <w:rFonts w:ascii="Times New Roman" w:cs="Times New Roman" w:eastAsia="Times New Roman" w:hAnsi="Times New Roman"/>
          <w:sz w:val="24"/>
          <w:szCs w:val="24"/>
        </w:rPr>
        <w:t xml:space="preserve">The answer, as we demonstrate empirically, is: largely not. Across 60 real-world shopping queries sent to five major AI engines, the average pairwise recommendation overlap is only 44.8% (Jaccard similarity). No engine achieves even 70% self-consistency when the same query is repeated three times. And critically, products that independent expert reviewers designate as best-in-category are in several cases entirely absent from all five engines' recommendations.</w:t>
      </w:r>
    </w:p>
    <w:p>
      <w:pPr>
        <w:spacing w:after="200" w:line="360"/>
        <w:jc w:val="both"/>
      </w:pPr>
      <w:r>
        <w:rPr>
          <w:rFonts w:ascii="Times New Roman" w:cs="Times New Roman" w:eastAsia="Times New Roman" w:hAnsi="Times New Roman"/>
          <w:sz w:val="24"/>
          <w:szCs w:val="24"/>
        </w:rPr>
        <w:t xml:space="preserve">Prior work has identified related but distinct concerns. Sharma (2026) documented a </w:t>
      </w:r>
      <w:r>
        <w:rPr>
          <w:rFonts w:ascii="Times New Roman" w:cs="Times New Roman" w:eastAsia="Times New Roman" w:hAnsi="Times New Roman"/>
          <w:i/>
          <w:iCs/>
          <w:sz w:val="24"/>
          <w:szCs w:val="24"/>
        </w:rPr>
        <w:t xml:space="preserve">discovery gap</w:t>
      </w:r>
      <w:r>
        <w:rPr>
          <w:rFonts w:ascii="Times New Roman" w:cs="Times New Roman" w:eastAsia="Times New Roman" w:hAnsi="Times New Roman"/>
          <w:sz w:val="24"/>
          <w:szCs w:val="24"/>
        </w:rPr>
        <w:t xml:space="preserve"> in which ChatGPT recognizes 99.4% of Product Hunt startups by name but recommends only 3.32% in organic discovery queries, using two engines and 112 products in the technology startup domain. Tou et al. (2025) introduced ShoppingComp, a benchmark demonstrating that even GPT-5 achieves only 17.76% F1 on complex shopping tasks involving multi-constraint retrieval, report generation, and safety assessment. Research on LLM brand preferences has documented systematic biases favoring American and global brands over local alternatives across geographic and cultural dimensions (Kamruzzaman et al., 2024; Rienecker et al., 2026).</w:t>
      </w:r>
    </w:p>
    <w:p>
      <w:pPr>
        <w:spacing w:after="200" w:line="360"/>
        <w:jc w:val="both"/>
      </w:pPr>
      <w:r>
        <w:rPr>
          <w:rFonts w:ascii="Times New Roman" w:cs="Times New Roman" w:eastAsia="Times New Roman" w:hAnsi="Times New Roman"/>
          <w:sz w:val="24"/>
          <w:szCs w:val="24"/>
        </w:rPr>
        <w:t xml:space="preserve">However, no prior study has simultaneously examined (a) cross-engine recommendation consistency for identical consumer shopping queries across multiple AI platforms, (b) intra-engine stability of recommendations across repeated trials, (c) the relationship between AI recommendations and independent expert evaluations, and (d) a quantitative decomposition of recommendation variance into product, engine, and query components. This paper addresses all four dimensions.</w:t>
      </w:r>
    </w:p>
    <w:p>
      <w:pPr>
        <w:spacing w:after="200" w:line="360"/>
        <w:jc w:val="both"/>
      </w:pPr>
      <w:r>
        <w:rPr>
          <w:rFonts w:ascii="Times New Roman" w:cs="Times New Roman" w:eastAsia="Times New Roman" w:hAnsi="Times New Roman"/>
          <w:sz w:val="24"/>
          <w:szCs w:val="24"/>
        </w:rPr>
        <w:t xml:space="preserve">We make three contributions:</w:t>
      </w:r>
    </w:p>
    <w:p>
      <w:pPr>
        <w:spacing w:after="200" w:line="360"/>
        <w:jc w:val="both"/>
      </w:pPr>
      <w:r>
        <w:rPr>
          <w:rFonts w:ascii="Times New Roman" w:cs="Times New Roman" w:eastAsia="Times New Roman" w:hAnsi="Times New Roman"/>
          <w:b/>
          <w:bCs/>
          <w:sz w:val="24"/>
          <w:szCs w:val="24"/>
        </w:rPr>
        <w:t xml:space="preserve">First</w:t>
      </w:r>
      <w:r>
        <w:rPr>
          <w:rFonts w:ascii="Times New Roman" w:cs="Times New Roman" w:eastAsia="Times New Roman" w:hAnsi="Times New Roman"/>
          <w:sz w:val="24"/>
          <w:szCs w:val="24"/>
        </w:rPr>
        <w:t xml:space="preserve">, we present the first cross-engine shopping recommendation consistency analysis encompassing five major AI platforms, 60 queries across four consumer product categories, and repeated measurements. Our results quantify both inter-engine disagreement and intra-engine instability.</w:t>
      </w:r>
    </w:p>
    <w:p>
      <w:pPr>
        <w:spacing w:after="200" w:line="360"/>
        <w:jc w:val="both"/>
      </w:pPr>
      <w:r>
        <w:rPr>
          <w:rFonts w:ascii="Times New Roman" w:cs="Times New Roman" w:eastAsia="Times New Roman" w:hAnsi="Times New Roman"/>
          <w:b/>
          <w:bCs/>
          <w:sz w:val="24"/>
          <w:szCs w:val="24"/>
        </w:rPr>
        <w:t xml:space="preserve">Second</w:t>
      </w:r>
      <w:r>
        <w:rPr>
          <w:rFonts w:ascii="Times New Roman" w:cs="Times New Roman" w:eastAsia="Times New Roman" w:hAnsi="Times New Roman"/>
          <w:sz w:val="24"/>
          <w:szCs w:val="24"/>
        </w:rPr>
        <w:t xml:space="preserve">, we identify and formally distinguish two independent failure modes—</w:t>
      </w:r>
      <w:r>
        <w:rPr>
          <w:rFonts w:ascii="Times New Roman" w:cs="Times New Roman" w:eastAsia="Times New Roman" w:hAnsi="Times New Roman"/>
          <w:i/>
          <w:iCs/>
          <w:sz w:val="24"/>
          <w:szCs w:val="24"/>
        </w:rPr>
        <w:t xml:space="preserve">inconsistency</w:t>
      </w:r>
      <w:r>
        <w:rPr>
          <w:rFonts w:ascii="Times New Roman" w:cs="Times New Roman" w:eastAsia="Times New Roman" w:hAnsi="Times New Roman"/>
          <w:sz w:val="24"/>
          <w:szCs w:val="24"/>
        </w:rPr>
        <w:t xml:space="preserve"> (engines disagree) and </w:t>
      </w:r>
      <w:r>
        <w:rPr>
          <w:rFonts w:ascii="Times New Roman" w:cs="Times New Roman" w:eastAsia="Times New Roman" w:hAnsi="Times New Roman"/>
          <w:i/>
          <w:iCs/>
          <w:sz w:val="24"/>
          <w:szCs w:val="24"/>
        </w:rPr>
        <w:t xml:space="preserve">invisibility</w:t>
      </w:r>
      <w:r>
        <w:rPr>
          <w:rFonts w:ascii="Times New Roman" w:cs="Times New Roman" w:eastAsia="Times New Roman" w:hAnsi="Times New Roman"/>
          <w:sz w:val="24"/>
          <w:szCs w:val="24"/>
        </w:rPr>
        <w:t xml:space="preserve"> (expert-validated products are absent from all engines)—and demonstrate that these require fundamentally different interventions. We validate this distinction through cross-referencing with Wirecutter expert recommendations.</w:t>
      </w:r>
    </w:p>
    <w:p>
      <w:pPr>
        <w:spacing w:after="200" w:line="360"/>
        <w:jc w:val="both"/>
      </w:pPr>
      <w:r>
        <w:rPr>
          <w:rFonts w:ascii="Times New Roman" w:cs="Times New Roman" w:eastAsia="Times New Roman" w:hAnsi="Times New Roman"/>
          <w:b/>
          <w:bCs/>
          <w:sz w:val="24"/>
          <w:szCs w:val="24"/>
        </w:rPr>
        <w:t xml:space="preserve">Third</w:t>
      </w:r>
      <w:r>
        <w:rPr>
          <w:rFonts w:ascii="Times New Roman" w:cs="Times New Roman" w:eastAsia="Times New Roman" w:hAnsi="Times New Roman"/>
          <w:sz w:val="24"/>
          <w:szCs w:val="24"/>
        </w:rPr>
        <w:t xml:space="preserve">, we propose the AgentShelf Score, a simple cross-engine consensus metric, and validate it both against expert recommendations (60% overlap at the highest score tier) and against a logistic regression decomposition of recommendation probability (ρ = 0.791). This dual validation demonstrates that cross-engine consensus captures meaningful signal about product recommendation reliability.</w:t>
      </w:r>
    </w:p>
    <w:p>
      <w:r>
        <w:br w:type="page"/>
      </w:r>
    </w:p>
    <w:p>
      <w:pPr>
        <w:pStyle w:val="Heading1"/>
        <w:spacing w:after="200" w:before="360"/>
      </w:pPr>
      <w:r>
        <w:rPr>
          <w:rFonts w:ascii="Times New Roman" w:cs="Times New Roman" w:eastAsia="Times New Roman" w:hAnsi="Times New Roman"/>
          <w:b/>
          <w:bCs/>
          <w:sz w:val="28"/>
          <w:szCs w:val="28"/>
        </w:rPr>
        <w:t xml:space="preserve">2. Related Work</w:t>
      </w:r>
    </w:p>
    <w:p>
      <w:pPr>
        <w:pStyle w:val="Heading2"/>
        <w:spacing w:after="160" w:before="280"/>
      </w:pPr>
      <w:r>
        <w:rPr>
          <w:rFonts w:ascii="Times New Roman" w:cs="Times New Roman" w:eastAsia="Times New Roman" w:hAnsi="Times New Roman"/>
          <w:b/>
          <w:bCs/>
          <w:sz w:val="24"/>
          <w:szCs w:val="24"/>
        </w:rPr>
        <w:t xml:space="preserve">2.1 AI Product Discovery and the Discovery Gap</w:t>
      </w:r>
    </w:p>
    <w:p>
      <w:pPr>
        <w:spacing w:after="200" w:line="360"/>
        <w:jc w:val="both"/>
      </w:pPr>
      <w:r>
        <w:rPr>
          <w:rFonts w:ascii="Times New Roman" w:cs="Times New Roman" w:eastAsia="Times New Roman" w:hAnsi="Times New Roman"/>
          <w:sz w:val="24"/>
          <w:szCs w:val="24"/>
        </w:rPr>
        <w:t xml:space="preserve">Sharma (2026) provided the first systematic analysis of product discoverability in AI engines, testing 112 Product Hunt startups across 2,240 queries to ChatGPT and Perplexity. The study revealed a striking 30:1 gap between direct recognition (99.4%) and organic discovery (3.32%) in ChatGPT. Notably, Generative Engine Optimization (GEO) practices showed no correlation with discovery rates, while traditional SEO signals such as referring domains and Product Hunt ranking were predictive of Perplexity visibility. Our work extends this line of inquiry from technology startups to consumer retail products, expands from two to five engines, adds repeated measurements for stability analysis, and introduces a quantitative reliability score validated against expert recommendations.</w:t>
      </w:r>
    </w:p>
    <w:p>
      <w:pPr>
        <w:pStyle w:val="Heading2"/>
        <w:spacing w:after="160" w:before="280"/>
      </w:pPr>
      <w:r>
        <w:rPr>
          <w:rFonts w:ascii="Times New Roman" w:cs="Times New Roman" w:eastAsia="Times New Roman" w:hAnsi="Times New Roman"/>
          <w:b/>
          <w:bCs/>
          <w:sz w:val="24"/>
          <w:szCs w:val="24"/>
        </w:rPr>
        <w:t xml:space="preserve">2.2 Shopping Agent Benchmarks</w:t>
      </w:r>
    </w:p>
    <w:p>
      <w:pPr>
        <w:spacing w:after="200" w:line="360"/>
        <w:jc w:val="both"/>
      </w:pPr>
      <w:r>
        <w:rPr>
          <w:rFonts w:ascii="Times New Roman" w:cs="Times New Roman" w:eastAsia="Times New Roman" w:hAnsi="Times New Roman"/>
          <w:sz w:val="24"/>
          <w:szCs w:val="24"/>
        </w:rPr>
        <w:t xml:space="preserve">ShoppingComp (Tou et al., 2025) introduced a 145-instance benchmark evaluating LLM shopping agents on product retrieval, report generation, and safety-critical decision making, finding that even GPT-5 achieved only 17.76% F1. ShoppingBench (Wang et al., 2025) proposed a larger-scale benchmark with 3,310 instructions covering intent-grounded end-to-end shopping tasks, reporting absolute success rates below 50% for GPT-4.1. These benchmarks assess what AI shopping systems can and cannot do in controlled settings. Our study complements this by examining what AI shopping systems actually recommend in naturalistic consumer queries—and whether those recommendations are consistent across platforms.</w:t>
      </w:r>
    </w:p>
    <w:p>
      <w:pPr>
        <w:pStyle w:val="Heading2"/>
        <w:spacing w:after="160" w:before="280"/>
      </w:pPr>
      <w:r>
        <w:rPr>
          <w:rFonts w:ascii="Times New Roman" w:cs="Times New Roman" w:eastAsia="Times New Roman" w:hAnsi="Times New Roman"/>
          <w:b/>
          <w:bCs/>
          <w:sz w:val="24"/>
          <w:szCs w:val="24"/>
        </w:rPr>
        <w:t xml:space="preserve">2.3 LLM Brand Bias</w:t>
      </w:r>
    </w:p>
    <w:p>
      <w:pPr>
        <w:spacing w:after="200" w:line="360"/>
        <w:jc w:val="both"/>
      </w:pPr>
      <w:r>
        <w:rPr>
          <w:rFonts w:ascii="Times New Roman" w:cs="Times New Roman" w:eastAsia="Times New Roman" w:hAnsi="Times New Roman"/>
          <w:sz w:val="24"/>
          <w:szCs w:val="24"/>
        </w:rPr>
        <w:t xml:space="preserve">A growing body of work documents systematic brand preferences in LLM outputs. Kamruzzaman et al. (2024) demonstrated that GPT-4o and Llama-3 systematically favor global brands and products from high-income countries, with American and European brands receiving disproportionate recommendation frequency. Rienecker et al. (2026) audited brand and cultural preferences across GPT, Gemini, and DeepSeek, finding that U.S.-developed models favor American entities while DeepSeek shows more balanced but still detectable geographic preferences. Filandrianos et al. (2025) examined cognitive biases including social-proof and scarcity effects in LLM product recommendations. Research on gender and racial bias in LLM product recommendations has revealed additional demographic dimensions of recommendation asymmetry (Xu et al., 2026). Our work adds an empirical dimension to these findings by quantifying brand concentration in real shopping queries and decomposing it into latent product visibility, engine tendency, and query specificity components using a logistic regression framework.</w:t>
      </w:r>
    </w:p>
    <w:p>
      <w:pPr>
        <w:pStyle w:val="Heading2"/>
        <w:spacing w:after="160" w:before="280"/>
      </w:pPr>
      <w:r>
        <w:rPr>
          <w:rFonts w:ascii="Times New Roman" w:cs="Times New Roman" w:eastAsia="Times New Roman" w:hAnsi="Times New Roman"/>
          <w:b/>
          <w:bCs/>
          <w:sz w:val="24"/>
          <w:szCs w:val="24"/>
        </w:rPr>
        <w:t xml:space="preserve">2.4 LLM Non-Determinism</w:t>
      </w:r>
    </w:p>
    <w:p>
      <w:pPr>
        <w:spacing w:after="200" w:line="360"/>
        <w:jc w:val="both"/>
      </w:pPr>
      <w:r>
        <w:rPr>
          <w:rFonts w:ascii="Times New Roman" w:cs="Times New Roman" w:eastAsia="Times New Roman" w:hAnsi="Times New Roman"/>
          <w:sz w:val="24"/>
          <w:szCs w:val="24"/>
        </w:rPr>
        <w:t xml:space="preserve">Multiple studies have documented that LLM outputs are not deterministic even at temperature zero. A 2026 benchmark by QAnswer found reproducibility rates ranging from 0% (GPT-5 on long-form prompts) to 70% (Gemini 2.5 Flash). Profound's internal research reports that up to 90% of cited sources in AI recommendations change over time. Our repeated-measurement design provides the first systematic quantification of this non-determinism specifically in the shopping recommendation domain.</w:t>
      </w:r>
    </w:p>
    <w:p>
      <w:r>
        <w:br w:type="page"/>
      </w:r>
    </w:p>
    <w:p>
      <w:pPr>
        <w:pStyle w:val="Heading1"/>
        <w:spacing w:after="200" w:before="360"/>
      </w:pPr>
      <w:r>
        <w:rPr>
          <w:rFonts w:ascii="Times New Roman" w:cs="Times New Roman" w:eastAsia="Times New Roman" w:hAnsi="Times New Roman"/>
          <w:b/>
          <w:bCs/>
          <w:sz w:val="28"/>
          <w:szCs w:val="28"/>
        </w:rPr>
        <w:t xml:space="preserve">3. Methodology</w:t>
      </w:r>
    </w:p>
    <w:p>
      <w:pPr>
        <w:pStyle w:val="Heading2"/>
        <w:spacing w:after="160" w:before="280"/>
      </w:pPr>
      <w:r>
        <w:rPr>
          <w:rFonts w:ascii="Times New Roman" w:cs="Times New Roman" w:eastAsia="Times New Roman" w:hAnsi="Times New Roman"/>
          <w:b/>
          <w:bCs/>
          <w:sz w:val="24"/>
          <w:szCs w:val="24"/>
        </w:rPr>
        <w:t xml:space="preserve">3.1 Engine Selection</w:t>
      </w:r>
    </w:p>
    <w:p>
      <w:pPr>
        <w:spacing w:after="200" w:line="360"/>
        <w:jc w:val="both"/>
      </w:pPr>
      <w:r>
        <w:rPr>
          <w:rFonts w:ascii="Times New Roman" w:cs="Times New Roman" w:eastAsia="Times New Roman" w:hAnsi="Times New Roman"/>
          <w:sz w:val="24"/>
          <w:szCs w:val="24"/>
        </w:rPr>
        <w:t xml:space="preserve">We selected five AI engines representing the major platforms consumers use for shopping assistance: ChatGPT (OpenAI GPT-5.4-mini with web search), Gemini (Google Gemini 2.5 Flash with grounding), Perplexity (Sonar model with native web search), Claude (Anthropic Claude Haiku 4.5 with web search tool), and DeepSeek (DeepSeek Chat, without web search). All engines except DeepSeek had access to real-time web information. Engine selection was based on market share, geographic diversity (including a Chinese-developed engine in DeepSeek), and architectural variety (native search vs. tool-augmented search). The lowest-cost model tier was used for each engine to reflect the experience of a typical consumer using free or low-cost AI tools.</w:t>
      </w:r>
    </w:p>
    <w:p>
      <w:pPr>
        <w:pStyle w:val="Heading2"/>
        <w:spacing w:after="160" w:before="280"/>
      </w:pPr>
      <w:r>
        <w:rPr>
          <w:rFonts w:ascii="Times New Roman" w:cs="Times New Roman" w:eastAsia="Times New Roman" w:hAnsi="Times New Roman"/>
          <w:b/>
          <w:bCs/>
          <w:sz w:val="24"/>
          <w:szCs w:val="24"/>
        </w:rPr>
        <w:t xml:space="preserve">3.2 Query Design</w:t>
      </w:r>
    </w:p>
    <w:p>
      <w:pPr>
        <w:spacing w:after="200" w:line="360"/>
        <w:jc w:val="both"/>
      </w:pPr>
      <w:r>
        <w:rPr>
          <w:rFonts w:ascii="Times New Roman" w:cs="Times New Roman" w:eastAsia="Times New Roman" w:hAnsi="Times New Roman"/>
          <w:sz w:val="24"/>
          <w:szCs w:val="24"/>
        </w:rPr>
        <w:t xml:space="preserve">We designed 60 shopping queries across four consumer product categories: wireless earbuds (15 queries), mechanical keyboards (15), running shoes (15), and skincare/moisturizers (15). Categories were selected to span a range from highly objective and specification-driven (earbuds, keyboards) to highly subjective and opinion-driven (skincare), with running shoes as an intermediate case involving both measurable performance characteristics and subjective fit preferences.</w:t>
      </w:r>
    </w:p>
    <w:p>
      <w:pPr>
        <w:spacing w:after="200" w:line="360"/>
        <w:jc w:val="both"/>
      </w:pPr>
      <w:r>
        <w:rPr>
          <w:rFonts w:ascii="Times New Roman" w:cs="Times New Roman" w:eastAsia="Times New Roman" w:hAnsi="Times New Roman"/>
          <w:sz w:val="24"/>
          <w:szCs w:val="24"/>
        </w:rPr>
        <w:t xml:space="preserve">Each category's 15 queries were systematically varied along four dimensions: price range (budget, mid-range, premium), use case (commuting, gaming, workout, daily routine), user persona (student, professional, parent, beginner), and specificity level. Queries ranged from highly specific (e.g., "Best ANC earbuds under $80 for daily commuting") to deliberately vague (e.g., "What earbuds should I buy?"). This variation enables analysis of how query characteristics affect recommendation consistency.</w:t>
      </w:r>
    </w:p>
    <w:p>
      <w:pPr>
        <w:pStyle w:val="Heading2"/>
        <w:spacing w:after="160" w:before="280"/>
      </w:pPr>
      <w:r>
        <w:rPr>
          <w:rFonts w:ascii="Times New Roman" w:cs="Times New Roman" w:eastAsia="Times New Roman" w:hAnsi="Times New Roman"/>
          <w:b/>
          <w:bCs/>
          <w:sz w:val="24"/>
          <w:szCs w:val="24"/>
        </w:rPr>
        <w:t xml:space="preserve">3.3 Data Collection</w:t>
      </w:r>
    </w:p>
    <w:p>
      <w:pPr>
        <w:spacing w:after="200" w:line="360"/>
        <w:jc w:val="both"/>
      </w:pPr>
      <w:r>
        <w:rPr>
          <w:rFonts w:ascii="Times New Roman" w:cs="Times New Roman" w:eastAsia="Times New Roman" w:hAnsi="Times New Roman"/>
          <w:sz w:val="24"/>
          <w:szCs w:val="24"/>
        </w:rPr>
        <w:t xml:space="preserve">Each of the 60 queries was sent to all five engines three times, yielding 900 total API responses. An identical system prompt was used across all engines: "You are a helpful shopping assistant. When the user asks for product recommendations, provide specific product names, brands, and approximate prices. Be concrete—name actual products, not just categories. If you recommend multiple products, rank them from most recommended to least." All calls were made on May 10, 2026, within a single session to minimize temporal confounds. The total API cost was approximately $40 USD.</w:t>
      </w:r>
    </w:p>
    <w:p>
      <w:pPr>
        <w:pStyle w:val="Heading2"/>
        <w:spacing w:after="160" w:before="280"/>
      </w:pPr>
      <w:r>
        <w:rPr>
          <w:rFonts w:ascii="Times New Roman" w:cs="Times New Roman" w:eastAsia="Times New Roman" w:hAnsi="Times New Roman"/>
          <w:b/>
          <w:bCs/>
          <w:sz w:val="24"/>
          <w:szCs w:val="24"/>
        </w:rPr>
        <w:t xml:space="preserve">3.4 Brand Extraction</w:t>
      </w:r>
    </w:p>
    <w:p>
      <w:pPr>
        <w:spacing w:after="200" w:line="360"/>
        <w:jc w:val="both"/>
      </w:pPr>
      <w:r>
        <w:rPr>
          <w:rFonts w:ascii="Times New Roman" w:cs="Times New Roman" w:eastAsia="Times New Roman" w:hAnsi="Times New Roman"/>
          <w:sz w:val="24"/>
          <w:szCs w:val="24"/>
        </w:rPr>
        <w:t xml:space="preserve">Product mentions were extracted from AI responses using a two-stage process. First, numbered list items (the dominant response format across all engines) were parsed and matched against a curated list of approximately 150 known brands across all four categories. Second, responses not containing numbered lists were scanned for brand name mentions in full text. Word-boundary matching was applied for short or ambiguous brand names (e.g., distinguishing "On Running" as a brand from the preposition "on"). Brand names were normalized to canonical forms (e.g., "On Running" and "On Cloud" mapped to the same brand entity). A total of 3,120 product mentions were extracted from 900 responses.</w:t>
      </w:r>
    </w:p>
    <w:p>
      <w:pPr>
        <w:pStyle w:val="Heading2"/>
        <w:spacing w:after="160" w:before="280"/>
      </w:pPr>
      <w:r>
        <w:rPr>
          <w:rFonts w:ascii="Times New Roman" w:cs="Times New Roman" w:eastAsia="Times New Roman" w:hAnsi="Times New Roman"/>
          <w:b/>
          <w:bCs/>
          <w:sz w:val="24"/>
          <w:szCs w:val="24"/>
        </w:rPr>
        <w:t xml:space="preserve">3.5 AgentShelf Score</w:t>
      </w:r>
    </w:p>
    <w:p>
      <w:pPr>
        <w:spacing w:after="200" w:line="360"/>
        <w:jc w:val="both"/>
      </w:pPr>
      <w:r>
        <w:rPr>
          <w:rFonts w:ascii="Times New Roman" w:cs="Times New Roman" w:eastAsia="Times New Roman" w:hAnsi="Times New Roman"/>
          <w:sz w:val="24"/>
          <w:szCs w:val="24"/>
        </w:rPr>
        <w:t xml:space="preserve">We define the AgentShelf Score as a composite metric of AI shopping recommendation reliability, computed for each (query, brand) pair:</w:t>
      </w:r>
    </w:p>
    <w:p>
      <w:pPr>
        <w:spacing w:after="200" w:line="360"/>
        <w:jc w:val="center"/>
      </w:pPr>
      <w:r>
        <w:rPr>
          <w:rFonts w:ascii="Times New Roman" w:cs="Times New Roman" w:eastAsia="Times New Roman" w:hAnsi="Times New Roman"/>
          <w:i/>
          <w:iCs/>
          <w:sz w:val="24"/>
          <w:szCs w:val="24"/>
        </w:rPr>
        <w:t xml:space="preserve">AgentShelf Score = 100 × (w</w:t>
      </w:r>
      <w:r>
        <w:rPr>
          <w:rFonts w:ascii="Times New Roman" w:cs="Times New Roman" w:eastAsia="Times New Roman" w:hAnsi="Times New Roman"/>
          <w:sz w:val="20"/>
          <w:szCs w:val="20"/>
        </w:rPr>
        <w:t xml:space="preserve">₁</w:t>
      </w:r>
      <w:r>
        <w:rPr>
          <w:rFonts w:ascii="Times New Roman" w:cs="Times New Roman" w:eastAsia="Times New Roman" w:hAnsi="Times New Roman"/>
          <w:i/>
          <w:iCs/>
          <w:sz w:val="24"/>
          <w:szCs w:val="24"/>
        </w:rPr>
        <w:t xml:space="preserve"> × consensus + w</w:t>
      </w:r>
      <w:r>
        <w:rPr>
          <w:rFonts w:ascii="Times New Roman" w:cs="Times New Roman" w:eastAsia="Times New Roman" w:hAnsi="Times New Roman"/>
          <w:sz w:val="20"/>
          <w:szCs w:val="20"/>
        </w:rPr>
        <w:t xml:space="preserve">₂</w:t>
      </w:r>
      <w:r>
        <w:rPr>
          <w:rFonts w:ascii="Times New Roman" w:cs="Times New Roman" w:eastAsia="Times New Roman" w:hAnsi="Times New Roman"/>
          <w:i/>
          <w:iCs/>
          <w:sz w:val="24"/>
          <w:szCs w:val="24"/>
        </w:rPr>
        <w:t xml:space="preserve"> × consistency + w</w:t>
      </w:r>
      <w:r>
        <w:rPr>
          <w:rFonts w:ascii="Times New Roman" w:cs="Times New Roman" w:eastAsia="Times New Roman" w:hAnsi="Times New Roman"/>
          <w:sz w:val="20"/>
          <w:szCs w:val="20"/>
        </w:rPr>
        <w:t xml:space="preserve">₃</w:t>
      </w:r>
      <w:r>
        <w:rPr>
          <w:rFonts w:ascii="Times New Roman" w:cs="Times New Roman" w:eastAsia="Times New Roman" w:hAnsi="Times New Roman"/>
          <w:i/>
          <w:iCs/>
          <w:sz w:val="24"/>
          <w:szCs w:val="24"/>
        </w:rPr>
        <w:t xml:space="preserve"> × citation_rate)</w:t>
      </w:r>
    </w:p>
    <w:p>
      <w:pPr>
        <w:spacing w:after="200" w:line="360"/>
        <w:jc w:val="both"/>
      </w:pPr>
      <w:r>
        <w:rPr>
          <w:rFonts w:ascii="Times New Roman" w:cs="Times New Roman" w:eastAsia="Times New Roman" w:hAnsi="Times New Roman"/>
          <w:sz w:val="24"/>
          <w:szCs w:val="24"/>
        </w:rPr>
        <w:t xml:space="preserve">where consensus is the fraction of engines recommending the brand (0–1), consistency is the average within-engine recommendation frequency across repetitions (0–1), and citation_rate is the fraction of recommendations citing verifiable sources (0–1). Weights were set a priori to w₁ = 0.5, w₂ = 0.3, w₃ = 0.2, based on the assumption that cross-engine agreement is the strongest signal of reliability, followed by temporal stability and evidential grounding. We validate this weighting empirically in Section 4.6 by demonstrating strong correlation (ρ = 0.791) between AgentShelf Score and an independently estimated latent brand visibility parameter from logistic regression, confirming that the weighted-average formulation captures the dominant signal in the data despite its simplicity.</w:t>
      </w:r>
    </w:p>
    <w:p>
      <w:pPr>
        <w:pStyle w:val="Heading2"/>
        <w:spacing w:after="160" w:before="280"/>
      </w:pPr>
      <w:r>
        <w:rPr>
          <w:rFonts w:ascii="Times New Roman" w:cs="Times New Roman" w:eastAsia="Times New Roman" w:hAnsi="Times New Roman"/>
          <w:b/>
          <w:bCs/>
          <w:sz w:val="24"/>
          <w:szCs w:val="24"/>
        </w:rPr>
        <w:t xml:space="preserve">3.6 Expert Validation</w:t>
      </w:r>
    </w:p>
    <w:p>
      <w:pPr>
        <w:spacing w:after="200" w:line="360"/>
        <w:jc w:val="both"/>
      </w:pPr>
      <w:r>
        <w:rPr>
          <w:rFonts w:ascii="Times New Roman" w:cs="Times New Roman" w:eastAsia="Times New Roman" w:hAnsi="Times New Roman"/>
          <w:sz w:val="24"/>
          <w:szCs w:val="24"/>
        </w:rPr>
        <w:t xml:space="preserve">To assess whether AgentShelf Score captures meaningful product quality signals, we compared the highest-scoring products against expert recommendations from Wirecutter (The New York Times), a widely respected independent product review publication that conducts hands-on testing. For each of the four categories, we recorded the top five expert-recommended products and computed the overlap with the five highest-scoring products in the corresponding AgentShelf Score ranking.</w:t>
      </w:r>
    </w:p>
    <w:p>
      <w:pPr>
        <w:pStyle w:val="Heading2"/>
        <w:spacing w:after="160" w:before="280"/>
      </w:pPr>
      <w:r>
        <w:rPr>
          <w:rFonts w:ascii="Times New Roman" w:cs="Times New Roman" w:eastAsia="Times New Roman" w:hAnsi="Times New Roman"/>
          <w:b/>
          <w:bCs/>
          <w:sz w:val="24"/>
          <w:szCs w:val="24"/>
        </w:rPr>
        <w:t xml:space="preserve">3.7 Logistic Regression Decomposition</w:t>
      </w:r>
    </w:p>
    <w:p>
      <w:pPr>
        <w:spacing w:after="200" w:line="360"/>
        <w:jc w:val="both"/>
      </w:pPr>
      <w:r>
        <w:rPr>
          <w:rFonts w:ascii="Times New Roman" w:cs="Times New Roman" w:eastAsia="Times New Roman" w:hAnsi="Times New Roman"/>
          <w:sz w:val="24"/>
          <w:szCs w:val="24"/>
        </w:rPr>
        <w:t xml:space="preserve">To decompose recommendation behavior into interpretable factors, we fitted a logistic regression model:</w:t>
      </w:r>
    </w:p>
    <w:p>
      <w:pPr>
        <w:spacing w:after="200" w:line="360"/>
        <w:jc w:val="center"/>
      </w:pPr>
      <w:r>
        <w:rPr>
          <w:rFonts w:ascii="Times New Roman" w:cs="Times New Roman" w:eastAsia="Times New Roman" w:hAnsi="Times New Roman"/>
          <w:i/>
          <w:iCs/>
          <w:sz w:val="24"/>
          <w:szCs w:val="24"/>
        </w:rPr>
        <w:t xml:space="preserve">P(engine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iCs/>
          <w:sz w:val="24"/>
          <w:szCs w:val="24"/>
        </w:rPr>
        <w:t xml:space="preserve"> recommends brand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24"/>
          <w:szCs w:val="24"/>
        </w:rPr>
        <w:t xml:space="preserve"> | query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rPr>
        <w:t xml:space="preserve">) = logistic(α</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4"/>
          <w:szCs w:val="24"/>
        </w:rPr>
        <w:t xml:space="preserve"> + β</w:t>
      </w:r>
      <w:r>
        <w:rPr>
          <w:rFonts w:ascii="Times New Roman" w:cs="Times New Roman" w:eastAsia="Times New Roman" w:hAnsi="Times New Roman"/>
          <w:i/>
          <w:iCs/>
          <w:sz w:val="20"/>
          <w:szCs w:val="20"/>
        </w:rPr>
        <w:t xml:space="preserve">e</w:t>
      </w:r>
      <w:r>
        <w:rPr>
          <w:rFonts w:ascii="Times New Roman" w:cs="Times New Roman" w:eastAsia="Times New Roman" w:hAnsi="Times New Roman"/>
          <w:i/>
          <w:iCs/>
          <w:sz w:val="24"/>
          <w:szCs w:val="24"/>
        </w:rPr>
        <w:t xml:space="preserve"> + γ</w:t>
      </w:r>
      <w:r>
        <w:rPr>
          <w:rFonts w:ascii="Times New Roman" w:cs="Times New Roman" w:eastAsia="Times New Roman" w:hAnsi="Times New Roman"/>
          <w:i/>
          <w:iCs/>
          <w:sz w:val="20"/>
          <w:szCs w:val="20"/>
        </w:rPr>
        <w:t xml:space="preserve">tier(q)</w:t>
      </w:r>
      <w:r>
        <w:rPr>
          <w:rFonts w:ascii="Times New Roman" w:cs="Times New Roman" w:eastAsia="Times New Roman" w:hAnsi="Times New Roman"/>
          <w:i/>
          <w:iCs/>
          <w:sz w:val="24"/>
          <w:szCs w:val="24"/>
        </w:rPr>
        <w:t xml:space="preserve">)</w:t>
      </w:r>
    </w:p>
    <w:p>
      <w:pPr>
        <w:spacing w:after="200" w:line="360"/>
        <w:jc w:val="both"/>
      </w:pPr>
      <w:r>
        <w:rPr>
          <w:rFonts w:ascii="Times New Roman" w:cs="Times New Roman" w:eastAsia="Times New Roman" w:hAnsi="Times New Roman"/>
          <w:sz w:val="24"/>
          <w:szCs w:val="24"/>
        </w:rPr>
        <w:t xml:space="preserve">where α</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4"/>
          <w:szCs w:val="24"/>
        </w:rPr>
        <w:t xml:space="preserve"> captures the latent AI visibility of brand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(how inherently "recommendable" a brand is, controlling for engine and query effects), β</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4"/>
          <w:szCs w:val="24"/>
        </w:rPr>
        <w:t xml:space="preserve"> captures the recommendation tendency of engine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(how generous or conservative it is relative to other engines), and γ</w:t>
      </w:r>
      <w:r>
        <w:rPr>
          <w:rFonts w:ascii="Times New Roman" w:cs="Times New Roman" w:eastAsia="Times New Roman" w:hAnsi="Times New Roman"/>
          <w:i/>
          <w:iCs/>
          <w:sz w:val="20"/>
          <w:szCs w:val="20"/>
        </w:rPr>
        <w:t xml:space="preserve">tier(q)</w:t>
      </w:r>
      <w:r>
        <w:rPr>
          <w:rFonts w:ascii="Times New Roman" w:cs="Times New Roman" w:eastAsia="Times New Roman" w:hAnsi="Times New Roman"/>
          <w:sz w:val="24"/>
          <w:szCs w:val="24"/>
        </w:rPr>
        <w:t xml:space="preserve"> captures the effect of query specificity (specific, moderate, or vague) on recommendation probability. The model was fitted to 44,100 binary observations (900 responses × 49 modeled brands with ≥15 mentions), with cluster-robust standard errors grouped by (query, engine, repetition) to account for within-response dependence among co-recommended brands. We emphasize that α</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4"/>
          <w:szCs w:val="24"/>
        </w:rPr>
        <w:t xml:space="preserve"> measures latent AI visibility, not product quality—a high α indicates the brand is frequently recommended by AI engines, which may reflect genuine product merit, extensive web presence, or training data over-representation.</w:t>
      </w:r>
    </w:p>
    <w:p>
      <w:r>
        <w:br w:type="page"/>
      </w:r>
    </w:p>
    <w:p>
      <w:pPr>
        <w:pStyle w:val="Heading1"/>
        <w:spacing w:after="200" w:before="360"/>
      </w:pPr>
      <w:r>
        <w:rPr>
          <w:rFonts w:ascii="Times New Roman" w:cs="Times New Roman" w:eastAsia="Times New Roman" w:hAnsi="Times New Roman"/>
          <w:b/>
          <w:bCs/>
          <w:sz w:val="28"/>
          <w:szCs w:val="28"/>
        </w:rPr>
        <w:t xml:space="preserve">4. Results</w:t>
      </w:r>
    </w:p>
    <w:p>
      <w:pPr>
        <w:pStyle w:val="Heading2"/>
        <w:spacing w:after="160" w:before="280"/>
      </w:pPr>
      <w:r>
        <w:rPr>
          <w:rFonts w:ascii="Times New Roman" w:cs="Times New Roman" w:eastAsia="Times New Roman" w:hAnsi="Times New Roman"/>
          <w:b/>
          <w:bCs/>
          <w:sz w:val="24"/>
          <w:szCs w:val="24"/>
        </w:rPr>
        <w:t xml:space="preserve">4.1 Response Characterization (RQ0)</w:t>
      </w:r>
    </w:p>
    <w:p>
      <w:pPr>
        <w:spacing w:after="200" w:line="360"/>
        <w:jc w:val="both"/>
      </w:pPr>
      <w:r>
        <w:rPr>
          <w:rFonts w:ascii="Times New Roman" w:cs="Times New Roman" w:eastAsia="Times New Roman" w:hAnsi="Times New Roman"/>
          <w:sz w:val="24"/>
          <w:szCs w:val="24"/>
        </w:rPr>
        <w:t xml:space="preserve">Of 900 total responses, 95.1% contained specific, named product recommendations. Response rates varied by engine: ChatGPT (99.4%), Gemini (97.8%), DeepSeek (97.2%), Perplexity (97.2%), and Claude (83.9%). Claude's notably lower rate reflects a tendency to provide purchasing criteria and feature guidance rather than specific product names—a qualitatively different response strategy that merits further investigation.</w:t>
      </w:r>
    </w:p>
    <w:p>
      <w:pPr>
        <w:spacing w:after="200" w:line="360"/>
        <w:jc w:val="both"/>
      </w:pPr>
      <w:r>
        <w:rPr>
          <w:rFonts w:ascii="Times New Roman" w:cs="Times New Roman" w:eastAsia="Times New Roman" w:hAnsi="Times New Roman"/>
          <w:sz w:val="24"/>
          <w:szCs w:val="24"/>
        </w:rPr>
        <w:t xml:space="preserve">Table 1 presents response rates by engine and category.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400"/>
      </w:tblGrid>
      <w:tr>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80" w:line="276"/>
            </w:pPr>
            <w:r>
              <w:rPr>
                <w:rFonts w:ascii="Times New Roman" w:cs="Times New Roman" w:eastAsia="Times New Roman" w:hAnsi="Times New Roman"/>
                <w:b/>
                <w:bCs/>
                <w:sz w:val="20"/>
                <w:szCs w:val="20"/>
              </w:rPr>
              <w:t xml:space="preserve">Engine</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80" w:line="276"/>
            </w:pPr>
            <w:r>
              <w:rPr>
                <w:rFonts w:ascii="Times New Roman" w:cs="Times New Roman" w:eastAsia="Times New Roman" w:hAnsi="Times New Roman"/>
                <w:b/>
                <w:bCs/>
                <w:sz w:val="20"/>
                <w:szCs w:val="20"/>
              </w:rPr>
              <w:t xml:space="preserve">Earbuds</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80" w:line="276"/>
            </w:pPr>
            <w:r>
              <w:rPr>
                <w:rFonts w:ascii="Times New Roman" w:cs="Times New Roman" w:eastAsia="Times New Roman" w:hAnsi="Times New Roman"/>
                <w:b/>
                <w:bCs/>
                <w:sz w:val="20"/>
                <w:szCs w:val="20"/>
              </w:rPr>
              <w:t xml:space="preserve">Keyboards</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80" w:line="276"/>
            </w:pPr>
            <w:r>
              <w:rPr>
                <w:rFonts w:ascii="Times New Roman" w:cs="Times New Roman" w:eastAsia="Times New Roman" w:hAnsi="Times New Roman"/>
                <w:b/>
                <w:bCs/>
                <w:sz w:val="20"/>
                <w:szCs w:val="20"/>
              </w:rPr>
              <w:t xml:space="preserve">Shoes</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80" w:line="276"/>
            </w:pPr>
            <w:r>
              <w:rPr>
                <w:rFonts w:ascii="Times New Roman" w:cs="Times New Roman" w:eastAsia="Times New Roman" w:hAnsi="Times New Roman"/>
                <w:b/>
                <w:bCs/>
                <w:sz w:val="20"/>
                <w:szCs w:val="20"/>
              </w:rPr>
              <w:t xml:space="preserve">Skincare</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80" w:line="276"/>
            </w:pPr>
            <w:r>
              <w:rPr>
                <w:rFonts w:ascii="Times New Roman" w:cs="Times New Roman" w:eastAsia="Times New Roman" w:hAnsi="Times New Roman"/>
                <w:b/>
                <w:bCs/>
                <w:sz w:val="20"/>
                <w:szCs w:val="20"/>
              </w:rPr>
              <w:t xml:space="preserve">Overall</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ChatGPT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100.0%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100.0%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100.0%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97.8%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99.4%</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Claude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84.4%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82.2%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91.1%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77.8%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83.9%</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DeepSeek</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100.0%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95.6%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100.0%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93.3%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97.2%</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Gemini</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97.8%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97.8%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100.0%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95.6%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97.8%</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Perplexity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88.9%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97.8%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100.0%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100.0%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97.2%</w:t>
            </w:r>
          </w:p>
        </w:tc>
      </w:tr>
    </w:tbl>
    <w:p>
      <w:pPr>
        <w:spacing w:after="300"/>
        <w:jc w:val="both"/>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Percentage of responses containing specific product recommendations, by engine and category.</w:t>
      </w:r>
    </w:p>
    <w:p>
      <w:pPr>
        <w:pStyle w:val="Heading2"/>
        <w:spacing w:after="160" w:before="280"/>
      </w:pPr>
      <w:r>
        <w:rPr>
          <w:rFonts w:ascii="Times New Roman" w:cs="Times New Roman" w:eastAsia="Times New Roman" w:hAnsi="Times New Roman"/>
          <w:b/>
          <w:bCs/>
          <w:sz w:val="24"/>
          <w:szCs w:val="24"/>
        </w:rPr>
        <w:t xml:space="preserve">4.2 Cross-Engine Consensus (RQ1)</w:t>
      </w:r>
    </w:p>
    <w:p>
      <w:pPr>
        <w:spacing w:after="200" w:line="360"/>
        <w:jc w:val="both"/>
      </w:pPr>
      <w:r>
        <w:rPr>
          <w:rFonts w:ascii="Times New Roman" w:cs="Times New Roman" w:eastAsia="Times New Roman" w:hAnsi="Times New Roman"/>
          <w:sz w:val="24"/>
          <w:szCs w:val="24"/>
        </w:rPr>
        <w:t xml:space="preserve">The average pairwise Jaccard similarity across all engine pairs and queries was 0.448, indicating that any two engines agree on fewer than half of their recommended products for the same query. Table 2 presents the full pairwise consensus matrix.</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400"/>
      </w:tblGrid>
      <w:tr>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80" w:line="276"/>
            </w:pPr>
            <w:r>
              <w:rPr>
                <w:rFonts w:ascii="Times New Roman" w:cs="Times New Roman" w:eastAsia="Times New Roman" w:hAnsi="Times New Roman"/>
                <w:b/>
                <w:bCs/>
                <w:sz w:val="20"/>
                <w:szCs w:val="20"/>
              </w:rPr>
              <w:t xml:space="preserve"/>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80" w:line="276"/>
            </w:pPr>
            <w:r>
              <w:rPr>
                <w:rFonts w:ascii="Times New Roman" w:cs="Times New Roman" w:eastAsia="Times New Roman" w:hAnsi="Times New Roman"/>
                <w:b/>
                <w:bCs/>
                <w:sz w:val="20"/>
                <w:szCs w:val="20"/>
              </w:rPr>
              <w:t xml:space="preserve">ChatGPT</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80" w:line="276"/>
            </w:pPr>
            <w:r>
              <w:rPr>
                <w:rFonts w:ascii="Times New Roman" w:cs="Times New Roman" w:eastAsia="Times New Roman" w:hAnsi="Times New Roman"/>
                <w:b/>
                <w:bCs/>
                <w:sz w:val="20"/>
                <w:szCs w:val="20"/>
              </w:rPr>
              <w:t xml:space="preserve">Claude</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80" w:line="276"/>
            </w:pPr>
            <w:r>
              <w:rPr>
                <w:rFonts w:ascii="Times New Roman" w:cs="Times New Roman" w:eastAsia="Times New Roman" w:hAnsi="Times New Roman"/>
                <w:b/>
                <w:bCs/>
                <w:sz w:val="20"/>
                <w:szCs w:val="20"/>
              </w:rPr>
              <w:t xml:space="preserve">DeepSeek</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80" w:line="276"/>
            </w:pPr>
            <w:r>
              <w:rPr>
                <w:rFonts w:ascii="Times New Roman" w:cs="Times New Roman" w:eastAsia="Times New Roman" w:hAnsi="Times New Roman"/>
                <w:b/>
                <w:bCs/>
                <w:sz w:val="20"/>
                <w:szCs w:val="20"/>
              </w:rPr>
              <w:t xml:space="preserve">Gemini</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80" w:line="276"/>
            </w:pPr>
            <w:r>
              <w:rPr>
                <w:rFonts w:ascii="Times New Roman" w:cs="Times New Roman" w:eastAsia="Times New Roman" w:hAnsi="Times New Roman"/>
                <w:b/>
                <w:bCs/>
                <w:sz w:val="20"/>
                <w:szCs w:val="20"/>
              </w:rPr>
              <w:t xml:space="preserve">Perplexity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ChatGPT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0.386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0.492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0.515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0.449</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Claude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0.386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0.381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0.430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0.375</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DeepSeek</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0.492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0.381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0.571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0.409</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Gemini</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0.515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0.430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0.571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0.470</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Perplexity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0.449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0.375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0.409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0.470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w:t>
            </w:r>
          </w:p>
        </w:tc>
      </w:tr>
    </w:tbl>
    <w:p>
      <w:pPr>
        <w:spacing w:after="200"/>
        <w:jc w:val="both"/>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Pairwise Jaccard similarity between engine recommendations, averaged across 60 queries. Higher values indicate greater agreement.</w:t>
      </w:r>
    </w:p>
    <w:p>
      <w:pPr>
        <w:spacing w:after="200" w:line="360"/>
        <w:jc w:val="both"/>
      </w:pPr>
      <w:r>
        <w:rPr>
          <w:rFonts w:ascii="Times New Roman" w:cs="Times New Roman" w:eastAsia="Times New Roman" w:hAnsi="Times New Roman"/>
          <w:sz w:val="24"/>
          <w:szCs w:val="24"/>
        </w:rPr>
        <w:t xml:space="preserve">The most aligned engine pair was DeepSeek–Gemini (0.571), while the least aligned was Claude–Perplexity (0.375). Claude exhibited the lowest average agreement with all other engines, consistent with its qualitatively different response strategy noted in Section 4.1.</w:t>
      </w:r>
    </w:p>
    <w:p>
      <w:pPr>
        <w:pStyle w:val="Heading2"/>
        <w:spacing w:after="160" w:before="280"/>
      </w:pPr>
      <w:r>
        <w:rPr>
          <w:rFonts w:ascii="Times New Roman" w:cs="Times New Roman" w:eastAsia="Times New Roman" w:hAnsi="Times New Roman"/>
          <w:b/>
          <w:bCs/>
          <w:sz w:val="24"/>
          <w:szCs w:val="24"/>
        </w:rPr>
        <w:t xml:space="preserve">4.3 Brand Concentration (RQ2)</w:t>
      </w:r>
    </w:p>
    <w:p>
      <w:pPr>
        <w:spacing w:after="200" w:line="360"/>
        <w:jc w:val="both"/>
      </w:pPr>
      <w:r>
        <w:rPr>
          <w:rFonts w:ascii="Times New Roman" w:cs="Times New Roman" w:eastAsia="Times New Roman" w:hAnsi="Times New Roman"/>
          <w:sz w:val="24"/>
          <w:szCs w:val="24"/>
        </w:rPr>
        <w:t xml:space="preserve">Brand recommendation frequency exhibited extreme concentration. In mechanical keyboards, Keychron alone accounted for 181 of all brand mentions—three times the second-ranked brand (Royal Kludge, 60 mentions). In skincare, CeraVe (142 mentions) and La Roche-Posay (92 mentions) together dominated recommendations. In earbuds, Anker (117) and Sony (114) led, followed by a sharp drop to Apple (67). In running shoes, the top six brands (ASICS, Saucony, Brooks, Nike, New Balance, HOKA) accounted for the vast majority of mentions, with minimal representation of smaller performance brands.</w:t>
      </w:r>
    </w:p>
    <w:p>
      <w:pPr>
        <w:spacing w:after="200" w:line="360"/>
        <w:jc w:val="both"/>
      </w:pPr>
      <w:r>
        <w:rPr>
          <w:rFonts w:ascii="Times New Roman" w:cs="Times New Roman" w:eastAsia="Times New Roman" w:hAnsi="Times New Roman"/>
          <w:sz w:val="24"/>
          <w:szCs w:val="24"/>
        </w:rPr>
        <w:t xml:space="preserve">Notably, all top-20 brands across all categories achieved 100% cross-engine presence (recommended by 5/5 engines at least once), suggesting that brand visibility exhibits a highly skewed distribution: brands above a certain visibility threshold are universally recognized across engines, while those below it are functionally invisible to AI-mediated product discovery.</w:t>
      </w:r>
    </w:p>
    <w:p>
      <w:pPr>
        <w:pStyle w:val="Heading2"/>
        <w:spacing w:after="160" w:before="280"/>
      </w:pPr>
      <w:r>
        <w:rPr>
          <w:rFonts w:ascii="Times New Roman" w:cs="Times New Roman" w:eastAsia="Times New Roman" w:hAnsi="Times New Roman"/>
          <w:b/>
          <w:bCs/>
          <w:sz w:val="24"/>
          <w:szCs w:val="24"/>
        </w:rPr>
        <w:t xml:space="preserve">4.4 Self-Consistency (RQ3)</w:t>
      </w:r>
    </w:p>
    <w:p>
      <w:pPr>
        <w:spacing w:after="200" w:line="360"/>
        <w:jc w:val="both"/>
      </w:pPr>
      <w:r>
        <w:rPr>
          <w:rFonts w:ascii="Times New Roman" w:cs="Times New Roman" w:eastAsia="Times New Roman" w:hAnsi="Times New Roman"/>
          <w:sz w:val="24"/>
          <w:szCs w:val="24"/>
        </w:rPr>
        <w:t xml:space="preserve">To assess intra-engine stability, we computed pairwise Jaccard similarity between the recommendation sets produced by the same engine on repeated trials of the same query. Table 3 reports average self-consistency scores.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c>
          <w:tcPr>
            <w:tcW w:type="dxa" w:w="2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80" w:line="276"/>
            </w:pPr>
            <w:r>
              <w:rPr>
                <w:rFonts w:ascii="Times New Roman" w:cs="Times New Roman" w:eastAsia="Times New Roman" w:hAnsi="Times New Roman"/>
                <w:b/>
                <w:bCs/>
                <w:sz w:val="20"/>
                <w:szCs w:val="20"/>
              </w:rPr>
              <w:t xml:space="preserve">Engine</w:t>
            </w:r>
          </w:p>
        </w:tc>
        <w:tc>
          <w:tcPr>
            <w:tcW w:type="dxa" w:w="2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80" w:line="276"/>
            </w:pPr>
            <w:r>
              <w:rPr>
                <w:rFonts w:ascii="Times New Roman" w:cs="Times New Roman" w:eastAsia="Times New Roman" w:hAnsi="Times New Roman"/>
                <w:b/>
                <w:bCs/>
                <w:sz w:val="20"/>
                <w:szCs w:val="20"/>
              </w:rPr>
              <w:t xml:space="preserve">Self-Consistency</w:t>
            </w:r>
          </w:p>
        </w:tc>
        <w:tc>
          <w:tcPr>
            <w:tcW w:type="dxa" w:w="4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80" w:line="276"/>
            </w:pPr>
            <w:r>
              <w:rPr>
                <w:rFonts w:ascii="Times New Roman" w:cs="Times New Roman" w:eastAsia="Times New Roman" w:hAnsi="Times New Roman"/>
                <w:b/>
                <w:bCs/>
                <w:sz w:val="20"/>
                <w:szCs w:val="20"/>
              </w:rPr>
              <w:t xml:space="preserve">Interpretation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Claude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0.679</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Changes recommendations ~32% of time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Perplexity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0.665</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Changes recommendations ~34% of time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DeepSeek</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0.522</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Changes recommendations ~48% of time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ChatGPT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0.518</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Changes recommendations ~48% of time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Gemini</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0.479</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Changes recommendations ~52% of time</w:t>
            </w:r>
          </w:p>
        </w:tc>
      </w:tr>
    </w:tbl>
    <w:p>
      <w:pPr>
        <w:spacing w:after="200"/>
        <w:jc w:val="both"/>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sz w:val="24"/>
          <w:szCs w:val="24"/>
        </w:rPr>
        <w:t xml:space="preserve">Self-consistency scores by engine. A score of 1.0 indicates identical recommendations across all repetitions; lower values indicate greater variability.</w:t>
      </w:r>
    </w:p>
    <w:p>
      <w:pPr>
        <w:spacing w:after="200" w:line="360"/>
        <w:jc w:val="both"/>
      </w:pPr>
      <w:r>
        <w:rPr>
          <w:rFonts w:ascii="Times New Roman" w:cs="Times New Roman" w:eastAsia="Times New Roman" w:hAnsi="Times New Roman"/>
          <w:sz w:val="24"/>
          <w:szCs w:val="24"/>
        </w:rPr>
        <w:t xml:space="preserve">No engine achieved self-consistency above 0.68. The most stable engine (Claude, 0.679) ironically also had the lowest recommendation rate (83.9%)—suggesting that its stability partly reflects a conservative strategy of recommending fewer products. Gemini exhibited the highest volatility (0.479), changing its recommendations more often than not across repeated trials.</w:t>
      </w:r>
    </w:p>
    <w:p>
      <w:pPr>
        <w:pStyle w:val="Heading2"/>
        <w:spacing w:after="160" w:before="280"/>
      </w:pPr>
      <w:r>
        <w:rPr>
          <w:rFonts w:ascii="Times New Roman" w:cs="Times New Roman" w:eastAsia="Times New Roman" w:hAnsi="Times New Roman"/>
          <w:b/>
          <w:bCs/>
          <w:sz w:val="24"/>
          <w:szCs w:val="24"/>
        </w:rPr>
        <w:t xml:space="preserve">4.5 AgentShelf Score and Expert Validation (RQ4)</w:t>
      </w:r>
    </w:p>
    <w:p>
      <w:pPr>
        <w:spacing w:after="200" w:line="360"/>
        <w:jc w:val="both"/>
      </w:pPr>
      <w:r>
        <w:rPr>
          <w:rFonts w:ascii="Times New Roman" w:cs="Times New Roman" w:eastAsia="Times New Roman" w:hAnsi="Times New Roman"/>
          <w:sz w:val="24"/>
          <w:szCs w:val="24"/>
        </w:rPr>
        <w:t xml:space="preserve">The AgentShelf Score (Section 3.5) was computed for all 605 product-query pairs in the dataset. The score distribution revealed that only 21.0% of recommendations achieved "high confidence" (Score ≥ 80), while 37.2% fell in the "low confidence" range (Score &lt; 50). The remaining 41.8% scored in the moderate range (50–79).</w:t>
      </w:r>
    </w:p>
    <w:p>
      <w:pPr>
        <w:spacing w:after="200" w:line="360"/>
        <w:jc w:val="both"/>
      </w:pPr>
      <w:r>
        <w:rPr>
          <w:rFonts w:ascii="Times New Roman" w:cs="Times New Roman" w:eastAsia="Times New Roman" w:hAnsi="Times New Roman"/>
          <w:sz w:val="24"/>
          <w:szCs w:val="24"/>
        </w:rPr>
        <w:t xml:space="preserve">To validate the Score against an independent standard, we compared the highest-scoring products in each category against Wirecutter's expert recommendations. Table 4 summarizes the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800"/>
      </w:tblGrid>
      <w:tr>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80" w:line="276"/>
            </w:pPr>
            <w:r>
              <w:rPr>
                <w:rFonts w:ascii="Times New Roman" w:cs="Times New Roman" w:eastAsia="Times New Roman" w:hAnsi="Times New Roman"/>
                <w:b/>
                <w:bCs/>
                <w:sz w:val="20"/>
                <w:szCs w:val="20"/>
              </w:rPr>
              <w:t xml:space="preserve">Category</w:t>
            </w:r>
          </w:p>
        </w:tc>
        <w:tc>
          <w:tcPr>
            <w:tcW w:type="dxa" w:w="1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80" w:line="276"/>
            </w:pPr>
            <w:r>
              <w:rPr>
                <w:rFonts w:ascii="Times New Roman" w:cs="Times New Roman" w:eastAsia="Times New Roman" w:hAnsi="Times New Roman"/>
                <w:b/>
                <w:bCs/>
                <w:sz w:val="20"/>
                <w:szCs w:val="20"/>
              </w:rPr>
              <w:t xml:space="preserve">Overlap</w:t>
            </w:r>
          </w:p>
        </w:tc>
        <w:tc>
          <w:tcPr>
            <w:tcW w:type="dxa" w:w="2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80" w:line="276"/>
            </w:pPr>
            <w:r>
              <w:rPr>
                <w:rFonts w:ascii="Times New Roman" w:cs="Times New Roman" w:eastAsia="Times New Roman" w:hAnsi="Times New Roman"/>
                <w:b/>
                <w:bCs/>
                <w:sz w:val="20"/>
                <w:szCs w:val="20"/>
              </w:rPr>
              <w:t xml:space="preserve">AI-only (not in Wirecutter)</w:t>
            </w:r>
          </w:p>
        </w:tc>
        <w:tc>
          <w:tcPr>
            <w:tcW w:type="dxa" w:w="2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80" w:line="276"/>
            </w:pPr>
            <w:r>
              <w:rPr>
                <w:rFonts w:ascii="Times New Roman" w:cs="Times New Roman" w:eastAsia="Times New Roman" w:hAnsi="Times New Roman"/>
                <w:b/>
                <w:bCs/>
                <w:sz w:val="20"/>
                <w:szCs w:val="20"/>
              </w:rPr>
              <w:t xml:space="preserve">Wirecutter-only (invisible to AI)</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Earbuds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3/5 (60%)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Anker, Bose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Beats, JLab</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Keyboards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1/5 (20%)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Royal Kludge, Redragon, etc.</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(Wirecutter = all Keychron)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Running shoes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2/5 (40%)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Brooks, Nike, New Balance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Altra</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Skincare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3/5 (60%)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The Ordinary, Cetaphil</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The Outset, Vanicream (low)</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Average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45%</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80" w:line="276"/>
              <w:jc w:val="left"/>
            </w:pPr>
            <w:r>
              <w:rPr>
                <w:rFonts w:ascii="Times New Roman" w:cs="Times New Roman" w:eastAsia="Times New Roman" w:hAnsi="Times New Roman"/>
                <w:sz w:val="20"/>
                <w:szCs w:val="20"/>
              </w:rPr>
              <w:t xml:space="preserve"/>
            </w:r>
          </w:p>
        </w:tc>
      </w:tr>
    </w:tbl>
    <w:p>
      <w:pPr>
        <w:spacing w:after="200"/>
        <w:jc w:val="both"/>
      </w:pPr>
      <w:r>
        <w:rPr>
          <w:rFonts w:ascii="Times New Roman" w:cs="Times New Roman" w:eastAsia="Times New Roman" w:hAnsi="Times New Roman"/>
          <w:b/>
          <w:bCs/>
          <w:sz w:val="24"/>
          <w:szCs w:val="24"/>
        </w:rPr>
        <w:t xml:space="preserve">Table 4. </w:t>
      </w:r>
      <w:r>
        <w:rPr>
          <w:rFonts w:ascii="Times New Roman" w:cs="Times New Roman" w:eastAsia="Times New Roman" w:hAnsi="Times New Roman"/>
          <w:sz w:val="24"/>
          <w:szCs w:val="24"/>
        </w:rPr>
        <w:t xml:space="preserve">Overlap between top-5 AgentShelf Score products and Wirecutter expert recommendations, by category. "Invisible to AI" denotes products recommended by Wirecutter but absent or rarely mentioned across all five AI engines.</w:t>
      </w:r>
    </w:p>
    <w:p>
      <w:pPr>
        <w:spacing w:after="200" w:line="360"/>
        <w:jc w:val="both"/>
      </w:pPr>
      <w:r>
        <w:rPr>
          <w:rFonts w:ascii="Times New Roman" w:cs="Times New Roman" w:eastAsia="Times New Roman" w:hAnsi="Times New Roman"/>
          <w:sz w:val="24"/>
          <w:szCs w:val="24"/>
        </w:rPr>
        <w:t xml:space="preserve">The average overlap across all four categories was 45%, where overlap is defined as the percentage of a category's top-5 AgentShelf Score products that also appear in Wirecutter's top-5 expert recommendations for that category. This indicates that AgentShelf Score partially captures expert-validated product quality, but with substantial gaps. Most strikingly, several Wirecutter-recommended products were entirely absent from AI recommendations: The Outset (Wirecutter's pick for "best moisturizer for normal skin") received zero mentions across all 900 AI responses. Altra (Wirecutter's pick for "best low-drop running shoe") was similarly absent. These represent clear cases of the invisibility failure mode—products that no amount of cross-engine consensus analysis can surface, because they do not exist in any engine's recommendation space.</w:t>
      </w:r>
    </w:p>
    <w:p>
      <w:pPr>
        <w:pStyle w:val="Heading2"/>
        <w:spacing w:after="160" w:before="280"/>
      </w:pPr>
      <w:r>
        <w:rPr>
          <w:rFonts w:ascii="Times New Roman" w:cs="Times New Roman" w:eastAsia="Times New Roman" w:hAnsi="Times New Roman"/>
          <w:b/>
          <w:bCs/>
          <w:sz w:val="24"/>
          <w:szCs w:val="24"/>
        </w:rPr>
        <w:t xml:space="preserve">4.6 Decomposing Recommendation Behavior (RQ5)</w:t>
      </w:r>
    </w:p>
    <w:p>
      <w:pPr>
        <w:spacing w:after="200" w:line="360"/>
        <w:jc w:val="both"/>
      </w:pPr>
      <w:r>
        <w:rPr>
          <w:rFonts w:ascii="Times New Roman" w:cs="Times New Roman" w:eastAsia="Times New Roman" w:hAnsi="Times New Roman"/>
          <w:sz w:val="24"/>
          <w:szCs w:val="24"/>
        </w:rPr>
        <w:t xml:space="preserve">The logistic regression model (Section 3.7) converged after 65 iterations on 44,100 binary observations (49 brands × 900 responses). We report three categories of findings: brand visibility effects (α), engine tendency effects (β), and query specificity effects (γ).</w:t>
      </w:r>
    </w:p>
    <w:p>
      <w:pPr>
        <w:spacing w:after="200" w:line="360"/>
        <w:jc w:val="both"/>
      </w:pPr>
      <w:r>
        <w:rPr>
          <w:rFonts w:ascii="Times New Roman" w:cs="Times New Roman" w:eastAsia="Times New Roman" w:hAnsi="Times New Roman"/>
          <w:b/>
          <w:bCs/>
          <w:sz w:val="24"/>
          <w:szCs w:val="24"/>
        </w:rPr>
        <w:t xml:space="preserve">Brand visibility effects (α). </w:t>
      </w:r>
      <w:r>
        <w:rPr>
          <w:rFonts w:ascii="Times New Roman" w:cs="Times New Roman" w:eastAsia="Times New Roman" w:hAnsi="Times New Roman"/>
          <w:sz w:val="24"/>
          <w:szCs w:val="24"/>
        </w:rPr>
        <w:t xml:space="preserve">Brand-level coefficients ranged from α = 2.408 (Keychron, highest) to α = −0.294 (Skullcandy, lowest among modeled brands), a span of 2.7 log-odds units. The top five brands by latent AI visibility were Keychron (2.408), ASICS (2.366), CeraVe (2.112), Saucony (2.095), and Brooks (2.043)—all statistically significant at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0.001 with cluster-robust standard errors. These effects represent the probability of recommendation after controlling for which engine was queried and how specific the query was.</w:t>
      </w:r>
    </w:p>
    <w:p>
      <w:pPr>
        <w:spacing w:after="200" w:line="360"/>
        <w:jc w:val="both"/>
      </w:pPr>
      <w:r>
        <w:rPr>
          <w:rFonts w:ascii="Times New Roman" w:cs="Times New Roman" w:eastAsia="Times New Roman" w:hAnsi="Times New Roman"/>
          <w:b/>
          <w:bCs/>
          <w:sz w:val="24"/>
          <w:szCs w:val="24"/>
        </w:rPr>
        <w:t xml:space="preserve">Engine tendency effects (β). </w:t>
      </w:r>
      <w:r>
        <w:rPr>
          <w:rFonts w:ascii="Times New Roman" w:cs="Times New Roman" w:eastAsia="Times New Roman" w:hAnsi="Times New Roman"/>
          <w:sz w:val="24"/>
          <w:szCs w:val="24"/>
        </w:rPr>
        <w:t xml:space="preserve">Relative to ChatGPT (reference), DeepSeek (β = 0.193,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0.001) and Gemini (β = 0.193,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0.001) were the most generous recommenders, while Claude (β = −0.144,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0.038) was the most conservative. Perplexity showed no significant difference from ChatGPT (β = 0.045,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0.448). These engine effects are modest compared to brand effects (max |β| = 0.193 vs. max |α| = 2.408), confirming that </w:t>
      </w:r>
      <w:r>
        <w:rPr>
          <w:rFonts w:ascii="Times New Roman" w:cs="Times New Roman" w:eastAsia="Times New Roman" w:hAnsi="Times New Roman"/>
          <w:i/>
          <w:iCs/>
          <w:sz w:val="24"/>
          <w:szCs w:val="24"/>
        </w:rPr>
        <w:t xml:space="preserve">what</w:t>
      </w:r>
      <w:r>
        <w:rPr>
          <w:rFonts w:ascii="Times New Roman" w:cs="Times New Roman" w:eastAsia="Times New Roman" w:hAnsi="Times New Roman"/>
          <w:sz w:val="24"/>
          <w:szCs w:val="24"/>
        </w:rPr>
        <w:t xml:space="preserve"> is being recommended varies far more than </w:t>
      </w:r>
      <w:r>
        <w:rPr>
          <w:rFonts w:ascii="Times New Roman" w:cs="Times New Roman" w:eastAsia="Times New Roman" w:hAnsi="Times New Roman"/>
          <w:i/>
          <w:iCs/>
          <w:sz w:val="24"/>
          <w:szCs w:val="24"/>
        </w:rPr>
        <w:t xml:space="preserve">how much</w:t>
      </w:r>
      <w:r>
        <w:rPr>
          <w:rFonts w:ascii="Times New Roman" w:cs="Times New Roman" w:eastAsia="Times New Roman" w:hAnsi="Times New Roman"/>
          <w:sz w:val="24"/>
          <w:szCs w:val="24"/>
        </w:rPr>
        <w:t xml:space="preserve"> each engine recommends.</w:t>
      </w:r>
    </w:p>
    <w:p>
      <w:pPr>
        <w:spacing w:after="200" w:line="360"/>
        <w:jc w:val="both"/>
      </w:pPr>
      <w:r>
        <w:rPr>
          <w:rFonts w:ascii="Times New Roman" w:cs="Times New Roman" w:eastAsia="Times New Roman" w:hAnsi="Times New Roman"/>
          <w:b/>
          <w:bCs/>
          <w:sz w:val="24"/>
          <w:szCs w:val="24"/>
        </w:rPr>
        <w:t xml:space="preserve">Query specificity effects (γ). </w:t>
      </w:r>
      <w:r>
        <w:rPr>
          <w:rFonts w:ascii="Times New Roman" w:cs="Times New Roman" w:eastAsia="Times New Roman" w:hAnsi="Times New Roman"/>
          <w:sz w:val="24"/>
          <w:szCs w:val="24"/>
        </w:rPr>
        <w:t xml:space="preserve">Both specific (γ = 0.126,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0.005) and vague (γ = 0.157,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0.015) queries elicited more brand-specific recommendations than moderate queries (reference category). This counterintuitive finding suggests that AI engines respond to query vagueness by </w:t>
      </w:r>
      <w:r>
        <w:rPr>
          <w:rFonts w:ascii="Times New Roman" w:cs="Times New Roman" w:eastAsia="Times New Roman" w:hAnsi="Times New Roman"/>
          <w:i/>
          <w:iCs/>
          <w:sz w:val="24"/>
          <w:szCs w:val="24"/>
        </w:rPr>
        <w:t xml:space="preserve">expanding</w:t>
      </w:r>
      <w:r>
        <w:rPr>
          <w:rFonts w:ascii="Times New Roman" w:cs="Times New Roman" w:eastAsia="Times New Roman" w:hAnsi="Times New Roman"/>
          <w:sz w:val="24"/>
          <w:szCs w:val="24"/>
        </w:rPr>
        <w:t xml:space="preserve"> their recommendation set—listing more brands to hedge uncertainty—rather than retreating to generic advice. The practical implication is that query vagueness does not suppress recommendation specificity but may reduce recommendation </w:t>
      </w:r>
      <w:r>
        <w:rPr>
          <w:rFonts w:ascii="Times New Roman" w:cs="Times New Roman" w:eastAsia="Times New Roman" w:hAnsi="Times New Roman"/>
          <w:i/>
          <w:iCs/>
          <w:sz w:val="24"/>
          <w:szCs w:val="24"/>
        </w:rPr>
        <w:t xml:space="preserve">quality</w:t>
      </w:r>
      <w:r>
        <w:rPr>
          <w:rFonts w:ascii="Times New Roman" w:cs="Times New Roman" w:eastAsia="Times New Roman" w:hAnsi="Times New Roman"/>
          <w:sz w:val="24"/>
          <w:szCs w:val="24"/>
        </w:rPr>
        <w:t xml:space="preserve"> (by diluting consensus), a distinction our cross-engine analysis is uniquely positioned to detect.</w:t>
      </w:r>
    </w:p>
    <w:p>
      <w:pPr>
        <w:spacing w:after="200" w:line="360"/>
        <w:jc w:val="both"/>
      </w:pPr>
      <w:r>
        <w:rPr>
          <w:rFonts w:ascii="Times New Roman" w:cs="Times New Roman" w:eastAsia="Times New Roman" w:hAnsi="Times New Roman"/>
          <w:b/>
          <w:bCs/>
          <w:sz w:val="24"/>
          <w:szCs w:val="24"/>
        </w:rPr>
        <w:t xml:space="preserve">Model validation. </w:t>
      </w:r>
      <w:r>
        <w:rPr>
          <w:rFonts w:ascii="Times New Roman" w:cs="Times New Roman" w:eastAsia="Times New Roman" w:hAnsi="Times New Roman"/>
          <w:sz w:val="24"/>
          <w:szCs w:val="24"/>
        </w:rPr>
        <w:t xml:space="preserve">The Spearman rank correlation between the logistic model's brand visibility coefficients (α) and the mean AgentShelf Score per brand was ρ = 0.791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0.0001,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49 brands). This strong correlation provides two-fold validation: it confirms that the simple weighted-average AgentShelf Score captures the dominant signal in recommendation behavior, and it demonstrates that the logistic decomposition's brand visibility estimates are consistent with an independent consensus-based metric.</w:t>
      </w:r>
    </w:p>
    <w:p>
      <w:r>
        <w:br w:type="page"/>
      </w:r>
    </w:p>
    <w:p>
      <w:pPr>
        <w:pStyle w:val="Heading1"/>
        <w:spacing w:after="200" w:before="360"/>
      </w:pPr>
      <w:r>
        <w:rPr>
          <w:rFonts w:ascii="Times New Roman" w:cs="Times New Roman" w:eastAsia="Times New Roman" w:hAnsi="Times New Roman"/>
          <w:b/>
          <w:bCs/>
          <w:sz w:val="28"/>
          <w:szCs w:val="28"/>
        </w:rPr>
        <w:t xml:space="preserve">5. Discussion</w:t>
      </w:r>
    </w:p>
    <w:p>
      <w:pPr>
        <w:pStyle w:val="Heading2"/>
        <w:spacing w:after="160" w:before="280"/>
      </w:pPr>
      <w:r>
        <w:rPr>
          <w:rFonts w:ascii="Times New Roman" w:cs="Times New Roman" w:eastAsia="Times New Roman" w:hAnsi="Times New Roman"/>
          <w:b/>
          <w:bCs/>
          <w:sz w:val="24"/>
          <w:szCs w:val="24"/>
        </w:rPr>
        <w:t xml:space="preserve">5.1 Two Independent Failure Modes</w:t>
      </w:r>
    </w:p>
    <w:p>
      <w:pPr>
        <w:spacing w:after="200" w:line="360"/>
        <w:jc w:val="both"/>
      </w:pPr>
      <w:r>
        <w:rPr>
          <w:rFonts w:ascii="Times New Roman" w:cs="Times New Roman" w:eastAsia="Times New Roman" w:hAnsi="Times New Roman"/>
          <w:sz w:val="24"/>
          <w:szCs w:val="24"/>
        </w:rPr>
        <w:t xml:space="preserve">Our analysis reveals that AI shopping recommendations suffer from two structurally independent problems. Inconsistency—the tendency of different engines (and the same engine on different occasions) to recommend different products—is amenable to consensus-based mitigation. A product recommended by all five engines with high self-consistency (AgentShelf Score ≥ 80) is substantially more likely to align with expert assessments than a product recommended by only one engine inconsistently.</w:t>
      </w:r>
    </w:p>
    <w:p>
      <w:pPr>
        <w:spacing w:after="200" w:line="360"/>
        <w:jc w:val="both"/>
      </w:pPr>
      <w:r>
        <w:rPr>
          <w:rFonts w:ascii="Times New Roman" w:cs="Times New Roman" w:eastAsia="Times New Roman" w:hAnsi="Times New Roman"/>
          <w:sz w:val="24"/>
          <w:szCs w:val="24"/>
        </w:rPr>
        <w:t xml:space="preserve">Invisibility, however, represents a categorically different failure mode. Products like The Outset (Wirecutter's best moisturizer for normal skin) and Altra (Wirecutter's best low-drop running shoe) are not merely ranked low—they are entirely absent from all 900 AI responses. No consensus mechanism can surface a product that no engine has ever mentioned. This invisibility likely reflects a combination of training data under-representation, insufficient web presence for retrieval-augmented engines, and a self-reinforcing cycle in which popular brands generate more online content, which in turn increases their AI visibility.</w:t>
      </w:r>
    </w:p>
    <w:p>
      <w:pPr>
        <w:spacing w:after="200" w:line="360"/>
        <w:jc w:val="both"/>
      </w:pPr>
      <w:r>
        <w:rPr>
          <w:rFonts w:ascii="Times New Roman" w:cs="Times New Roman" w:eastAsia="Times New Roman" w:hAnsi="Times New Roman"/>
          <w:sz w:val="24"/>
          <w:szCs w:val="24"/>
        </w:rPr>
        <w:t xml:space="preserve">The practical consequence is stark: a consumer who relies on any single AI engine, or even on cross-engine consensus, will never encounter certain expert-validated products. This is not a calibration problem—it is a coverage problem, and it requires fundamentally different solutions, such as deliberate integration of expert product databases into AI retrieval pipelines.</w:t>
      </w:r>
    </w:p>
    <w:p>
      <w:pPr>
        <w:pStyle w:val="Heading2"/>
        <w:spacing w:after="160" w:before="280"/>
      </w:pPr>
      <w:r>
        <w:rPr>
          <w:rFonts w:ascii="Times New Roman" w:cs="Times New Roman" w:eastAsia="Times New Roman" w:hAnsi="Times New Roman"/>
          <w:b/>
          <w:bCs/>
          <w:sz w:val="24"/>
          <w:szCs w:val="24"/>
        </w:rPr>
        <w:t xml:space="preserve">5.2 The Counterintuitive Effect of Query Vagueness</w:t>
      </w:r>
    </w:p>
    <w:p>
      <w:pPr>
        <w:spacing w:after="200" w:line="360"/>
        <w:jc w:val="both"/>
      </w:pPr>
      <w:r>
        <w:rPr>
          <w:rFonts w:ascii="Times New Roman" w:cs="Times New Roman" w:eastAsia="Times New Roman" w:hAnsi="Times New Roman"/>
          <w:sz w:val="24"/>
          <w:szCs w:val="24"/>
        </w:rPr>
        <w:t xml:space="preserve">Our logistic regression revealed that vague queries (e.g., "What earbuds should I buy?") actually elicit more brand-specific recommendations than moderately specific queries (γ_vague = 0.157 vs. γ_moderate = 0, both relative to a common baseline). This appears to reflect a compensatory strategy: faced with an underspecified query, AI engines hedge by listing more brands rather than fewer, attempting to cover a wider range of possible consumer needs. While this increases the raw quantity of recommendations, our cross-engine analysis (Section 4.2) shows that consensus on these expanded lists is lower—engines list more brands but agree on fewer. The net effect is more recommendations of lower reliability.</w:t>
      </w:r>
    </w:p>
    <w:p>
      <w:pPr>
        <w:pStyle w:val="Heading2"/>
        <w:spacing w:after="160" w:before="280"/>
      </w:pPr>
      <w:r>
        <w:rPr>
          <w:rFonts w:ascii="Times New Roman" w:cs="Times New Roman" w:eastAsia="Times New Roman" w:hAnsi="Times New Roman"/>
          <w:b/>
          <w:bCs/>
          <w:sz w:val="24"/>
          <w:szCs w:val="24"/>
        </w:rPr>
        <w:t xml:space="preserve">5.3 Implications</w:t>
      </w:r>
    </w:p>
    <w:p>
      <w:pPr>
        <w:spacing w:after="200" w:line="360"/>
        <w:jc w:val="both"/>
      </w:pPr>
      <w:r>
        <w:rPr>
          <w:rFonts w:ascii="Times New Roman" w:cs="Times New Roman" w:eastAsia="Times New Roman" w:hAnsi="Times New Roman"/>
          <w:b/>
          <w:bCs/>
          <w:sz w:val="24"/>
          <w:szCs w:val="24"/>
        </w:rPr>
        <w:t xml:space="preserve">For consumers: </w:t>
      </w:r>
      <w:r>
        <w:rPr>
          <w:rFonts w:ascii="Times New Roman" w:cs="Times New Roman" w:eastAsia="Times New Roman" w:hAnsi="Times New Roman"/>
          <w:sz w:val="24"/>
          <w:szCs w:val="24"/>
        </w:rPr>
        <w:t xml:space="preserve">Our results suggest that relying on a single AI engine for shopping advice is roughly equivalent to consulting one of five experts who disagree 55% of the time. Consumers would benefit from cross-referencing multiple AI engines—a behavior that is rare in practice—or from tools that automate cross-engine comparison.</w:t>
      </w:r>
    </w:p>
    <w:p>
      <w:pPr>
        <w:spacing w:after="200" w:line="360"/>
        <w:jc w:val="both"/>
      </w:pPr>
      <w:r>
        <w:rPr>
          <w:rFonts w:ascii="Times New Roman" w:cs="Times New Roman" w:eastAsia="Times New Roman" w:hAnsi="Times New Roman"/>
          <w:b/>
          <w:bCs/>
          <w:sz w:val="24"/>
          <w:szCs w:val="24"/>
        </w:rPr>
        <w:t xml:space="preserve">For small brands and independent sellers: </w:t>
      </w:r>
      <w:r>
        <w:rPr>
          <w:rFonts w:ascii="Times New Roman" w:cs="Times New Roman" w:eastAsia="Times New Roman" w:hAnsi="Times New Roman"/>
          <w:sz w:val="24"/>
          <w:szCs w:val="24"/>
        </w:rPr>
        <w:t xml:space="preserve">The extreme brand concentration we document (Keychron alone accounts for 30% of keyboard recommendations) suggests that AI shopping assistants are creating a new form of market power. Brands without established web presence, extensive review coverage, and training data representation are functionally excluded from AI-mediated product discovery.</w:t>
      </w:r>
    </w:p>
    <w:p>
      <w:pPr>
        <w:spacing w:after="200" w:line="360"/>
        <w:jc w:val="both"/>
      </w:pPr>
      <w:r>
        <w:rPr>
          <w:rFonts w:ascii="Times New Roman" w:cs="Times New Roman" w:eastAsia="Times New Roman" w:hAnsi="Times New Roman"/>
          <w:b/>
          <w:bCs/>
          <w:sz w:val="24"/>
          <w:szCs w:val="24"/>
        </w:rPr>
        <w:t xml:space="preserve">For AI platforms: </w:t>
      </w:r>
      <w:r>
        <w:rPr>
          <w:rFonts w:ascii="Times New Roman" w:cs="Times New Roman" w:eastAsia="Times New Roman" w:hAnsi="Times New Roman"/>
          <w:sz w:val="24"/>
          <w:szCs w:val="24"/>
        </w:rPr>
        <w:t xml:space="preserve">The low self-consistency scores (no engine above 0.68) indicate that recommendation instability is a systemic property of current AI systems, not a quirk of individual models. This has implications for consumer trust: a user who receives different advice on consecutive queries may reasonably question the system's reliability.</w:t>
      </w:r>
    </w:p>
    <w:p>
      <w:pPr>
        <w:pStyle w:val="Heading2"/>
        <w:spacing w:after="160" w:before="280"/>
      </w:pPr>
      <w:r>
        <w:rPr>
          <w:rFonts w:ascii="Times New Roman" w:cs="Times New Roman" w:eastAsia="Times New Roman" w:hAnsi="Times New Roman"/>
          <w:b/>
          <w:bCs/>
          <w:sz w:val="24"/>
          <w:szCs w:val="24"/>
        </w:rPr>
        <w:t xml:space="preserve">5.4 Limitations</w:t>
      </w:r>
    </w:p>
    <w:p>
      <w:pPr>
        <w:spacing w:after="200" w:line="360"/>
        <w:jc w:val="both"/>
      </w:pPr>
      <w:r>
        <w:rPr>
          <w:rFonts w:ascii="Times New Roman" w:cs="Times New Roman" w:eastAsia="Times New Roman" w:hAnsi="Times New Roman"/>
          <w:sz w:val="24"/>
          <w:szCs w:val="24"/>
        </w:rPr>
        <w:t xml:space="preserve">Several limitations constrain the generalizability of our findings. First, we used only three repetitions per (query, engine) pair. While sufficient to identify patterns, this limits the precision of our self-consistency estimates and prevents rigorous statistical comparison of consistency across engines. Second, our four product categories, while spanning objective-to-subjective dimensions, do not cover all consumer domains; categories such as financial products, travel, or professional services may exhibit different recommendation dynamics. Third, we used each engine's lowest-cost model tier; premium models (GPT-5.5, Claude Opus 4.6, Gemini 2.5 Pro) may produce different and potentially more stable recommendations. Fourth, brand extraction relied on keyword matching against a curated list, which may miss brands not in our list or misidentify ambiguous mentions. Fifth, our expert validation used a single source (Wirecutter); triangulation with additional expert sources (RTINGS, Consumer Reports) would strengthen the validation. Finally, our logistic regression model treats brand visibility (α) as a fixed property, whereas in reality it may vary across query contexts—a brand may be highly visible for budget queries but invisible for premium queries.</w:t>
      </w:r>
    </w:p>
    <w:p>
      <w:pPr>
        <w:pStyle w:val="Heading2"/>
        <w:spacing w:after="160" w:before="280"/>
      </w:pPr>
      <w:r>
        <w:rPr>
          <w:rFonts w:ascii="Times New Roman" w:cs="Times New Roman" w:eastAsia="Times New Roman" w:hAnsi="Times New Roman"/>
          <w:b/>
          <w:bCs/>
          <w:sz w:val="24"/>
          <w:szCs w:val="24"/>
        </w:rPr>
        <w:t xml:space="preserve">5.5 Ethical Considerations</w:t>
      </w:r>
    </w:p>
    <w:p>
      <w:pPr>
        <w:spacing w:after="200" w:line="360"/>
        <w:jc w:val="both"/>
      </w:pPr>
      <w:r>
        <w:rPr>
          <w:rFonts w:ascii="Times New Roman" w:cs="Times New Roman" w:eastAsia="Times New Roman" w:hAnsi="Times New Roman"/>
          <w:sz w:val="24"/>
          <w:szCs w:val="24"/>
        </w:rPr>
        <w:t xml:space="preserve">This study uses only publicly available API endpoints and does not collect or store any user data. Responses were generated with default model settings and no attempts were made to circumvent safety mechanisms or terms of service. We note several ethical implications of our findings. First, the documented inconsistency and invisibility may disproportionately harm smaller brands and independent sellers who lack the resources to optimize for AI visibility—a concern that parallels documented algorithmic concentration effects in search engine and social media markets (Sandvig et al., 2014). Second, our findings should not be interpreted as a wholesale rejection of AI-assisted shopping; rather, they highlight specific, measurable dimensions of unreliability that can guide targeted improvements in transparency and coverage. Third, the authors disclose that the AgentShelf Score is developed by AgentShelf, a project with potential commercial applications, which may create incentives to present the metric favorably. We have mitigated this risk by open-sourcing all data, code, and analysis, and by validating the Score against both independent expert recommendations and an independently fitted statistical model. We encourage independent replication and extension of this work.</w:t>
      </w:r>
    </w:p>
    <w:p>
      <w:pPr>
        <w:pStyle w:val="Heading2"/>
        <w:spacing w:after="160" w:before="280"/>
      </w:pPr>
      <w:r>
        <w:rPr>
          <w:rFonts w:ascii="Times New Roman" w:cs="Times New Roman" w:eastAsia="Times New Roman" w:hAnsi="Times New Roman"/>
          <w:b/>
          <w:bCs/>
          <w:sz w:val="24"/>
          <w:szCs w:val="24"/>
        </w:rPr>
        <w:t xml:space="preserve">5.6 Future Work</w:t>
      </w:r>
    </w:p>
    <w:p>
      <w:pPr>
        <w:spacing w:after="200" w:line="360"/>
        <w:jc w:val="both"/>
      </w:pPr>
      <w:r>
        <w:rPr>
          <w:rFonts w:ascii="Times New Roman" w:cs="Times New Roman" w:eastAsia="Times New Roman" w:hAnsi="Times New Roman"/>
          <w:sz w:val="24"/>
          <w:szCs w:val="24"/>
        </w:rPr>
        <w:t xml:space="preserve">Several extensions would strengthen and broaden these findings. Expanding to 10+ repetitions would enable formal statistical tests of consistency differences. Temporal analysis—repeating the identical experiment one week and one month later—would reveal the stability of both recommendations and AgentShelf Scores over time. A more sophisticated probabilistic model, such as a Dawid-Skene crowdsourcing aggregation framework treating AI engines as noisy annotators, could estimate latent product quality with formal uncertainty quantification. Optimizing AgentShelf Score weights via cross-validated correlation with expert rankings (rather than our current a priori specification) would yield a more principled metric. Finally, extending the invisible brand analysis to systematically catalog all expert-recommended products absent from AI engines would provide a comprehensive "AI coverage map" of the consumer product landscape.</w:t>
      </w:r>
    </w:p>
    <w:p>
      <w:pPr>
        <w:pStyle w:val="Heading1"/>
        <w:spacing w:after="200" w:before="360"/>
      </w:pPr>
      <w:r>
        <w:rPr>
          <w:rFonts w:ascii="Times New Roman" w:cs="Times New Roman" w:eastAsia="Times New Roman" w:hAnsi="Times New Roman"/>
          <w:b/>
          <w:bCs/>
          <w:sz w:val="28"/>
          <w:szCs w:val="28"/>
        </w:rPr>
        <w:t xml:space="preserve">6. Conclusion</w:t>
      </w:r>
    </w:p>
    <w:p>
      <w:pPr>
        <w:spacing w:after="200" w:line="360"/>
        <w:jc w:val="both"/>
      </w:pPr>
      <w:r>
        <w:rPr>
          <w:rFonts w:ascii="Times New Roman" w:cs="Times New Roman" w:eastAsia="Times New Roman" w:hAnsi="Times New Roman"/>
          <w:sz w:val="24"/>
          <w:szCs w:val="24"/>
        </w:rPr>
        <w:t xml:space="preserve">We have presented the first cross-engine analysis of AI shopping recommendation consistency, revealing two independent failure modes: inconsistency (44.8% average agreement between engines) and invisibility (expert-recommended products entirely absent from all engines). The AgentShelf Score, a simple consensus metric, partially addresses the first problem (60% overlap with expert recommendations at the highest score tier) but is powerless against the second. A logistic decomposition confirms that brand-level visibility effects dominate recommendation behavior (α range: 2.7 log-odds units), with engine-level tendencies playing a secondary role (|β| &lt; 0.2). The strong correlation between model-derived visibility and AgentShelf Score (ρ = 0.791) validates the consensus approach while underscoring its fundamental limitation: it can only evaluate products that AI engines are willing to mention.</w:t>
      </w:r>
    </w:p>
    <w:p>
      <w:pPr>
        <w:spacing w:after="200" w:line="360"/>
        <w:jc w:val="both"/>
      </w:pPr>
      <w:r>
        <w:rPr>
          <w:rFonts w:ascii="Times New Roman" w:cs="Times New Roman" w:eastAsia="Times New Roman" w:hAnsi="Times New Roman"/>
          <w:sz w:val="24"/>
          <w:szCs w:val="24"/>
        </w:rPr>
        <w:t xml:space="preserve">All data (900 responses, 3,120 product mentions), analysis code, and the AgentShelf Score calculator are publicly available at https://github.com/Michaellyu11/agentshelf-score under an MIT license. We invite the research community to extend this work to additional categories, engines, languages, and temporal windows.</w:t>
      </w:r>
    </w:p>
    <w:p>
      <w:r>
        <w:br w:type="page"/>
      </w:r>
    </w:p>
    <w:p>
      <w:pPr>
        <w:pStyle w:val="Heading1"/>
        <w:spacing w:after="200" w:before="360"/>
      </w:pPr>
      <w:r>
        <w:rPr>
          <w:rFonts w:ascii="Times New Roman" w:cs="Times New Roman" w:eastAsia="Times New Roman" w:hAnsi="Times New Roman"/>
          <w:b/>
          <w:bCs/>
          <w:sz w:val="28"/>
          <w:szCs w:val="28"/>
        </w:rPr>
        <w:t xml:space="preserve">References</w:t>
      </w:r>
    </w:p>
    <w:p>
      <w:pPr>
        <w:spacing w:after="120"/>
        <w:ind w:left="480" w:hanging="480"/>
        <w:jc w:val="both"/>
      </w:pPr>
      <w:r>
        <w:rPr>
          <w:rFonts w:ascii="Times New Roman" w:cs="Times New Roman" w:eastAsia="Times New Roman" w:hAnsi="Times New Roman"/>
          <w:sz w:val="24"/>
          <w:szCs w:val="24"/>
        </w:rPr>
        <w:t xml:space="preserve">Aggarwal, P., Murahari, V., Rajpurohit, T., Kalyan, A., Narasimhan, K., &amp; Deshpande, A. (2024). GEO: Generative Engine Optimization. In Proceedings of KDD 2024, pp. 5–16. arXiv:2311.09735.</w:t>
      </w:r>
    </w:p>
    <w:p>
      <w:pPr>
        <w:spacing w:after="120"/>
        <w:ind w:left="480" w:hanging="480"/>
        <w:jc w:val="both"/>
      </w:pPr>
      <w:r>
        <w:rPr>
          <w:rFonts w:ascii="Times New Roman" w:cs="Times New Roman" w:eastAsia="Times New Roman" w:hAnsi="Times New Roman"/>
          <w:sz w:val="24"/>
          <w:szCs w:val="24"/>
        </w:rPr>
        <w:t xml:space="preserve">Atıl, B., Aykent, S., Chittams, A., Fu, L., Passonneau, R. J., et al. (2025). Non-Determinism of "Deterministic" LLM System Settings in Hosted Environments. In Eval4NLP 2025. arXiv:2408.04667.</w:t>
      </w:r>
    </w:p>
    <w:p>
      <w:pPr>
        <w:spacing w:after="120"/>
        <w:ind w:left="480" w:hanging="480"/>
        <w:jc w:val="both"/>
      </w:pPr>
      <w:r>
        <w:rPr>
          <w:rFonts w:ascii="Times New Roman" w:cs="Times New Roman" w:eastAsia="Times New Roman" w:hAnsi="Times New Roman"/>
          <w:sz w:val="24"/>
          <w:szCs w:val="24"/>
        </w:rPr>
        <w:t xml:space="preserve">Filandrianos, G., Dervakos, E., Menis-Mastromichalakis, O., Voulodimos, A., &amp; Stamou, G. (2025). Bias Beware: The Impact of Cognitive Biases on LLM-Driven Product Recommendations. arXiv:2502.01349.</w:t>
      </w:r>
    </w:p>
    <w:p>
      <w:pPr>
        <w:spacing w:after="120"/>
        <w:ind w:left="480" w:hanging="480"/>
        <w:jc w:val="both"/>
      </w:pPr>
      <w:r>
        <w:rPr>
          <w:rFonts w:ascii="Times New Roman" w:cs="Times New Roman" w:eastAsia="Times New Roman" w:hAnsi="Times New Roman"/>
          <w:sz w:val="24"/>
          <w:szCs w:val="24"/>
        </w:rPr>
        <w:t xml:space="preserve">Kamruzzaman, M., Nguyen, H. M., &amp; Kim, G. L. (2024). "Global is Good, Local is Bad?": Understanding Brand Bias in LLMs. In Proceedings of EMNLP 2024, pp. 12695–12702. arXiv:2406.13997.</w:t>
      </w:r>
    </w:p>
    <w:p>
      <w:pPr>
        <w:spacing w:after="120"/>
        <w:ind w:left="480" w:hanging="480"/>
        <w:jc w:val="both"/>
      </w:pPr>
      <w:r>
        <w:rPr>
          <w:rFonts w:ascii="Times New Roman" w:cs="Times New Roman" w:eastAsia="Times New Roman" w:hAnsi="Times New Roman"/>
          <w:sz w:val="24"/>
          <w:szCs w:val="24"/>
        </w:rPr>
        <w:t xml:space="preserve">Ojewale, V., Steed, R., Vecchione, B., Birhane, A., &amp; Raji, I. D. (2024). Towards AI Accountability Infrastructure: Gaps and Opportunities in AI Audit Tooling. In Proceedings of CHI 2025. arXiv:2402.17861.</w:t>
      </w:r>
    </w:p>
    <w:p>
      <w:pPr>
        <w:spacing w:after="120"/>
        <w:ind w:left="480" w:hanging="480"/>
        <w:jc w:val="both"/>
      </w:pPr>
      <w:r>
        <w:rPr>
          <w:rFonts w:ascii="Times New Roman" w:cs="Times New Roman" w:eastAsia="Times New Roman" w:hAnsi="Times New Roman"/>
          <w:sz w:val="24"/>
          <w:szCs w:val="24"/>
        </w:rPr>
        <w:t xml:space="preserve">Raji, I. D., Smart, A., White, R. N., Mitchell, M., Gebru, T., et al. (2020). Closing the AI Accountability Gap: Defining an End-to-End Framework for Internal Algorithmic Auditing. In Proceedings of FAT* 2020, pp. 33–44. arXiv:2001.00973.</w:t>
      </w:r>
    </w:p>
    <w:p>
      <w:pPr>
        <w:spacing w:after="120"/>
        <w:ind w:left="480" w:hanging="480"/>
        <w:jc w:val="both"/>
      </w:pPr>
      <w:r>
        <w:rPr>
          <w:rFonts w:ascii="Times New Roman" w:cs="Times New Roman" w:eastAsia="Times New Roman" w:hAnsi="Times New Roman"/>
          <w:sz w:val="24"/>
          <w:szCs w:val="24"/>
        </w:rPr>
        <w:t xml:space="preserve">Rienecker, J., Mpofu, K., Goel, N., Datta, S., Zhao, J., Danielsson, O., &amp; Thorsen, F. (2026). Auditing Preferences for Brands and Cultures in LLMs. arXiv:2603.18300.</w:t>
      </w:r>
    </w:p>
    <w:p>
      <w:pPr>
        <w:spacing w:after="120"/>
        <w:ind w:left="480" w:hanging="480"/>
        <w:jc w:val="both"/>
      </w:pPr>
      <w:r>
        <w:rPr>
          <w:rFonts w:ascii="Times New Roman" w:cs="Times New Roman" w:eastAsia="Times New Roman" w:hAnsi="Times New Roman"/>
          <w:sz w:val="24"/>
          <w:szCs w:val="24"/>
        </w:rPr>
        <w:t xml:space="preserve">Sandvig, C., Hamilton, K., Karahalios, K., &amp; Langbort, C. (2014). Auditing Algorithms: Research Methods for Detecting Discrimination on Internet Platforms. In Data and Discrimination, ICA Preconference.</w:t>
      </w:r>
    </w:p>
    <w:p>
      <w:pPr>
        <w:spacing w:after="120"/>
        <w:ind w:left="480" w:hanging="480"/>
        <w:jc w:val="both"/>
      </w:pPr>
      <w:r>
        <w:rPr>
          <w:rFonts w:ascii="Times New Roman" w:cs="Times New Roman" w:eastAsia="Times New Roman" w:hAnsi="Times New Roman"/>
          <w:sz w:val="24"/>
          <w:szCs w:val="24"/>
        </w:rPr>
        <w:t xml:space="preserve">Sharma, A. P. (2026). The Discovery Gap: How Product Hunt Startups Vanish in LLM Organic Discovery Queries. arXiv:2601.00912.</w:t>
      </w:r>
    </w:p>
    <w:p>
      <w:pPr>
        <w:spacing w:after="120"/>
        <w:ind w:left="480" w:hanging="480"/>
        <w:jc w:val="both"/>
      </w:pPr>
      <w:r>
        <w:rPr>
          <w:rFonts w:ascii="Times New Roman" w:cs="Times New Roman" w:eastAsia="Times New Roman" w:hAnsi="Times New Roman"/>
          <w:sz w:val="24"/>
          <w:szCs w:val="24"/>
        </w:rPr>
        <w:t xml:space="preserve">Song, W., Huang, Z., Cheng, C., Gao, W., Xu, B., Zhao, G., Wang, F., &amp; Wu, R. (2025). IRT-Router: Effective and Interpretable Multi-LLM Routing via Item Response Theory. In Proceedings of ACL 2025, pp. 15629–15644. arXiv:2506.01048.</w:t>
      </w:r>
    </w:p>
    <w:p>
      <w:pPr>
        <w:spacing w:after="120"/>
        <w:ind w:left="480" w:hanging="480"/>
        <w:jc w:val="both"/>
      </w:pPr>
      <w:r>
        <w:rPr>
          <w:rFonts w:ascii="Times New Roman" w:cs="Times New Roman" w:eastAsia="Times New Roman" w:hAnsi="Times New Roman"/>
          <w:sz w:val="24"/>
          <w:szCs w:val="24"/>
        </w:rPr>
        <w:t xml:space="preserve">Spatharioti, S. E., Rothschild, D. M., Goldstein, D. G., &amp; Hofman, J. M. (2023). Comparing Traditional and LLM-based Search for Consumer Choice: A Randomized Experiment. arXiv:2307.03744.</w:t>
      </w:r>
    </w:p>
    <w:p>
      <w:pPr>
        <w:spacing w:after="120"/>
        <w:ind w:left="480" w:hanging="480"/>
        <w:jc w:val="both"/>
      </w:pPr>
      <w:r>
        <w:rPr>
          <w:rFonts w:ascii="Times New Roman" w:cs="Times New Roman" w:eastAsia="Times New Roman" w:hAnsi="Times New Roman"/>
          <w:sz w:val="24"/>
          <w:szCs w:val="24"/>
        </w:rPr>
        <w:t xml:space="preserve">Tou, H., Zeng, Y., Li, Y., Ma, C., Li, M., et al. (2025). ShoppingComp: Are LLMs Really Ready for Your Shopping Cart? arXiv:2511.22978.</w:t>
      </w:r>
    </w:p>
    <w:p>
      <w:pPr>
        <w:spacing w:after="120"/>
        <w:ind w:left="480" w:hanging="480"/>
        <w:jc w:val="both"/>
      </w:pPr>
      <w:r>
        <w:rPr>
          <w:rFonts w:ascii="Times New Roman" w:cs="Times New Roman" w:eastAsia="Times New Roman" w:hAnsi="Times New Roman"/>
          <w:sz w:val="24"/>
          <w:szCs w:val="24"/>
        </w:rPr>
        <w:t xml:space="preserve">Wang, J., Xiao, K., Sun, Q., Zhao, H., Luo, T., Zhang, J. D., &amp; Zeng, X. (2025). ShoppingBench: A Real-World Intent-Grounded Shopping Benchmark for LLM-based Agents. arXiv:2508.04266.</w:t>
      </w:r>
    </w:p>
    <w:p>
      <w:pPr>
        <w:spacing w:after="120"/>
        <w:ind w:left="480" w:hanging="480"/>
        <w:jc w:val="both"/>
      </w:pPr>
      <w:r>
        <w:rPr>
          <w:rFonts w:ascii="Times New Roman" w:cs="Times New Roman" w:eastAsia="Times New Roman" w:hAnsi="Times New Roman"/>
          <w:sz w:val="24"/>
          <w:szCs w:val="24"/>
        </w:rPr>
        <w:t xml:space="preserve">Xu, K., Potka, S., &amp; Thomo, A. (2026). Gender and Race Bias in Consumer Product Recommendations by Large Language Models. arXiv:2602.08124.</w:t>
      </w:r>
    </w:p>
    <w:p>
      <w:pPr>
        <w:spacing w:after="120"/>
        <w:ind w:left="480" w:hanging="480"/>
        <w:jc w:val="both"/>
      </w:pPr>
      <w:r>
        <w:rPr>
          <w:rFonts w:ascii="Times New Roman" w:cs="Times New Roman" w:eastAsia="Times New Roman" w:hAnsi="Times New Roman"/>
          <w:sz w:val="24"/>
          <w:szCs w:val="24"/>
        </w:rPr>
        <w:t xml:space="preserve">Yao, S., Chen, H., Yang, J., &amp; Narasimhan, K. (2022). WebShop: Towards Scalable Real-World Web Interaction with Grounded Language Agents. In NeurIPS 2022, pp. 20744–20757.</w:t>
      </w:r>
    </w:p>
    <w:p>
      <w:pPr>
        <w:spacing w:after="120"/>
        <w:ind w:left="480" w:hanging="480"/>
        <w:jc w:val="both"/>
      </w:pPr>
      <w:r>
        <w:rPr>
          <w:rFonts w:ascii="Times New Roman" w:cs="Times New Roman" w:eastAsia="Times New Roman" w:hAnsi="Times New Roman"/>
          <w:sz w:val="24"/>
          <w:szCs w:val="24"/>
        </w:rPr>
        <w:t xml:space="preserve">Zhi, Y., Liu, Y., Yu, Y., Yang, J., Wang, X., Li, L., &amp; Su, T. (2025). Exposing Product Bias in LLM Investment Recommendation. arXiv:2503.08750.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2026-05-10T23:39:33.798Z</dcterms:created>
  <dcterms:modified xsi:type="dcterms:W3CDTF">2026-05-10T23:39:33.814Z</dcterms:modified>
</cp:coreProperties>
</file>

<file path=docProps/custom.xml><?xml version="1.0" encoding="utf-8"?>
<Properties xmlns="http://schemas.openxmlformats.org/officeDocument/2006/custom-properties" xmlns:vt="http://schemas.openxmlformats.org/officeDocument/2006/docPropsVTypes"/>
</file>