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Bollinger Bands (2sd)</w:t>
      </w:r>
    </w:p>
    <w:p>
      <w:pPr>
        <w:pStyle w:val="Heading2"/>
      </w:pPr>
      <w:r>
        <w:t>Python Code</w:t>
      </w:r>
    </w:p>
    <w:p>
      <w:r>
        <w:br/>
        <w:t># Define the Bollinger Bands with 2-sd</w:t>
        <w:br/>
        <w:t>upper_2sd, mid_2sd, lower_2sd = talib.BBANDS(bitcoin_data['Close'],</w:t>
        <w:br/>
        <w:t xml:space="preserve">                                             timeperiod=20,</w:t>
        <w:br/>
        <w:t xml:space="preserve">                                             nbdevup=2,</w:t>
        <w:br/>
        <w:t xml:space="preserve">                                             nbdevdn=2,</w:t>
        <w:br/>
        <w:t xml:space="preserve">                                             matype=0)</w:t>
        <w:br/>
        <w:br/>
        <w:t># Plot the upper and lower Bollinger Bands</w:t>
        <w:br/>
        <w:t>plt.plot(bitcoin_data['Close'], color='green', label='Price')</w:t>
        <w:br/>
        <w:t>plt.plot(upper_2sd, color='orange', label='Upper 2sd')</w:t>
        <w:br/>
        <w:t>plt.plot(lower_2sd, color='orange', label='Lower 2sd')</w:t>
        <w:br/>
        <w:br/>
        <w:t># Customize and show the plot</w:t>
        <w:br/>
        <w:t>plt.legend(loc='upper left')</w:t>
        <w:br/>
        <w:t>plt.title('Bollinger Bands (2sd)')</w:t>
        <w:br/>
        <w:t>plt.show()</w:t>
        <w:br/>
      </w:r>
    </w:p>
    <w:p>
      <w:pPr>
        <w:pStyle w:val="Heading2"/>
      </w:pPr>
      <w:r>
        <w:t>Simple Explanation (50 Words)</w:t>
      </w:r>
    </w:p>
    <w:p>
      <w:r>
        <w:t>This code computes Bollinger Bands using 2 standard deviations above and below the 20-day average. These wider bands show more extreme volatility, giving a clearer signal when the price is unusually high or low. Traders use them to spot potential price reversals or trends.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45432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7b97d9-ff9e-4d31-9395-0462700c5a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2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