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Define and Backtest a Simple Strategy</w:t>
      </w:r>
    </w:p>
    <w:p>
      <w:r>
        <w:drawing>
          <wp:inline xmlns:a="http://schemas.openxmlformats.org/drawingml/2006/main" xmlns:pic="http://schemas.openxmlformats.org/drawingml/2006/picture">
            <wp:extent cx="5486400" cy="34466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2abc5d-acd5-4954-be83-8d3ac885c2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6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Python Code</w:t>
      </w:r>
    </w:p>
    <w:p>
      <w:r>
        <w:br/>
        <w:t># Print the top five rows</w:t>
        <w:br/>
        <w:t>print(bt_data.head())</w:t>
        <w:br/>
      </w:r>
    </w:p>
    <w:p>
      <w:pPr>
        <w:pStyle w:val="Heading2"/>
      </w:pPr>
      <w:r>
        <w:t>Explanation (50 Words)</w:t>
      </w:r>
    </w:p>
    <w:p>
      <w:r>
        <w:t xml:space="preserve">To begin backtesting the FAANG strategy, we first inspect the top 5 rows of the historical price data stored in `bt_data`. </w:t>
        <w:br/>
        <w:t xml:space="preserve">This helps ensure the dataset is correctly loaded and formatted before we define the strategy and proceed with rebalancing </w:t>
        <w:br/>
        <w:t>and testing portfolio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