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658D517"/>
    <w:p w14:paraId="5960AFF4">
      <w:pPr>
        <w:spacing w:before="4800"/>
      </w:pPr>
    </w:p>
    <w:p w14:paraId="5A6BE8C6">
      <w:pPr>
        <w:spacing w:after="200"/>
        <w:ind w:left="1200" w:right="1200"/>
        <w:jc w:val="center"/>
        <w:rPr>
          <w:rFonts w:hint="default"/>
          <w:lang w:val="en-US"/>
        </w:rPr>
      </w:pPr>
      <w:r>
        <w:rPr>
          <w:b/>
          <w:color w:val="2A3D45"/>
          <w:spacing w:val="30"/>
          <w:sz w:val="72"/>
        </w:rPr>
        <w:t>Bioinformatic</w:t>
      </w:r>
      <w:r>
        <w:rPr>
          <w:rFonts w:hint="default"/>
          <w:b/>
          <w:color w:val="2A3D45"/>
          <w:spacing w:val="30"/>
          <w:sz w:val="72"/>
          <w:lang w:val="en-US"/>
        </w:rPr>
        <w:t>s</w:t>
      </w:r>
    </w:p>
    <w:p w14:paraId="42E3634D">
      <w:pPr>
        <w:spacing w:after="400"/>
        <w:ind w:left="1200" w:right="1200"/>
        <w:jc w:val="center"/>
      </w:pPr>
      <w:r>
        <w:rPr>
          <w:rFonts w:hint="default"/>
          <w:b/>
          <w:color w:val="2A3D45"/>
          <w:spacing w:val="30"/>
          <w:sz w:val="72"/>
          <w:lang w:val="en-US"/>
        </w:rPr>
        <w:t xml:space="preserve">Analysis </w:t>
      </w:r>
      <w:r>
        <w:rPr>
          <w:b/>
          <w:color w:val="2A3D45"/>
          <w:spacing w:val="30"/>
          <w:sz w:val="72"/>
        </w:rPr>
        <w:t>Report</w:t>
      </w:r>
    </w:p>
    <w:p w14:paraId="74C8FE1C">
      <w:pPr>
        <w:spacing w:after="200"/>
        <w:ind w:left="1200" w:right="1200"/>
        <w:jc w:val="center"/>
      </w:pPr>
      <w:r>
        <w:rPr>
          <w:color w:val="4A5F6A"/>
          <w:sz w:val="28"/>
        </w:rPr>
        <w:t>Somatic Variant Calling: Tumor vs. Control Analysis</w:t>
      </w:r>
    </w:p>
    <w:p w14:paraId="22E0BBEE">
      <w:pPr>
        <w:spacing w:after="3000"/>
        <w:ind w:left="1200" w:right="1200"/>
        <w:jc w:val="center"/>
      </w:pPr>
      <w:r>
        <w:rPr>
          <w:color w:val="7A8F99"/>
          <w:sz w:val="22"/>
        </w:rPr>
        <w:t xml:space="preserve">Patient 14  |  </w:t>
      </w:r>
      <w:bookmarkStart w:id="9" w:name="_GoBack"/>
      <w:bookmarkEnd w:id="9"/>
      <w:r>
        <w:rPr>
          <w:color w:val="7A8F99"/>
          <w:sz w:val="22"/>
        </w:rPr>
        <w:t>Whole Genome Sequencing</w:t>
      </w:r>
    </w:p>
    <w:p w14:paraId="524E3B6E">
      <w:pPr>
        <w:jc w:val="center"/>
      </w:pPr>
      <w:r>
        <w:rPr>
          <w:color w:val="7A8F99"/>
          <w:sz w:val="20"/>
        </w:rPr>
        <w:t>Andrii Popovych  &amp;  Mykhailo Chepara</w:t>
      </w:r>
    </w:p>
    <w:p w14:paraId="5E709A49">
      <w:pPr>
        <w:sectPr>
          <w:pgSz w:w="11906" w:h="16838"/>
          <w:pgMar w:top="0" w:right="0" w:bottom="0" w:left="0" w:header="0" w:footer="0" w:gutter="0"/>
          <w:cols w:space="720" w:num="1"/>
          <w:titlePg/>
        </w:sectPr>
      </w:pPr>
    </w:p>
    <w:p w14:paraId="16477E01">
      <w:pPr>
        <w:pStyle w:val="2"/>
      </w:pPr>
      <w:r>
        <w:t>Table of Contents</w:t>
      </w:r>
    </w:p>
    <w:p w14:paraId="4045E009">
      <w:r>
        <w:fldChar w:fldCharType="begin"/>
      </w:r>
      <w:r>
        <w:instrText xml:space="preserve"> TOC \o "1-3" \h \z \u </w:instrText>
      </w:r>
      <w:r>
        <w:fldChar w:fldCharType="separate"/>
      </w:r>
    </w:p>
    <w:p w14:paraId="7200AB69">
      <w:pPr>
        <w:pStyle w:val="10"/>
      </w:pPr>
      <w:r>
        <w:t>Introduction</w:t>
      </w:r>
      <w:r>
        <w:tab/>
      </w:r>
      <w:r>
        <w:t>3</w:t>
      </w:r>
    </w:p>
    <w:p w14:paraId="1CF38DA3">
      <w:pPr>
        <w:pStyle w:val="10"/>
      </w:pPr>
      <w:r>
        <w:t>Analysis Pipeline</w:t>
      </w:r>
      <w:r>
        <w:tab/>
      </w:r>
      <w:r>
        <w:t>3</w:t>
      </w:r>
    </w:p>
    <w:p w14:paraId="16ECF50F">
      <w:pPr>
        <w:pStyle w:val="10"/>
      </w:pPr>
      <w:r>
        <w:t>Raw Data Quality Control</w:t>
      </w:r>
      <w:r>
        <w:tab/>
      </w:r>
      <w:r>
        <w:t>4</w:t>
      </w:r>
    </w:p>
    <w:p w14:paraId="682F262F">
      <w:pPr>
        <w:pStyle w:val="10"/>
      </w:pPr>
      <w:r>
        <w:t>Read Alignment</w:t>
      </w:r>
      <w:r>
        <w:tab/>
      </w:r>
      <w:r>
        <w:t>5</w:t>
      </w:r>
    </w:p>
    <w:p w14:paraId="216622A1">
      <w:pPr>
        <w:pStyle w:val="10"/>
      </w:pPr>
      <w:r>
        <w:t>Post-Processing</w:t>
      </w:r>
      <w:r>
        <w:tab/>
      </w:r>
      <w:r>
        <w:t>5</w:t>
      </w:r>
    </w:p>
    <w:p w14:paraId="7E5C2AC1">
      <w:pPr>
        <w:pStyle w:val="10"/>
      </w:pPr>
      <w:r>
        <w:t>Post-Alignment Quality Control</w:t>
      </w:r>
      <w:r>
        <w:tab/>
      </w:r>
      <w:r>
        <w:t>6</w:t>
      </w:r>
    </w:p>
    <w:p w14:paraId="5E41C610">
      <w:pPr>
        <w:pStyle w:val="10"/>
      </w:pPr>
      <w:r>
        <w:t>Variant Calling Results</w:t>
      </w:r>
      <w:r>
        <w:tab/>
      </w:r>
      <w:r>
        <w:t>7</w:t>
      </w:r>
    </w:p>
    <w:p w14:paraId="317E8CF6">
      <w:pPr>
        <w:pStyle w:val="10"/>
      </w:pPr>
      <w:r>
        <w:t>Annotation and Clinical Interpretation</w:t>
      </w:r>
      <w:r>
        <w:tab/>
      </w:r>
      <w:r>
        <w:t>8</w:t>
      </w:r>
    </w:p>
    <w:p w14:paraId="2AA78BB6">
      <w:pPr>
        <w:pStyle w:val="10"/>
      </w:pPr>
      <w:r>
        <w:t>Conclusions</w:t>
      </w:r>
      <w:r>
        <w:tab/>
      </w:r>
      <w:r>
        <w:t>10</w:t>
      </w:r>
    </w:p>
    <w:p w14:paraId="1044805A">
      <w:r>
        <w:fldChar w:fldCharType="end"/>
      </w:r>
    </w:p>
    <w:p w14:paraId="33F0C581">
      <w:pPr>
        <w:sectPr>
          <w:pgSz w:w="11906" w:h="16838"/>
          <w:pgMar w:top="1800" w:right="1440" w:bottom="1440" w:left="1440" w:header="720" w:footer="720" w:gutter="0"/>
          <w:cols w:space="720" w:num="1"/>
        </w:sectPr>
      </w:pPr>
    </w:p>
    <w:p w14:paraId="6882B5AE">
      <w:pPr>
        <w:pStyle w:val="2"/>
      </w:pPr>
      <w:r>
        <w:t>Introduction</w:t>
      </w:r>
      <w:bookmarkStart w:id="0" w:name="_Toc001"/>
      <w:bookmarkEnd w:id="0"/>
    </w:p>
    <w:p w14:paraId="74B1EAA2">
      <w:r>
        <w:t>This report presents a comprehensive bioinformatic analysis of whole genome sequencing data from Patient 14, comprising paired tumor and control (normal) tissue samples. The primary objective is to identify somatic mutations, structural variants, and copy number variations that may be driving the oncogenic process.</w:t>
      </w:r>
    </w:p>
    <w:p w14:paraId="0ADC5B35">
      <w:r>
        <w:t>The analysis follows the GATK Best Practices for Somatic Short Variant Discovery, incorporating industry-standard tools for quality control, alignment, variant calling, and functional annotation. All procedures were executed through an automated Bash pipeline designed for reproducibility and scalability.</w:t>
      </w:r>
    </w:p>
    <w:p w14:paraId="4A8015A2">
      <w:pPr>
        <w:pStyle w:val="2"/>
      </w:pPr>
      <w:r>
        <w:t>Analysis Pipeline</w:t>
      </w:r>
      <w:bookmarkStart w:id="1" w:name="_Toc002"/>
      <w:bookmarkEnd w:id="1"/>
    </w:p>
    <w:p w14:paraId="319D3FDF">
      <w:r>
        <w:t>The bioinformatic workflow was implemented as a modular pipeline with seven sequential stages:</w:t>
      </w:r>
    </w:p>
    <w:p w14:paraId="537ADFB5">
      <w:pPr>
        <w:numPr>
          <w:ilvl w:val="0"/>
          <w:numId w:val="1"/>
        </w:numPr>
      </w:pPr>
      <w:r>
        <w:rPr>
          <w:b/>
        </w:rPr>
        <w:t>Raw Data Quality Control —</w:t>
      </w:r>
      <w:r>
        <w:rPr>
          <w:rFonts w:hint="default"/>
          <w:b/>
          <w:lang w:val="en-US"/>
        </w:rPr>
        <w:t xml:space="preserve"> </w:t>
      </w:r>
      <w:r>
        <w:t>Assessment of raw FASTQ files using FastQC; trimming and adapter removal with fastp; read synchronization with seqkit</w:t>
      </w:r>
    </w:p>
    <w:p w14:paraId="7B113F1A">
      <w:pPr>
        <w:numPr>
          <w:ilvl w:val="0"/>
          <w:numId w:val="1"/>
        </w:numPr>
      </w:pPr>
      <w:r>
        <w:rPr>
          <w:b/>
        </w:rPr>
        <w:t>Read Alignment —</w:t>
      </w:r>
      <w:r>
        <w:rPr>
          <w:rFonts w:hint="default"/>
          <w:b/>
          <w:lang w:val="en-US"/>
        </w:rPr>
        <w:t xml:space="preserve"> </w:t>
      </w:r>
      <w:r>
        <w:t>BWA-MEM alignment to the GRCh38/hg38 reference genome; SAM to BAM conversion and sorting with samtools</w:t>
      </w:r>
    </w:p>
    <w:p w14:paraId="5E7CEEC8">
      <w:pPr>
        <w:numPr>
          <w:ilvl w:val="0"/>
          <w:numId w:val="1"/>
        </w:numPr>
      </w:pPr>
      <w:r>
        <w:rPr>
          <w:b/>
        </w:rPr>
        <w:t>Data Cleaning (Post-Processing) —</w:t>
      </w:r>
      <w:r>
        <w:rPr>
          <w:rFonts w:hint="default"/>
          <w:b/>
          <w:lang w:val="en-US"/>
        </w:rPr>
        <w:t xml:space="preserve"> </w:t>
      </w:r>
      <w:r>
        <w:t>Duplicate marking with GATK MarkDuplicatesSpark; base quality score recalibration (BQSR); contamination estimation via GetPileupSummaries and CalculateContamination</w:t>
      </w:r>
    </w:p>
    <w:p w14:paraId="1E7D1619">
      <w:pPr>
        <w:numPr>
          <w:ilvl w:val="0"/>
          <w:numId w:val="1"/>
        </w:numPr>
      </w:pPr>
      <w:r>
        <w:rPr>
          <w:b/>
        </w:rPr>
        <w:t>Post-Alignment Quality Control —</w:t>
      </w:r>
      <w:r>
        <w:rPr>
          <w:rFonts w:hint="default"/>
          <w:b/>
          <w:lang w:val="en-US"/>
        </w:rPr>
        <w:t xml:space="preserve"> </w:t>
      </w:r>
      <w:r>
        <w:t>Statistical assessment with samtools flagstat and qualimap bamqc</w:t>
      </w:r>
    </w:p>
    <w:p w14:paraId="5FE713B2">
      <w:pPr>
        <w:numPr>
          <w:ilvl w:val="0"/>
          <w:numId w:val="1"/>
        </w:numPr>
      </w:pPr>
      <w:r>
        <w:rPr>
          <w:b/>
        </w:rPr>
        <w:t>Variant Calling —</w:t>
      </w:r>
      <w:r>
        <w:rPr>
          <w:rFonts w:hint="default"/>
          <w:b/>
          <w:lang w:val="en-US"/>
        </w:rPr>
        <w:t xml:space="preserve"> </w:t>
      </w:r>
      <w:r>
        <w:t>Somatic SNV/indel detection with GATK Mutect2; structural variant calling with Manta; copy number variation analysis with CNVkit</w:t>
      </w:r>
    </w:p>
    <w:p w14:paraId="2AD36003">
      <w:pPr>
        <w:numPr>
          <w:ilvl w:val="0"/>
          <w:numId w:val="1"/>
        </w:numPr>
      </w:pPr>
      <w:r>
        <w:rPr>
          <w:b/>
        </w:rPr>
        <w:t>Gleaning and Annotation —</w:t>
      </w:r>
      <w:r>
        <w:rPr>
          <w:rFonts w:hint="default"/>
          <w:b/>
          <w:lang w:val="en-US"/>
        </w:rPr>
        <w:t xml:space="preserve"> </w:t>
      </w:r>
      <w:r>
        <w:t>Functional annotation with GATK Funcotator; external validation via Variant Effect Predictor (VEP)</w:t>
      </w:r>
      <w:r>
        <w:rPr>
          <w:rFonts w:hint="default"/>
          <w:lang w:val="en-US"/>
        </w:rPr>
        <w:t xml:space="preserve"> Web Tool and Desktop Application</w:t>
      </w:r>
    </w:p>
    <w:p w14:paraId="7C924848">
      <w:pPr>
        <w:numPr>
          <w:ilvl w:val="0"/>
          <w:numId w:val="1"/>
        </w:numPr>
      </w:pPr>
      <w:r>
        <w:rPr>
          <w:b/>
        </w:rPr>
        <w:t>Reporting —</w:t>
      </w:r>
      <w:r>
        <w:rPr>
          <w:rFonts w:hint="default"/>
          <w:b/>
          <w:lang w:val="en-US"/>
        </w:rPr>
        <w:t xml:space="preserve"> </w:t>
      </w:r>
      <w:r>
        <w:t>Consolidation of findings into a structured clinical report</w:t>
      </w:r>
    </w:p>
    <w:p w14:paraId="73905213">
      <w:r>
        <w:t>All computations were performed on paired-end Illumina sequencing data (2 x 101 bp reads). The hg38 reference genome was used throughout the analysis, supplemented with dbSNP build 138 and ExAC common variant sites for calibration and filtering.</w:t>
      </w:r>
    </w:p>
    <w:p w14:paraId="1F379E95">
      <w:pPr>
        <w:pStyle w:val="2"/>
      </w:pPr>
      <w:r>
        <w:t>Raw Data Quality Control</w:t>
      </w:r>
      <w:bookmarkStart w:id="2" w:name="_Toc003"/>
      <w:bookmarkEnd w:id="2"/>
    </w:p>
    <w:p w14:paraId="097E3C47">
      <w:pPr>
        <w:pStyle w:val="3"/>
      </w:pPr>
      <w:r>
        <w:t>Pre-Trimming Assessment</w:t>
      </w:r>
    </w:p>
    <w:p w14:paraId="1311D562">
      <w:r>
        <w:t>Initial quality control was performed on all four FASTQ files (Control R1/R2, Tumor R1/R2) using FastQC. Key observations:</w:t>
      </w:r>
    </w:p>
    <w:p w14:paraId="7485D078">
      <w:pPr>
        <w:ind w:left="720" w:hanging="360"/>
      </w:pPr>
      <w:r>
        <w:t>•  All samples maintained average Phred scores above 30, indicating high base-calling accuracy</w:t>
      </w:r>
    </w:p>
    <w:p w14:paraId="136CBFD5">
      <w:pPr>
        <w:ind w:left="720" w:hanging="360"/>
      </w:pPr>
      <w:r>
        <w:t>•  Read lengths were uniformly 101 bp across all datasets</w:t>
      </w:r>
    </w:p>
    <w:p w14:paraId="77E88510">
      <w:pPr>
        <w:ind w:left="720" w:hanging="360"/>
      </w:pPr>
      <w:r>
        <w:t>•  No adapter contamination or overrepresented sequences were detected</w:t>
      </w:r>
    </w:p>
    <w:p w14:paraId="5788C1D3">
      <w:pPr>
        <w:ind w:left="720" w:hanging="360"/>
      </w:pPr>
      <w:r>
        <w:t>•  No undefined bases (N) were present in any sample</w:t>
      </w:r>
    </w:p>
    <w:p w14:paraId="487624D4">
      <w:pPr>
        <w:ind w:left="720" w:hanging="360"/>
      </w:pPr>
      <w:r>
        <w:t>•  Duplication rates ranged from 12.43% (Control R2) to 18.49% (Tumor R1), within acceptable limits</w:t>
      </w:r>
    </w:p>
    <w:p w14:paraId="1799C212">
      <w:pPr>
        <w:ind w:left="720" w:hanging="360"/>
      </w:pPr>
      <w:r>
        <w:t>•  GC content in control samples showed bimodal distribution suggesting potential contamination, while tumor samples displayed irregular non-Gaussian profiles consistent with genomic instability</w:t>
      </w:r>
    </w:p>
    <w:p w14:paraId="47C65B19">
      <w:pPr>
        <w:ind w:left="720" w:hanging="360"/>
      </w:pPr>
      <w:r>
        <w:t>•  Tiles 1101, 1201, and 1301 in R2 reads exhibited localized quality reduction</w:t>
      </w:r>
    </w:p>
    <w:p w14:paraId="5ABC03E2">
      <w:pPr>
        <w:pStyle w:val="3"/>
      </w:pPr>
      <w:r>
        <w:t>Post-Trimming Results</w:t>
      </w:r>
    </w:p>
    <w:p w14:paraId="171A661F">
      <w:r>
        <w:t>Following adapter trimming and quality filtering with fastp (minimum length: 36 bp; sliding window: 4 bp, mean quality threshold: Q15), all quality metrics improved substantially:</w:t>
      </w:r>
    </w:p>
    <w:p w14:paraId="612DE76E">
      <w:pPr>
        <w:ind w:left="720" w:hanging="360"/>
      </w:pPr>
      <w:r>
        <w:t>•  Average Phred scores increased to strictly above 32 across all reads</w:t>
      </w:r>
    </w:p>
    <w:p w14:paraId="124605D3">
      <w:pPr>
        <w:ind w:left="720" w:hanging="360"/>
      </w:pPr>
      <w:r>
        <w:t>•  Low-quality read subsets (previously peaking at Q2) were completely eliminated</w:t>
      </w:r>
    </w:p>
    <w:p w14:paraId="5AAB7D37">
      <w:pPr>
        <w:ind w:left="720" w:hanging="360"/>
      </w:pPr>
      <w:r>
        <w:t>•  End-of-read quality degradation was effectively resolved</w:t>
      </w:r>
    </w:p>
    <w:p w14:paraId="423E9250">
      <w:pPr>
        <w:ind w:left="720" w:hanging="360"/>
      </w:pPr>
      <w:r>
        <w:t>•  Bimodal GC distributions persisted post-trimming, confirming biological rather than technical origin</w:t>
      </w:r>
    </w:p>
    <w:p w14:paraId="4F794E78">
      <w:pPr>
        <w:pStyle w:val="2"/>
      </w:pPr>
      <w:r>
        <w:t>Read Alignment</w:t>
      </w:r>
      <w:bookmarkStart w:id="3" w:name="_Toc004"/>
      <w:bookmarkEnd w:id="3"/>
    </w:p>
    <w:p w14:paraId="402243CA">
      <w:r>
        <w:t>Cleaned reads were aligned to the GRCh38/hg38 reference genome using BWA-MEM with the following parameters: 4 threads, Mate-Cigar tagging for Picard compatibility, and explicit read group headers specifying sample identity, library, and sequencing platform (ILLUMINA).</w:t>
      </w:r>
    </w:p>
    <w:p w14:paraId="04E6CC44">
      <w:r>
        <w:t>Post-alignment, SAM files were converted to BAM format, sorted by coordinate, and indexed using samtools. Alignment verification was performed via samtools flagstat and qualimap bamqc.</w:t>
      </w:r>
    </w:p>
    <w:p w14:paraId="1B0F75E0">
      <w:pPr>
        <w:pStyle w:val="2"/>
      </w:pPr>
      <w:r>
        <w:t>Post-Processing</w:t>
      </w:r>
      <w:bookmarkStart w:id="4" w:name="_Toc005"/>
      <w:bookmarkEnd w:id="4"/>
    </w:p>
    <w:p w14:paraId="69872AD7">
      <w:r>
        <w:t>The aligned BAM files underwent systematic cleaning to prepare them for variant calling:</w:t>
      </w:r>
    </w:p>
    <w:p w14:paraId="6A1D79A1">
      <w:pPr>
        <w:pStyle w:val="3"/>
      </w:pPr>
      <w:r>
        <w:t>Duplicate Marking</w:t>
      </w:r>
    </w:p>
    <w:p w14:paraId="1FA1EE94">
      <w:r>
        <w:t>PCR duplicates were identified using GATK MarkDuplicatesSpark. Both samples exhibited exceptionally low duplication rates: Control at 0.022% and Tumor at 0.020%. Optical duplicates were minimal (12 reads each), confirming high library complexity and consistent instrument performance.</w:t>
      </w:r>
    </w:p>
    <w:p w14:paraId="1F3B87BD">
      <w:pPr>
        <w:pStyle w:val="3"/>
      </w:pPr>
      <w:r>
        <w:t>Base Quality Score Recalibration</w:t>
      </w:r>
    </w:p>
    <w:p w14:paraId="671FBFF6">
      <w:r>
        <w:t>Systematic errors in base quality estimates were corrected using GATK BaseRecalibrator and ApplyBQSR, with dbSNP build 138 as known variant sites. This step adjusts quality scores to be more accurate representations of true error probabilities.</w:t>
      </w:r>
    </w:p>
    <w:p w14:paraId="056DD623">
      <w:pPr>
        <w:pStyle w:val="3"/>
      </w:pPr>
      <w:r>
        <w:t>Contamination Assessment</w:t>
      </w:r>
    </w:p>
    <w:p w14:paraId="581A7C76">
      <w:r>
        <w:t>Cross-sample contamination was evaluated using GATK GetPileupSummaries against common ExAC variants, followed by CalculateContamination. The tumor sample showed minimal contamination, well within acceptable thresholds for somatic variant detection.</w:t>
      </w:r>
    </w:p>
    <w:p w14:paraId="27B8C6BB">
      <w:pPr>
        <w:pStyle w:val="2"/>
      </w:pPr>
      <w:r>
        <w:t>Post-Alignment Quality Control</w:t>
      </w:r>
      <w:bookmarkStart w:id="5" w:name="_Toc006"/>
      <w:bookmarkEnd w:id="5"/>
    </w:p>
    <w:p w14:paraId="2A322AD7">
      <w:r>
        <w:t>Comprehensive quality assessment of processed alignments yielded excellent metrics for both samples:</w:t>
      </w:r>
    </w:p>
    <w:tbl>
      <w:tblPr>
        <w:tblStyle w:val="6"/>
        <w:tblW w:w="5000" w:type="pct"/>
        <w:tblInd w:w="0" w:type="dxa"/>
        <w:tblBorders>
          <w:top w:val="single" w:color="3D7A8C" w:sz="12" w:space="0"/>
          <w:left w:val="none" w:color="auto" w:sz="0" w:space="0"/>
          <w:bottom w:val="single" w:color="3D7A8C" w:sz="12" w:space="0"/>
          <w:right w:val="none" w:color="auto" w:sz="0" w:space="0"/>
          <w:insideH w:val="single" w:color="C8D8DE" w:sz="4" w:space="0"/>
          <w:insideV w:val="none" w:color="auto" w:sz="0" w:space="0"/>
        </w:tblBorders>
        <w:tblLayout w:type="autofit"/>
        <w:tblCellMar>
          <w:top w:w="0" w:type="dxa"/>
          <w:left w:w="10" w:type="dxa"/>
          <w:bottom w:w="0" w:type="dxa"/>
          <w:right w:w="10" w:type="dxa"/>
        </w:tblCellMar>
      </w:tblPr>
      <w:tblGrid>
        <w:gridCol w:w="3724"/>
        <w:gridCol w:w="2661"/>
        <w:gridCol w:w="2661"/>
      </w:tblGrid>
      <w:tr w14:paraId="159CC977">
        <w:tblPrEx>
          <w:tblBorders>
            <w:top w:val="single" w:color="3D7A8C" w:sz="12" w:space="0"/>
            <w:left w:val="none" w:color="auto" w:sz="0" w:space="0"/>
            <w:bottom w:val="single" w:color="3D7A8C" w:sz="12" w:space="0"/>
            <w:right w:val="none" w:color="auto" w:sz="0" w:space="0"/>
            <w:insideH w:val="single" w:color="C8D8DE" w:sz="4" w:space="0"/>
            <w:insideV w:val="none" w:color="auto" w:sz="0" w:space="0"/>
          </w:tblBorders>
        </w:tblPrEx>
        <w:trPr>
          <w:tblHeader/>
        </w:trPr>
        <w:tc>
          <w:tcPr>
            <w:tcW w:w="3500" w:type="dxa"/>
            <w:shd w:val="clear" w:color="auto" w:fill="FFFFFF" w:themeFill="background1"/>
          </w:tcPr>
          <w:p w14:paraId="5AE5A163">
            <w:pPr>
              <w:spacing w:before="60" w:after="60"/>
              <w:jc w:val="center"/>
            </w:pPr>
            <w:r>
              <w:rPr>
                <w:b/>
                <w:color w:val="2A3D45"/>
                <w:sz w:val="20"/>
              </w:rPr>
              <w:t>Metric</w:t>
            </w:r>
          </w:p>
        </w:tc>
        <w:tc>
          <w:tcPr>
            <w:tcW w:w="2500" w:type="dxa"/>
            <w:shd w:val="clear" w:color="auto" w:fill="FFFFFF" w:themeFill="background1"/>
          </w:tcPr>
          <w:p w14:paraId="248B6E9C">
            <w:pPr>
              <w:spacing w:before="60" w:after="60"/>
              <w:jc w:val="center"/>
            </w:pPr>
            <w:r>
              <w:rPr>
                <w:b/>
                <w:color w:val="2A3D45"/>
                <w:sz w:val="20"/>
              </w:rPr>
              <w:t>Control Sample</w:t>
            </w:r>
          </w:p>
        </w:tc>
        <w:tc>
          <w:tcPr>
            <w:tcW w:w="2500" w:type="dxa"/>
            <w:shd w:val="clear" w:color="auto" w:fill="FFFFFF" w:themeFill="background1"/>
          </w:tcPr>
          <w:p w14:paraId="170C8043">
            <w:pPr>
              <w:spacing w:before="60" w:after="60"/>
              <w:jc w:val="center"/>
            </w:pPr>
            <w:r>
              <w:rPr>
                <w:b/>
                <w:color w:val="2A3D45"/>
                <w:sz w:val="20"/>
              </w:rPr>
              <w:t>Tumor Sample</w:t>
            </w:r>
          </w:p>
        </w:tc>
      </w:tr>
      <w:tr w14:paraId="64F06C43">
        <w:tblPrEx>
          <w:tblBorders>
            <w:top w:val="single" w:color="3D7A8C" w:sz="12" w:space="0"/>
            <w:left w:val="none" w:color="auto" w:sz="0" w:space="0"/>
            <w:bottom w:val="single" w:color="3D7A8C" w:sz="12" w:space="0"/>
            <w:right w:val="none" w:color="auto" w:sz="0" w:space="0"/>
            <w:insideH w:val="single" w:color="C8D8DE" w:sz="4" w:space="0"/>
            <w:insideV w:val="none" w:color="auto" w:sz="0" w:space="0"/>
          </w:tblBorders>
          <w:tblCellMar>
            <w:top w:w="0" w:type="dxa"/>
            <w:left w:w="10" w:type="dxa"/>
            <w:bottom w:w="0" w:type="dxa"/>
            <w:right w:w="10" w:type="dxa"/>
          </w:tblCellMar>
        </w:tblPrEx>
        <w:tc>
          <w:tcPr>
            <w:tcW w:w="3500" w:type="dxa"/>
            <w:shd w:val="clear" w:color="auto" w:fill="FFFFFF" w:themeFill="background1"/>
          </w:tcPr>
          <w:p w14:paraId="746CC5A0">
            <w:pPr>
              <w:spacing w:before="60" w:after="60"/>
              <w:jc w:val="center"/>
            </w:pPr>
            <w:r>
              <w:rPr>
                <w:color w:val="4A5F6A"/>
                <w:sz w:val="20"/>
              </w:rPr>
              <w:t>Total Reads</w:t>
            </w:r>
          </w:p>
        </w:tc>
        <w:tc>
          <w:tcPr>
            <w:tcW w:w="2500" w:type="dxa"/>
            <w:shd w:val="clear" w:color="auto" w:fill="FFFFFF" w:themeFill="background1"/>
          </w:tcPr>
          <w:p w14:paraId="58D1C925">
            <w:pPr>
              <w:spacing w:before="60" w:after="60"/>
              <w:jc w:val="center"/>
            </w:pPr>
            <w:r>
              <w:rPr>
                <w:color w:val="4A5F6A"/>
                <w:sz w:val="20"/>
              </w:rPr>
              <w:t>23,948,283</w:t>
            </w:r>
          </w:p>
        </w:tc>
        <w:tc>
          <w:tcPr>
            <w:tcW w:w="2500" w:type="dxa"/>
            <w:shd w:val="clear" w:color="auto" w:fill="FFFFFF" w:themeFill="background1"/>
          </w:tcPr>
          <w:p w14:paraId="7F9A323D">
            <w:pPr>
              <w:spacing w:before="60" w:after="60"/>
              <w:jc w:val="center"/>
            </w:pPr>
            <w:r>
              <w:rPr>
                <w:color w:val="4A5F6A"/>
                <w:sz w:val="20"/>
              </w:rPr>
              <w:t>34,639,454</w:t>
            </w:r>
          </w:p>
        </w:tc>
      </w:tr>
      <w:tr w14:paraId="1A506A39">
        <w:tblPrEx>
          <w:tblBorders>
            <w:top w:val="single" w:color="3D7A8C" w:sz="12" w:space="0"/>
            <w:left w:val="none" w:color="auto" w:sz="0" w:space="0"/>
            <w:bottom w:val="single" w:color="3D7A8C" w:sz="12" w:space="0"/>
            <w:right w:val="none" w:color="auto" w:sz="0" w:space="0"/>
            <w:insideH w:val="single" w:color="C8D8DE" w:sz="4" w:space="0"/>
            <w:insideV w:val="none" w:color="auto" w:sz="0" w:space="0"/>
          </w:tblBorders>
          <w:tblCellMar>
            <w:top w:w="0" w:type="dxa"/>
            <w:left w:w="10" w:type="dxa"/>
            <w:bottom w:w="0" w:type="dxa"/>
            <w:right w:w="10" w:type="dxa"/>
          </w:tblCellMar>
        </w:tblPrEx>
        <w:tc>
          <w:tcPr>
            <w:tcW w:w="3500" w:type="dxa"/>
            <w:shd w:val="clear" w:color="auto" w:fill="FFFFFF" w:themeFill="background1"/>
          </w:tcPr>
          <w:p w14:paraId="4BCC586C">
            <w:pPr>
              <w:spacing w:before="60" w:after="60"/>
              <w:jc w:val="center"/>
            </w:pPr>
            <w:r>
              <w:rPr>
                <w:color w:val="4A5F6A"/>
                <w:sz w:val="20"/>
              </w:rPr>
              <w:t>Mapping Rate</w:t>
            </w:r>
          </w:p>
        </w:tc>
        <w:tc>
          <w:tcPr>
            <w:tcW w:w="2500" w:type="dxa"/>
            <w:shd w:val="clear" w:color="auto" w:fill="FFFFFF" w:themeFill="background1"/>
          </w:tcPr>
          <w:p w14:paraId="1D29743B">
            <w:pPr>
              <w:spacing w:before="60" w:after="60"/>
              <w:jc w:val="center"/>
            </w:pPr>
            <w:r>
              <w:rPr>
                <w:color w:val="4A5F6A"/>
                <w:sz w:val="20"/>
              </w:rPr>
              <w:t>99.97%</w:t>
            </w:r>
          </w:p>
        </w:tc>
        <w:tc>
          <w:tcPr>
            <w:tcW w:w="2500" w:type="dxa"/>
            <w:shd w:val="clear" w:color="auto" w:fill="FFFFFF" w:themeFill="background1"/>
          </w:tcPr>
          <w:p w14:paraId="272ECEF0">
            <w:pPr>
              <w:spacing w:before="60" w:after="60"/>
              <w:jc w:val="center"/>
            </w:pPr>
            <w:r>
              <w:rPr>
                <w:color w:val="4A5F6A"/>
                <w:sz w:val="20"/>
              </w:rPr>
              <w:t>99.98%</w:t>
            </w:r>
          </w:p>
        </w:tc>
      </w:tr>
      <w:tr w14:paraId="2187D01A">
        <w:tblPrEx>
          <w:tblBorders>
            <w:top w:val="single" w:color="3D7A8C" w:sz="12" w:space="0"/>
            <w:left w:val="none" w:color="auto" w:sz="0" w:space="0"/>
            <w:bottom w:val="single" w:color="3D7A8C" w:sz="12" w:space="0"/>
            <w:right w:val="none" w:color="auto" w:sz="0" w:space="0"/>
            <w:insideH w:val="single" w:color="C8D8DE" w:sz="4" w:space="0"/>
            <w:insideV w:val="none" w:color="auto" w:sz="0" w:space="0"/>
          </w:tblBorders>
          <w:tblCellMar>
            <w:top w:w="0" w:type="dxa"/>
            <w:left w:w="10" w:type="dxa"/>
            <w:bottom w:w="0" w:type="dxa"/>
            <w:right w:w="10" w:type="dxa"/>
          </w:tblCellMar>
        </w:tblPrEx>
        <w:tc>
          <w:tcPr>
            <w:tcW w:w="3500" w:type="dxa"/>
            <w:shd w:val="clear" w:color="auto" w:fill="FFFFFF" w:themeFill="background1"/>
          </w:tcPr>
          <w:p w14:paraId="2E10C4C8">
            <w:pPr>
              <w:spacing w:before="60" w:after="60"/>
              <w:jc w:val="center"/>
            </w:pPr>
            <w:r>
              <w:rPr>
                <w:color w:val="4A5F6A"/>
                <w:sz w:val="20"/>
              </w:rPr>
              <w:t>Properly Paired</w:t>
            </w:r>
          </w:p>
        </w:tc>
        <w:tc>
          <w:tcPr>
            <w:tcW w:w="2500" w:type="dxa"/>
            <w:shd w:val="clear" w:color="auto" w:fill="FFFFFF" w:themeFill="background1"/>
          </w:tcPr>
          <w:p w14:paraId="3492E5E9">
            <w:pPr>
              <w:spacing w:before="60" w:after="60"/>
              <w:jc w:val="center"/>
            </w:pPr>
            <w:r>
              <w:rPr>
                <w:color w:val="4A5F6A"/>
                <w:sz w:val="20"/>
              </w:rPr>
              <w:t>99.23%</w:t>
            </w:r>
          </w:p>
        </w:tc>
        <w:tc>
          <w:tcPr>
            <w:tcW w:w="2500" w:type="dxa"/>
            <w:shd w:val="clear" w:color="auto" w:fill="FFFFFF" w:themeFill="background1"/>
          </w:tcPr>
          <w:p w14:paraId="55021BC6">
            <w:pPr>
              <w:spacing w:before="60" w:after="60"/>
              <w:jc w:val="center"/>
            </w:pPr>
            <w:r>
              <w:rPr>
                <w:color w:val="4A5F6A"/>
                <w:sz w:val="20"/>
              </w:rPr>
              <w:t>99.34%</w:t>
            </w:r>
          </w:p>
        </w:tc>
      </w:tr>
      <w:tr w14:paraId="754065DA">
        <w:tblPrEx>
          <w:tblBorders>
            <w:top w:val="single" w:color="3D7A8C" w:sz="12" w:space="0"/>
            <w:left w:val="none" w:color="auto" w:sz="0" w:space="0"/>
            <w:bottom w:val="single" w:color="3D7A8C" w:sz="12" w:space="0"/>
            <w:right w:val="none" w:color="auto" w:sz="0" w:space="0"/>
            <w:insideH w:val="single" w:color="C8D8DE" w:sz="4" w:space="0"/>
            <w:insideV w:val="none" w:color="auto" w:sz="0" w:space="0"/>
          </w:tblBorders>
          <w:tblCellMar>
            <w:top w:w="0" w:type="dxa"/>
            <w:left w:w="10" w:type="dxa"/>
            <w:bottom w:w="0" w:type="dxa"/>
            <w:right w:w="10" w:type="dxa"/>
          </w:tblCellMar>
        </w:tblPrEx>
        <w:tc>
          <w:tcPr>
            <w:tcW w:w="3500" w:type="dxa"/>
            <w:shd w:val="clear" w:color="auto" w:fill="FFFFFF" w:themeFill="background1"/>
          </w:tcPr>
          <w:p w14:paraId="45222700">
            <w:pPr>
              <w:spacing w:before="60" w:after="60"/>
              <w:jc w:val="center"/>
            </w:pPr>
            <w:r>
              <w:rPr>
                <w:color w:val="4A5F6A"/>
                <w:sz w:val="20"/>
              </w:rPr>
              <w:t>Singletons</w:t>
            </w:r>
          </w:p>
        </w:tc>
        <w:tc>
          <w:tcPr>
            <w:tcW w:w="2500" w:type="dxa"/>
            <w:shd w:val="clear" w:color="auto" w:fill="FFFFFF" w:themeFill="background1"/>
          </w:tcPr>
          <w:p w14:paraId="467A9A2D">
            <w:pPr>
              <w:spacing w:before="60" w:after="60"/>
              <w:jc w:val="center"/>
            </w:pPr>
            <w:r>
              <w:rPr>
                <w:color w:val="4A5F6A"/>
                <w:sz w:val="20"/>
              </w:rPr>
              <w:t>0.03%</w:t>
            </w:r>
          </w:p>
        </w:tc>
        <w:tc>
          <w:tcPr>
            <w:tcW w:w="2500" w:type="dxa"/>
            <w:shd w:val="clear" w:color="auto" w:fill="FFFFFF" w:themeFill="background1"/>
          </w:tcPr>
          <w:p w14:paraId="7460CF4C">
            <w:pPr>
              <w:spacing w:before="60" w:after="60"/>
              <w:jc w:val="center"/>
            </w:pPr>
            <w:r>
              <w:rPr>
                <w:color w:val="4A5F6A"/>
                <w:sz w:val="20"/>
              </w:rPr>
              <w:t>0.02%</w:t>
            </w:r>
          </w:p>
        </w:tc>
      </w:tr>
      <w:tr w14:paraId="6AE4B108">
        <w:tblPrEx>
          <w:tblBorders>
            <w:top w:val="single" w:color="3D7A8C" w:sz="12" w:space="0"/>
            <w:left w:val="none" w:color="auto" w:sz="0" w:space="0"/>
            <w:bottom w:val="single" w:color="3D7A8C" w:sz="12" w:space="0"/>
            <w:right w:val="none" w:color="auto" w:sz="0" w:space="0"/>
            <w:insideH w:val="single" w:color="C8D8DE" w:sz="4" w:space="0"/>
            <w:insideV w:val="none" w:color="auto" w:sz="0" w:space="0"/>
          </w:tblBorders>
          <w:tblCellMar>
            <w:top w:w="0" w:type="dxa"/>
            <w:left w:w="10" w:type="dxa"/>
            <w:bottom w:w="0" w:type="dxa"/>
            <w:right w:w="10" w:type="dxa"/>
          </w:tblCellMar>
        </w:tblPrEx>
        <w:tc>
          <w:tcPr>
            <w:tcW w:w="3500" w:type="dxa"/>
            <w:shd w:val="clear" w:color="auto" w:fill="FFFFFF" w:themeFill="background1"/>
          </w:tcPr>
          <w:p w14:paraId="3210F8F0">
            <w:pPr>
              <w:spacing w:before="60" w:after="60"/>
              <w:jc w:val="center"/>
            </w:pPr>
            <w:r>
              <w:rPr>
                <w:color w:val="4A5F6A"/>
                <w:sz w:val="20"/>
              </w:rPr>
              <w:t>Interchromosomal (mapQ&gt;=5)</w:t>
            </w:r>
          </w:p>
        </w:tc>
        <w:tc>
          <w:tcPr>
            <w:tcW w:w="2500" w:type="dxa"/>
            <w:shd w:val="clear" w:color="auto" w:fill="FFFFFF" w:themeFill="background1"/>
          </w:tcPr>
          <w:p w14:paraId="5F24CEA5">
            <w:pPr>
              <w:spacing w:before="60" w:after="60"/>
              <w:jc w:val="center"/>
            </w:pPr>
            <w:r>
              <w:rPr>
                <w:color w:val="4A5F6A"/>
                <w:sz w:val="20"/>
              </w:rPr>
              <w:t>76,711</w:t>
            </w:r>
          </w:p>
        </w:tc>
        <w:tc>
          <w:tcPr>
            <w:tcW w:w="2500" w:type="dxa"/>
            <w:shd w:val="clear" w:color="auto" w:fill="FFFFFF" w:themeFill="background1"/>
          </w:tcPr>
          <w:p w14:paraId="38B1B780">
            <w:pPr>
              <w:spacing w:before="60" w:after="60"/>
              <w:jc w:val="center"/>
            </w:pPr>
            <w:r>
              <w:rPr>
                <w:color w:val="4A5F6A"/>
                <w:sz w:val="20"/>
              </w:rPr>
              <w:t>71,073</w:t>
            </w:r>
          </w:p>
        </w:tc>
      </w:tr>
      <w:tr w14:paraId="15854E27">
        <w:tblPrEx>
          <w:tblBorders>
            <w:top w:val="single" w:color="3D7A8C" w:sz="12" w:space="0"/>
            <w:left w:val="none" w:color="auto" w:sz="0" w:space="0"/>
            <w:bottom w:val="single" w:color="3D7A8C" w:sz="12" w:space="0"/>
            <w:right w:val="none" w:color="auto" w:sz="0" w:space="0"/>
            <w:insideH w:val="single" w:color="C8D8DE" w:sz="4" w:space="0"/>
            <w:insideV w:val="none" w:color="auto" w:sz="0" w:space="0"/>
          </w:tblBorders>
          <w:tblCellMar>
            <w:top w:w="0" w:type="dxa"/>
            <w:left w:w="10" w:type="dxa"/>
            <w:bottom w:w="0" w:type="dxa"/>
            <w:right w:w="10" w:type="dxa"/>
          </w:tblCellMar>
        </w:tblPrEx>
        <w:tc>
          <w:tcPr>
            <w:tcW w:w="3500" w:type="dxa"/>
            <w:shd w:val="clear" w:color="auto" w:fill="FFFFFF" w:themeFill="background1"/>
          </w:tcPr>
          <w:p w14:paraId="2972148E">
            <w:pPr>
              <w:spacing w:before="60" w:after="60"/>
              <w:jc w:val="center"/>
            </w:pPr>
            <w:r>
              <w:rPr>
                <w:color w:val="4A5F6A"/>
                <w:sz w:val="20"/>
              </w:rPr>
              <w:t>Secondary Alignments</w:t>
            </w:r>
          </w:p>
        </w:tc>
        <w:tc>
          <w:tcPr>
            <w:tcW w:w="2500" w:type="dxa"/>
            <w:shd w:val="clear" w:color="auto" w:fill="FFFFFF" w:themeFill="background1"/>
          </w:tcPr>
          <w:p w14:paraId="217FCCC8">
            <w:pPr>
              <w:spacing w:before="60" w:after="60"/>
              <w:jc w:val="center"/>
            </w:pPr>
            <w:r>
              <w:rPr>
                <w:color w:val="4A5F6A"/>
                <w:sz w:val="20"/>
              </w:rPr>
              <w:t>18,591</w:t>
            </w:r>
          </w:p>
        </w:tc>
        <w:tc>
          <w:tcPr>
            <w:tcW w:w="2500" w:type="dxa"/>
            <w:shd w:val="clear" w:color="auto" w:fill="FFFFFF" w:themeFill="background1"/>
          </w:tcPr>
          <w:p w14:paraId="3A5EB55A">
            <w:pPr>
              <w:spacing w:before="60" w:after="60"/>
              <w:jc w:val="center"/>
            </w:pPr>
            <w:r>
              <w:rPr>
                <w:color w:val="4A5F6A"/>
                <w:sz w:val="20"/>
              </w:rPr>
              <w:t>16,136</w:t>
            </w:r>
          </w:p>
        </w:tc>
      </w:tr>
    </w:tbl>
    <w:p w14:paraId="2DE47B7C">
      <w:pPr>
        <w:pStyle w:val="7"/>
      </w:pPr>
      <w:r>
        <w:t>Table 1: Post-Alignment Quality Metrics</w:t>
      </w:r>
    </w:p>
    <w:p w14:paraId="32332CB5">
      <w:r>
        <w:t>Both samples demonstrated mapping rates exceeding 99.9%, with properly paired read fractions above 99.2%. Singleton rates were negligible (0.02-0.03%), confirming minimal fragmentation or mapping inconsistency. The near-complete mapping efficiency indicates high sequencing quality, strong reference genome compatibility, and minimal sample contamination.</w:t>
      </w:r>
    </w:p>
    <w:p w14:paraId="5CB9F386">
      <w:pPr>
        <w:pStyle w:val="3"/>
      </w:pPr>
      <w:r>
        <w:t>Coverage and Insert Size Analysis</w:t>
      </w:r>
    </w:p>
    <w:p w14:paraId="47BE64C3">
      <w:r>
        <w:t>The tumor sample exhibited a mean coverage of 1.04x with high standard deviation (9.48), suggesting uneven genomic distribution. Mean insert size was 7,233 bp with a median of 208 bp; the large discrepancy indicates the presence of structural variants or alignment artifacts involving large genomic distances.</w:t>
      </w:r>
    </w:p>
    <w:p w14:paraId="56C7A216">
      <w:pPr>
        <w:pStyle w:val="2"/>
      </w:pPr>
      <w:r>
        <w:t>Variant Calling Results</w:t>
      </w:r>
      <w:bookmarkStart w:id="6" w:name="_Toc007"/>
      <w:bookmarkEnd w:id="6"/>
    </w:p>
    <w:p w14:paraId="7B3592DE">
      <w:r>
        <w:t>Three complementary approaches were employed to detect distinct classes of genomic alterations:</w:t>
      </w:r>
    </w:p>
    <w:p w14:paraId="106D141D">
      <w:pPr>
        <w:pStyle w:val="3"/>
      </w:pPr>
      <w:r>
        <w:t>SNVs and Small Indels</w:t>
      </w:r>
    </w:p>
    <w:p w14:paraId="189DD628">
      <w:r>
        <w:t>Somatic single nucleotide variants and insertions/deletions were called using GATK Mutect2 in tumor-normal paired mode. The VCF output was processed through LearnReadOrientationModel to correct for sequencing artifacts, then filtered with FilterMutectCalls incorporating contamination tables and orientation bias priors. Variants passing all filters (FILTER = PASS) were retained as high-confidence somatic mutations.</w:t>
      </w:r>
    </w:p>
    <w:p w14:paraId="60C70365">
      <w:pPr>
        <w:pStyle w:val="3"/>
      </w:pPr>
      <w:r>
        <w:t>Structural Variants</w:t>
      </w:r>
    </w:p>
    <w:p w14:paraId="1F1BE005">
      <w:r>
        <w:t>Large-scale rearrangements were detected using Illumina Manta. The analysis identified somatic structural variants including deletions, duplications, inversions, and translocations. The somaticSV.vcf output was extracted and prepared for annotation.</w:t>
      </w:r>
    </w:p>
    <w:p w14:paraId="2D63077F">
      <w:pPr>
        <w:pStyle w:val="3"/>
      </w:pPr>
      <w:r>
        <w:t>Copy Number Variations</w:t>
      </w:r>
    </w:p>
    <w:p w14:paraId="1320D242">
      <w:r>
        <w:t>CNVkit was run in WGS mode with the tumor sample as test and control as reference. Segmented copy number calls were exported to VCF format, reheadered with proper contig lines using bcftools, sorted, and indexed for downstream annotation.</w:t>
      </w:r>
    </w:p>
    <w:p w14:paraId="7EDD18E1">
      <w:pPr>
        <w:pStyle w:val="2"/>
      </w:pPr>
      <w:r>
        <w:t>Annotation and Clinical Interpretation</w:t>
      </w:r>
      <w:bookmarkStart w:id="7" w:name="_Toc008"/>
      <w:bookmarkEnd w:id="7"/>
    </w:p>
    <w:p w14:paraId="7596E078">
      <w:r>
        <w:t>All variant callsets were functionally annotated using GATK Funcotator against the hg38 somatic data sources (version 1.8, September 2023). Output was generated in Mutation Annotation Format (MAF). Supplementary analysis was conducted via the Ensembl Variant Effect Predictor (VEP) web tool.</w:t>
      </w:r>
    </w:p>
    <w:p w14:paraId="1E4D7D0B">
      <w:pPr>
        <w:pStyle w:val="3"/>
      </w:pPr>
      <w:r>
        <w:t>Copy Number Variation Annotation</w:t>
      </w:r>
    </w:p>
    <w:p w14:paraId="11FD11F3">
      <w:r>
        <w:t>Of 46 CNV events annotated, 1,097 genes were affected across 5,551 transcripts and 1,228 regulatory features. The following variants are of highest clinical significance:</w:t>
      </w:r>
    </w:p>
    <w:p w14:paraId="13DAC89A">
      <w:pPr>
        <w:pStyle w:val="4"/>
      </w:pPr>
      <w:r>
        <w:t>Pathogenic Variants</w:t>
      </w:r>
    </w:p>
    <w:p w14:paraId="6657ECD9">
      <w:pPr>
        <w:ind w:left="720" w:hanging="360"/>
      </w:pPr>
      <w:r>
        <w:t>•  H19 (chr11:1995165-2004552, Transcript Ablation): The H19 gene encodes a long non-coding RNA functioning as a tumor suppressor. Its complete loss is associated with Beckwith-Wiedemann Syndrome and Wilms tumorigenesis. Population frequency: 0.0057%.</w:t>
      </w:r>
    </w:p>
    <w:p w14:paraId="528A53CD">
      <w:pPr>
        <w:ind w:left="720" w:hanging="360"/>
      </w:pPr>
      <w:r>
        <w:t>•  SYT8 (chr11:1919456-1938711, Transcript Ablation): Synaptotagmin 8 links glucose sensing to insulin secretion in pancreatic beta cells. Complete loss likely disrupts the insulin secretion pathway. Classification: Likely Pathogenic.</w:t>
      </w:r>
    </w:p>
    <w:p w14:paraId="62768B1A">
      <w:pPr>
        <w:ind w:left="720" w:hanging="360"/>
      </w:pPr>
      <w:r>
        <w:t>•  KAT6B (chr10:74824912-75032631, Multiple Consequences): This histone acetyltransferase is essential for brain, facial, and skeletal development. The pLI score of 1.0 indicates complete intolerance to loss-of-function. Associated with Genitopatellar syndrome and SBBYSS. Classification: Likely Pathogenic.</w:t>
      </w:r>
    </w:p>
    <w:p w14:paraId="5D1DE090">
      <w:pPr>
        <w:ind w:left="720" w:hanging="360"/>
      </w:pPr>
      <w:r>
        <w:t>•  SRC (chr20:37344673-37406050, Transcript Ablation + Feature Truncation): A proto-oncogene tyrosine kinase controlling cell division, migration, and apoptosis. Both copies are affected (one deleted, one truncated). pHaplo score of 0.73 supports pathogenicity. Classification: Likely Pathogenic.</w:t>
      </w:r>
    </w:p>
    <w:p w14:paraId="0579DAD5">
      <w:pPr>
        <w:pStyle w:val="4"/>
      </w:pPr>
      <w:r>
        <w:t>Variants of Uncertain Significance</w:t>
      </w:r>
    </w:p>
    <w:p w14:paraId="421ED65D">
      <w:pPr>
        <w:ind w:left="720" w:hanging="360"/>
      </w:pPr>
      <w:r>
        <w:t>•  MAPK1 (chr22:21755537-21867680, Transcript Amplification): Mitogen-activated protein kinase involved in cell division and differentiation. Transcript amplification constitutes a gain-of-function event potentially driving tumor growth. Triplosensitivity score of 1.0 provides limited evidence for pathogenicity. Classification: VUS.</w:t>
      </w:r>
    </w:p>
    <w:p w14:paraId="1DBDA313">
      <w:pPr>
        <w:ind w:left="720" w:hanging="360"/>
      </w:pPr>
      <w:r>
        <w:t>•  GPRIN2 (chr10:46541736-46557596, Transcript Ablation): Involved in neurite outgrowth. No well-established Mendelian disease association. Classification: VUS.</w:t>
      </w:r>
    </w:p>
    <w:p w14:paraId="5965CB5C">
      <w:pPr>
        <w:pStyle w:val="3"/>
      </w:pPr>
      <w:r>
        <w:t>Structural Variant Annotation</w:t>
      </w:r>
    </w:p>
    <w:p w14:paraId="7FD10B97">
      <w:r>
        <w:t>Key pathogenic structural variants identified:</w:t>
      </w:r>
    </w:p>
    <w:p w14:paraId="7783BAF2">
      <w:pPr>
        <w:ind w:left="720" w:hanging="360"/>
      </w:pPr>
      <w:r>
        <w:t>•  CDH23 (chr10:71396920-71815947, Feature Truncation): Essential for retinal structure and auditory tip links. Biallelic truncation most probably causes Usher Syndrome Type 1D (deafness, blindness, balance dysfunction). Classification: Pathogenic.</w:t>
      </w:r>
    </w:p>
    <w:p w14:paraId="2B17DF73">
      <w:pPr>
        <w:ind w:left="720" w:hanging="360"/>
      </w:pPr>
      <w:r>
        <w:t>•  ANK3 (chr10:60026298-60733490, Feature Truncation): Encodes Ankyrin-G, critical for neuronal sodium/potassium channel organization. Associated with intellectual disability and sleep syndrome. Classification: Pathogenic.</w:t>
      </w:r>
    </w:p>
    <w:p w14:paraId="0C4055C9">
      <w:pPr>
        <w:ind w:left="720" w:hanging="360"/>
      </w:pPr>
      <w:r>
        <w:t>•  ITGA3 (chr17:50055968-50090485, Feature Truncation): Essential for skin adhesion and kidney filtration. Biallelic truncation causes ILNEB syndrome (severe blistering, kidney failure, respiratory distress). Classification: Pathogenic.</w:t>
      </w:r>
    </w:p>
    <w:p w14:paraId="7B6E56A4">
      <w:pPr>
        <w:ind w:left="720" w:hanging="360"/>
      </w:pPr>
      <w:r>
        <w:t>•  KDM1A (chr1:23019395-23083693, Feature Truncation): Lysine demethylase critical for gene silencing and hematopoiesis. pHaplo score of 0.98 indicates high probability of disease with single functional copy. Associated with MCAHS4 syndrome. Classification: Likely Pathogenic.</w:t>
      </w:r>
    </w:p>
    <w:p w14:paraId="6B74DBCB">
      <w:pPr>
        <w:pStyle w:val="3"/>
      </w:pPr>
      <w:r>
        <w:t>SNV and Indel Annotation</w:t>
      </w:r>
    </w:p>
    <w:p w14:paraId="5B9B461C">
      <w:r>
        <w:t>Notable single nucleotide and small insertion/deletion variants:</w:t>
      </w:r>
    </w:p>
    <w:p w14:paraId="0AF64630">
      <w:pPr>
        <w:ind w:left="720" w:hanging="360"/>
      </w:pPr>
      <w:r>
        <w:t>•  SEC63 (chr6:107893551-107893560, Frameshift): Most probable disease is Polycystic Liver Disease 2. Population frequency: 99.3% (common polymorphism). Classification: Likely Pathogenic.</w:t>
      </w:r>
    </w:p>
    <w:p w14:paraId="7F34BFFB">
      <w:pPr>
        <w:ind w:left="720" w:hanging="360"/>
      </w:pPr>
      <w:r>
        <w:t>•  MKI67 (chr10:128106848-128106862, Frameshift): Population frequency 97.8%. Common benign polymorphism. Classification: Likely Benign.</w:t>
      </w:r>
    </w:p>
    <w:p w14:paraId="23450BCE">
      <w:pPr>
        <w:ind w:left="720" w:hanging="360"/>
      </w:pPr>
      <w:r>
        <w:t>•  MYOC (chr1:171636626, Stop Gained): Ultra-rare variant (0.001%). No exact ClinVar match. Classification: VUS.</w:t>
      </w:r>
    </w:p>
    <w:p w14:paraId="1DF75C80">
      <w:pPr>
        <w:ind w:left="720" w:hanging="360"/>
      </w:pPr>
      <w:r>
        <w:t>•  F2 (chr11:46726628, Splice Donor Variant): Rare variant (0.06%). No ClinVar entry; conflicting evidence in literature. Classification: VUS.</w:t>
      </w:r>
    </w:p>
    <w:p w14:paraId="6A759222">
      <w:pPr>
        <w:pStyle w:val="2"/>
      </w:pPr>
      <w:r>
        <w:t>Conclusions</w:t>
      </w:r>
      <w:bookmarkStart w:id="8" w:name="_Toc009"/>
      <w:bookmarkEnd w:id="8"/>
    </w:p>
    <w:p w14:paraId="19DCCC69">
      <w:r>
        <w:t>Th</w:t>
      </w:r>
      <w:r>
        <w:rPr>
          <w:rFonts w:hint="default"/>
          <w:lang w:val="en-US"/>
        </w:rPr>
        <w:t>e</w:t>
      </w:r>
      <w:r>
        <w:t xml:space="preserve"> bioinformatic analysis of Patient 14's tumor and control whole genome sequencing data identified multiple classes of somatic alterations with potential clinical relevance.</w:t>
      </w:r>
    </w:p>
    <w:p w14:paraId="64EC1AEB">
      <w:r>
        <w:t>The quality control pipeline confirmed high-quality sequencing data with excellent alignment metrics (&gt;99.9% mapping rate, &gt;99.2% properly paired reads), providing a robust foundation for variant detection.</w:t>
      </w:r>
    </w:p>
    <w:p w14:paraId="52C0D0DB">
      <w:r>
        <w:t>Key findings include:</w:t>
      </w:r>
    </w:p>
    <w:p w14:paraId="126ED010">
      <w:pPr>
        <w:ind w:left="720" w:hanging="360"/>
      </w:pPr>
      <w:r>
        <w:t>•  Four likely pathogenic CNV events affecting tumor suppressor genes (H19) and developmental regulators (KAT6B, SRC, SYT8)</w:t>
      </w:r>
    </w:p>
    <w:p w14:paraId="2FA9DD58">
      <w:pPr>
        <w:ind w:left="720" w:hanging="360"/>
      </w:pPr>
      <w:r>
        <w:t>•  Three pathogenic structural variants impacting genes essential for sensory function (CDH23), neurological organization (ANK3), and tissue adhesion (ITGA3)</w:t>
      </w:r>
    </w:p>
    <w:p w14:paraId="00A1E8D7">
      <w:pPr>
        <w:ind w:left="720" w:hanging="360"/>
      </w:pPr>
      <w:r>
        <w:t>•  Multiple variants of uncertain significance requiring further functional validation, particularly MAPK1 amplification which may drive oncogenic signaling</w:t>
      </w:r>
    </w:p>
    <w:p w14:paraId="333AF3BC">
      <w:pPr>
        <w:ind w:left="720" w:hanging="360"/>
      </w:pPr>
      <w:r>
        <w:t>•  A common frameshift in SEC63 associated with polycystic liver disease</w:t>
      </w:r>
    </w:p>
    <w:p w14:paraId="26831FE4">
      <w:r>
        <w:t>These findings suggest complex genomic instability involving both tumor suppressor loss and potential oncogenic activation. The biallelic disruption of SRC, a well-characterized proto-oncogene, is particularly noteworthy as it may affect both malignant progression and metastatic potential.</w:t>
      </w:r>
    </w:p>
    <w:p w14:paraId="45128FB1">
      <w:pPr>
        <w:sectPr>
          <w:headerReference r:id="rId5" w:type="default"/>
          <w:footerReference r:id="rId6" w:type="default"/>
          <w:pgSz w:w="11906" w:h="16838"/>
          <w:pgMar w:top="1800" w:right="1440" w:bottom="1440" w:left="1440" w:header="720" w:footer="720" w:gutter="0"/>
          <w:cols w:space="720" w:num="1"/>
        </w:sectPr>
      </w:pPr>
      <w:r>
        <w:t>Further clinical correlation and orthogonal validation are recommended to confirm these findings and assess their therapeutic implications.</w:t>
      </w:r>
    </w:p>
    <w:p w14:paraId="3C462B58">
      <w:pPr>
        <w:spacing w:before="200"/>
        <w:jc w:val="both"/>
      </w:pPr>
    </w:p>
    <w:sectPr>
      <w:pgSz w:w="11906" w:h="16838"/>
      <w:pgMar w:top="0" w:right="0" w:bottom="0" w:left="0" w:header="0" w:footer="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806A4A">
    <w:pPr>
      <w:jc w:val="center"/>
    </w:pPr>
    <w:r>
      <w:rPr>
        <w:color w:val="7A8F99"/>
        <w:sz w:val="18"/>
      </w:rPr>
      <w:fldChar w:fldCharType="begin"/>
    </w:r>
    <w:r>
      <w:rPr>
        <w:color w:val="7A8F99"/>
        <w:sz w:val="18"/>
      </w:rPr>
      <w:instrText xml:space="preserve"> PAGE </w:instrText>
    </w:r>
    <w:r>
      <w:rPr>
        <w:color w:val="7A8F99"/>
        <w:sz w:val="18"/>
      </w:rPr>
      <w:fldChar w:fldCharType="separate"/>
    </w:r>
    <w:r>
      <w:rPr>
        <w:color w:val="7A8F99"/>
        <w:sz w:val="18"/>
      </w:rPr>
      <w:t>1</w:t>
    </w:r>
    <w:r>
      <w:rPr>
        <w:color w:val="7A8F99"/>
        <w:sz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88" w:lineRule="auto"/>
      </w:pPr>
      <w:r>
        <w:separator/>
      </w:r>
    </w:p>
  </w:footnote>
  <w:footnote w:type="continuationSeparator" w:id="1">
    <w:p>
      <w:pPr>
        <w:spacing w:before="0" w:after="0" w:line="288"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B87925">
    <w:pPr>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0"/>
      <w:numFmt w:val="decimal"/>
      <w:lvlText w:val="%1."/>
      <w:lvlJc w:val="left"/>
      <w:pPr>
        <w:ind w:left="72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footnotePr>
    <w:footnote w:id="0"/>
    <w:footnote w:id="1"/>
  </w:footnotePr>
  <w:endnotePr>
    <w:endnote w:id="0"/>
    <w:endnote w:id="1"/>
  </w:endnotePr>
  <w:compat>
    <w:splitPgBreakAndParaMark/>
    <w:compatSetting w:name="compatibilityMode" w:uri="http://schemas.microsoft.com/office/word" w:val="12"/>
  </w:compat>
  <w:rsids>
    <w:rsidRoot w:val="00000000"/>
    <w:rsid w:val="2BD64A34"/>
    <w:rsid w:val="37F65E4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88" w:lineRule="auto"/>
    </w:pPr>
    <w:rPr>
      <w:rFonts w:ascii="Calibri" w:hAnsi="Calibri" w:eastAsia="Microsoft YaHei" w:cstheme="minorBidi"/>
      <w:color w:val="2A3D45"/>
      <w:sz w:val="22"/>
      <w:szCs w:val="22"/>
    </w:rPr>
  </w:style>
  <w:style w:type="paragraph" w:styleId="2">
    <w:name w:val="heading 1"/>
    <w:basedOn w:val="1"/>
    <w:qFormat/>
    <w:uiPriority w:val="0"/>
    <w:pPr>
      <w:keepNext/>
      <w:keepLines/>
      <w:spacing w:before="480" w:after="200"/>
      <w:outlineLvl w:val="0"/>
    </w:pPr>
    <w:rPr>
      <w:rFonts w:ascii="Calibri" w:hAnsi="Calibri" w:eastAsia="Microsoft YaHei"/>
      <w:b/>
      <w:color w:val="3D7A8C"/>
      <w:sz w:val="36"/>
    </w:rPr>
  </w:style>
  <w:style w:type="paragraph" w:styleId="3">
    <w:name w:val="heading 2"/>
    <w:basedOn w:val="1"/>
    <w:qFormat/>
    <w:uiPriority w:val="0"/>
    <w:pPr>
      <w:keepNext/>
      <w:keepLines/>
      <w:spacing w:before="360" w:after="140"/>
      <w:outlineLvl w:val="1"/>
    </w:pPr>
    <w:rPr>
      <w:rFonts w:ascii="Calibri" w:hAnsi="Calibri" w:eastAsia="Microsoft YaHei"/>
      <w:b/>
      <w:color w:val="2A3D45"/>
      <w:sz w:val="28"/>
    </w:rPr>
  </w:style>
  <w:style w:type="paragraph" w:styleId="4">
    <w:name w:val="heading 3"/>
    <w:basedOn w:val="1"/>
    <w:qFormat/>
    <w:uiPriority w:val="0"/>
    <w:pPr>
      <w:keepNext/>
      <w:keepLines/>
      <w:spacing w:before="280" w:after="100"/>
      <w:outlineLvl w:val="2"/>
    </w:pPr>
    <w:rPr>
      <w:rFonts w:ascii="Calibri" w:hAnsi="Calibri" w:eastAsia="Microsoft YaHei"/>
      <w:b/>
      <w:color w:val="4A5F6A"/>
      <w:sz w:val="24"/>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7">
    <w:name w:val="caption"/>
    <w:basedOn w:val="1"/>
    <w:qFormat/>
    <w:uiPriority w:val="0"/>
    <w:pPr>
      <w:spacing w:before="40" w:after="240"/>
      <w:jc w:val="center"/>
    </w:pPr>
    <w:rPr>
      <w:color w:val="7A8F99"/>
      <w:sz w:val="20"/>
    </w:rPr>
  </w:style>
  <w:style w:type="paragraph" w:styleId="8">
    <w:name w:val="footer"/>
    <w:basedOn w:val="1"/>
    <w:qFormat/>
    <w:uiPriority w:val="0"/>
    <w:pPr>
      <w:tabs>
        <w:tab w:val="center" w:pos="4153"/>
        <w:tab w:val="right" w:pos="8306"/>
      </w:tabs>
      <w:snapToGrid w:val="0"/>
      <w:jc w:val="left"/>
    </w:pPr>
    <w:rPr>
      <w:sz w:val="18"/>
      <w:szCs w:val="18"/>
    </w:rPr>
  </w:style>
  <w:style w:type="paragraph" w:styleId="9">
    <w:name w:val="header"/>
    <w:basedOn w:val="1"/>
    <w:uiPriority w:val="0"/>
    <w:pPr>
      <w:tabs>
        <w:tab w:val="center" w:pos="4153"/>
        <w:tab w:val="right" w:pos="8306"/>
      </w:tabs>
      <w:snapToGrid w:val="0"/>
    </w:pPr>
    <w:rPr>
      <w:sz w:val="18"/>
      <w:szCs w:val="18"/>
    </w:rPr>
  </w:style>
  <w:style w:type="paragraph" w:styleId="10">
    <w:name w:val="toc 1"/>
    <w:basedOn w:val="1"/>
    <w:qFormat/>
    <w:uiPriority w:val="0"/>
    <w:pPr>
      <w:tabs>
        <w:tab w:val="right" w:leader="dot" w:pos="9350"/>
      </w:tabs>
      <w:spacing w:before="200" w:after="60"/>
      <w:ind w:left="0"/>
    </w:pPr>
    <w:rPr>
      <w:b/>
      <w:color w:val="2A3D45"/>
    </w:rPr>
  </w:style>
  <w:style w:type="paragraph" w:styleId="11">
    <w:name w:val="toc 2"/>
    <w:basedOn w:val="1"/>
    <w:qFormat/>
    <w:uiPriority w:val="0"/>
    <w:pPr>
      <w:tabs>
        <w:tab w:val="right" w:leader="dot" w:pos="9350"/>
      </w:tabs>
      <w:spacing w:before="60" w:after="60"/>
      <w:ind w:left="360"/>
    </w:pPr>
    <w:rPr>
      <w:color w:val="4A5F6A"/>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10</Pages>
  <Words>1584</Words>
  <Characters>10938</Characters>
  <TotalTime>11</TotalTime>
  <ScaleCrop>false</ScaleCrop>
  <LinksUpToDate>false</LinksUpToDate>
  <CharactersWithSpaces>12431</CharactersWithSpaces>
  <Application>WPS Office_12.1.0.25862_F1E327BC-269C-435d-A152-05C5408002CA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2026-05-03T03:48:00Z</dcterms:created>
  <dc:creator>misha</dc:creator>
  <cp:lastModifiedBy>Michael Chepara</cp:lastModifiedBy>
  <dcterms:modified xsi:type="dcterms:W3CDTF">2026-05-03T04:08:59Z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eyJoZGlkIjoiMWQyOGQ5MDY0NzI4YmEzYzVmN2RkNzFmMDEyZDg3NDgiLCJ1c2VySWQiOiIyOTAzNjIyNDg3NjY4In0=</vt:lpwstr>
  </property>
  <property fmtid="{D5CDD505-2E9C-101B-9397-08002B2CF9AE}" pid="3" name="KSOProductBuildVer">
    <vt:lpwstr>1033-12.1.0.25862</vt:lpwstr>
  </property>
  <property fmtid="{D5CDD505-2E9C-101B-9397-08002B2CF9AE}" pid="4" name="ICV">
    <vt:lpwstr>3191D0A79B6B49A6B2DC067390808C4A_12</vt:lpwstr>
  </property>
</Properties>
</file>