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line="360" w:lineRule="auto"/>
        <w:jc w:val="center"/>
        <w:rPr>
          <w:sz w:val="52"/>
        </w:rPr>
      </w:pPr>
      <w:r>
        <w:rPr>
          <w:rFonts w:ascii="Arial" w:hAnsi="Arial" w:eastAsia="宋体" w:cs="Arial"/>
          <w:b/>
          <w:bCs/>
          <w:sz w:val="52"/>
        </w:rPr>
        <w:t>MSS Claw</w:t>
      </w:r>
      <w:r>
        <w:rPr>
          <w:rFonts w:ascii="Arial" w:hAnsi="Arial" w:eastAsia="宋体" w:cs="Arial"/>
          <w:b/>
          <w:bCs/>
          <w:sz w:val="52"/>
        </w:rPr>
        <w:t xml:space="preserve"> 版本总体设计说明书</w:t>
      </w:r>
    </w:p>
    <w:p>
      <w:pPr>
        <w:pStyle w:val="000034"/>
        <w:spacing w:line="360" w:lineRule="auto"/>
        <w:jc w:val="center"/>
        <w:rPr/>
      </w:pPr>
      <w:r>
        <w:rPr>
          <w:rFonts w:ascii="Arial" w:hAnsi="Arial" w:eastAsia="宋体" w:cs="Arial"/>
        </w:rPr>
        <w:t>(内部文档,不得复制)</w:t>
      </w:r>
    </w:p>
    <w:p>
      <w:pPr>
        <w:spacing w:line="360" w:lineRule="auto"/>
        <w:jc w:val="center"/>
        <w:rPr/>
      </w:pPr>
      <w:r>
        <w:rPr/>
        <w:drawing>
          <wp:inline distT="0" distB="0" distL="0" distR="0">
            <wp:extent cx="2354580" cy="861060"/>
            <wp:effectExtent l="0" t="0" r="0" b="0"/>
            <wp:docPr id="2" name="图片 4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3" name="图片 4"/>
                    <pic:cNvPicPr>
                      <a:picLocks noChangeAspect="true" noChangeArrowheads="true"/>
                    </pic:cNvPicPr>
                  </pic:nvPicPr>
                  <pic:blipFill>
                    <a:blip r:embed="rId10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54580" cy="861060"/>
                    </a:xfrm>
                    <a:prstGeom prst="rect">
                      <a:avLst/>
                    </a:prstGeom>
                    <a:noFill/>
                    <a:ln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000034"/>
        <w:spacing w:line="360" w:lineRule="auto"/>
        <w:jc w:val="center"/>
        <w:rPr/>
      </w:pPr>
      <w:r>
        <w:rPr>
          <w:rFonts w:ascii="Arial" w:hAnsi="Arial" w:eastAsia="宋体" w:cs="Arial"/>
        </w:rPr>
        <w:t>深信服科技有限公司</w:t>
      </w:r>
    </w:p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引言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目的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 xml:space="preserve">本文档给出 </w:t>
      </w:r>
      <w:r>
        <w:rPr>
          <w:rFonts w:ascii="Arial" w:hAnsi="Arial" w:eastAsia="宋体" w:cs="Arial"/>
        </w:rPr>
        <w:t>MSS Claw</w:t>
      </w:r>
      <w:r>
        <w:rPr>
          <w:rFonts w:ascii="Arial" w:hAnsi="Arial" w:eastAsia="宋体" w:cs="Arial"/>
        </w:rPr>
        <w:t xml:space="preserve"> 当前版本的系统级总体设计，供技术经理、架构师、研发与运维在 TMG 评审与概要设计前对齐：</w:t>
      </w:r>
    </w:p>
    <w:tbl>
      <w:tblPr>
        <w:tblStyle w:val="000012"/>
        <w:tblW w:w="0" w:type="auto"/>
        <w:tblInd w:w="-1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9"/>
        <w:gridCol w:w="11995"/>
      </w:tblGrid>
      <w:tr>
        <w:trPr>
          <w:trHeight w:val="490" w:hRule="atLeast"/>
        </w:trPr>
        <w:tc>
          <w:tcPr>
            <w:tcW w:w="3279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项</w:t>
            </w:r>
          </w:p>
        </w:tc>
        <w:tc>
          <w:tcPr>
            <w:tcW w:w="11995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说明</w:t>
            </w:r>
          </w:p>
        </w:tc>
      </w:tr>
      <w:tr>
        <w:trPr>
          <w:trHeight w:val="490" w:hRule="atLeast"/>
        </w:trPr>
        <w:tc>
          <w:tcPr>
            <w:tcW w:w="327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输入</w:t>
            </w:r>
          </w:p>
        </w:tc>
        <w:tc>
          <w:tcPr>
            <w:tcW w:w="11995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企微私聊交付、SOP Skill 化、约 100 用户、不 fork OpenClaw；业务场景需快速验证与生产 SOP 需可靠执行双诉求</w:t>
            </w:r>
          </w:p>
        </w:tc>
      </w:tr>
      <w:tr>
        <w:trPr>
          <w:trHeight w:val="490" w:hRule="atLeast"/>
        </w:trPr>
        <w:tc>
          <w:tcPr>
            <w:tcW w:w="327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输出</w:t>
            </w:r>
          </w:p>
        </w:tc>
        <w:tc>
          <w:tcPr>
            <w:tcW w:w="11995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模块划分、双执行路径边界、关键系统流程、部署与容量基线、DFX 目标与手段</w:t>
            </w:r>
          </w:p>
        </w:tc>
      </w:tr>
      <w:tr>
        <w:trPr>
          <w:trHeight w:val="490" w:hRule="atLeast"/>
        </w:trPr>
        <w:tc>
          <w:tcPr>
            <w:tcW w:w="327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读者</w:t>
            </w:r>
          </w:p>
        </w:tc>
        <w:tc>
          <w:tcPr>
            <w:tcW w:w="11995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项目技术经理、架构师、研发、测试、运维、安全经理</w:t>
            </w:r>
          </w:p>
        </w:tc>
      </w:tr>
    </w:tbl>
    <w:p>
      <w:pPr>
        <w:spacing w:line="360" w:lineRule="auto"/>
        <w:rPr/>
      </w:pP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总设责任边界（模板要求）：需求侧已明确的能力，须在本总设中有架构体现；回溯时若需求有而总设无体现，责任在总设。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适用范围和评审要求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适用范围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82"/>
        <w:gridCol w:w="9092"/>
      </w:tblGrid>
      <w:tr>
        <w:trPr>
          <w:trHeight w:val="544" w:hRule="atLeast"/>
        </w:trPr>
        <w:tc>
          <w:tcPr>
            <w:tcW w:w="618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场景（模板）</w:t>
            </w:r>
          </w:p>
        </w:tc>
        <w:tc>
          <w:tcPr>
            <w:tcW w:w="909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本版本决策</w:t>
            </w:r>
          </w:p>
        </w:tc>
      </w:tr>
      <w:tr>
        <w:trPr>
          <w:trHeight w:val="544" w:hRule="atLeast"/>
        </w:trPr>
        <w:tc>
          <w:tcPr>
            <w:tcW w:w="618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架构大面积调整</w:t>
            </w:r>
          </w:p>
        </w:tc>
        <w:tc>
          <w:tcPr>
            <w:tcW w:w="90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 xml:space="preserve">是：多用户单 Pod + 控制面板；并明确脚本快速验证与 ClawFlow 可靠执行双路径并存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544" w:hRule="atLeast"/>
        </w:trPr>
        <w:tc>
          <w:tcPr>
            <w:tcW w:w="618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决策</w:t>
            </w:r>
          </w:p>
        </w:tc>
        <w:tc>
          <w:tcPr>
            <w:tcW w:w="90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做一份全新总体设计（相对早期单用户验证形态）</w:t>
            </w:r>
          </w:p>
        </w:tc>
      </w:tr>
    </w:tbl>
    <w:p>
      <w:pPr>
        <w:spacing w:line="360" w:lineRule="auto"/>
        <w:rPr/>
      </w:pP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本总设覆盖范围：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多用户 Runtime（Pod / Agent / workspace / browser / 模型）与</w:t>
      </w:r>
      <w:r>
        <w:rPr>
          <w:rFonts w:ascii="Arial" w:hAnsi="Arial" w:eastAsia="宋体" w:cs="Arial"/>
        </w:rPr>
        <w:t>控制面板</w:t>
      </w:r>
      <w:r>
        <w:rPr>
          <w:rFonts w:ascii="Arial" w:hAnsi="Arial" w:eastAsia="宋体" w:cs="Arial"/>
        </w:rPr>
        <w:t xml:space="preserve"> Console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企微身份与绑定、Runtime 配置事务 apply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脚本型路径：Runtime 内 Skill 工具链（隔离、执行、凭证、进度、并发）— 业务场景快速验证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ClawFlow 路径：MSSW 侧 ClawFlow 微服务（可内置成熟工作流引擎 + Worker + 能力中心 + 可选浏览器 Activity）+ Bridge Skill — 可靠 SOP 执行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Bdr>
          <w:bottom/>
        </w:pBd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两条路径与 Console / Runtime 的协作、并存策略与选型边界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不做强承诺 / 排除： 全局 Message Router；</w:t>
      </w:r>
      <w:r>
        <w:rPr>
          <w:rFonts w:ascii="Arial" w:hAnsi="Arial" w:eastAsia="宋体" w:cs="Arial"/>
        </w:rPr>
        <w:t>控制面板</w:t>
      </w:r>
      <w:r>
        <w:rPr>
          <w:rFonts w:ascii="Arial" w:hAnsi="Arial" w:eastAsia="宋体" w:cs="Arial"/>
        </w:rPr>
        <w:t>本阶段强制分布式数据库/缓存/向量库；群聊强隔离；多用户共享同一微信登录态；browser 上游自动选 profile 的无条件保证；专家知识库产品化（可后置）。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评审要求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总体设计评审统一提交电子流，由 TMO 组织 TMG 评审（模板默认：可靠性 TMG 参加）。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待填：电子流单号、评审日期、与会人。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定义和缩写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7417"/>
        <w:gridCol w:w="5092"/>
      </w:tblGrid>
      <w:tr>
        <w:trPr>
          <w:trHeight w:val="461" w:hRule="atLeast"/>
        </w:trPr>
        <w:tc>
          <w:tcPr>
            <w:tcW w:w="276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缩写/名</w:t>
            </w:r>
          </w:p>
        </w:tc>
        <w:tc>
          <w:tcPr>
            <w:tcW w:w="741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描述</w:t>
            </w:r>
          </w:p>
        </w:tc>
        <w:tc>
          <w:tcPr>
            <w:tcW w:w="509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备注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  <w:r>
              <w:rPr>
                <w:rFonts w:ascii="Arial" w:hAnsi="Arial" w:eastAsia="宋体" w:cs="Arial"/>
                <w:sz w:val="24"/>
                <w:szCs w:val="18"/>
              </w:rPr>
              <w:t>（管理 API + 管理 UI）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管理面唯一入口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Pod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 OpenClaw Gateway 运行单元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 Human User 共享；对话与触发中枢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Human User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平台内部用户实体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不等于 IM 外部账号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Identity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IM 身份到 Human User 的绑定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channel + peer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配置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版本化运行时配置（generation）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apply 事务单元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脚本型路径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在 Pod 内以脚本 Skill 执行 SOP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适合快速验证、短链路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路径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 xml:space="preserve">Bridge + MSSW ClawFlow 微服务执行 SOP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适合定型生产、可恢复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r>
              <w:t>原生 Skill 调用链路</w:t>
            </w:r>
          </w:p>
        </w:tc>
        <w:tc>
          <w:tcPr>
            <w:tcW w:w="7417" w:type="dxa"/>
            <w:vAlign w:val="center"/>
          </w:tcPr>
          <w:p>
            <w:r>
              <w:t>OpenClaw 原生 Skill 调用 + runtime-guard + session-manager</w:t>
            </w:r>
          </w:p>
        </w:tc>
        <w:tc>
          <w:tcPr>
            <w:tcW w:w="5092" w:type="dxa"/>
            <w:vAlign w:val="center"/>
          </w:tcPr>
          <w:p>
            <w:r>
              <w:t>本期主链路；muad-run-skill 仅作为后续可选增强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Bridge Skill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Agent 触发 SOP 的入口契约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语义 + HTTP 调用，不承载重脚本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微服务（可内置成熟工作流引擎 + Worker + 能力中心）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执行面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能力中心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版本化业务 API/浏览器能力封装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禁止能力间互调；组合编排在 ClawFlow 层完成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grant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Skill 授权清单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用户生效视图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apply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准备→校验→提交→健康/回滚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配置下发事务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SOP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标准服务操作流程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可走脚本路径或 ClawFlow 路径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MSSW / SDSP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业务平台（产品范围）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Skill / 能力中心调用</w:t>
            </w:r>
          </w:p>
        </w:tc>
      </w:tr>
      <w:tr>
        <w:trPr>
          <w:trHeight w:val="461" w:hRule="atLeast"/>
        </w:trPr>
        <w:tc>
          <w:tcPr>
            <w:tcW w:w="2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LLM</w:t>
            </w:r>
          </w:p>
        </w:tc>
        <w:tc>
          <w:tcPr>
            <w:tcW w:w="74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大语言模型服务</w:t>
            </w:r>
          </w:p>
        </w:tc>
        <w:tc>
          <w:tcPr>
            <w:tcW w:w="50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模型池按用户绑定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bookmarkStart w:id="1" w:name="_GoBack"/>
      <w:bookmarkEnd w:id="1"/>
      <w:r>
        <w:rPr>
          <w:rFonts w:ascii="Arial" w:hAnsi="Arial" w:eastAsia="宋体" w:cs="Arial"/>
          <w:b/>
          <w:bCs/>
        </w:rPr>
        <w:t>参考和引用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2"/>
        <w:gridCol w:w="8042"/>
      </w:tblGrid>
      <w:tr>
        <w:trPr>
          <w:trHeight w:val="513" w:hRule="atLeast"/>
        </w:trPr>
        <w:tc>
          <w:tcPr>
            <w:tcW w:w="723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资料</w:t>
            </w:r>
          </w:p>
        </w:tc>
        <w:tc>
          <w:tcPr>
            <w:tcW w:w="804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用途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公司模板 SFRD-TS-01-3.2《版本总体设计说明书》</w:t>
            </w:r>
          </w:p>
        </w:tc>
        <w:tc>
          <w:tcPr>
            <w:tcW w:w="804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本章结构来源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产品架构选型结论（OpenClaw / 部署单元）</w:t>
            </w:r>
          </w:p>
        </w:tc>
        <w:tc>
          <w:tcPr>
            <w:tcW w:w="804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§4.1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可靠执行层（ClawFlow + 能力中心）架构说明</w:t>
            </w:r>
          </w:p>
        </w:tc>
        <w:tc>
          <w:tcPr>
            <w:tcW w:w="804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§4.2 / §4.3 双路径依据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100 用户容量与部署规划</w:t>
            </w:r>
          </w:p>
        </w:tc>
        <w:tc>
          <w:tcPr>
            <w:tcW w:w="804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资源基线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多用户单 Pod 机制说明</w:t>
            </w:r>
          </w:p>
        </w:tc>
        <w:tc>
          <w:tcPr>
            <w:tcW w:w="804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绑定与隔离</w:t>
            </w:r>
          </w:p>
        </w:tc>
      </w:tr>
      <w:tr>
        <w:trPr>
          <w:trHeight w:val="513" w:hRule="atLeast"/>
        </w:trPr>
        <w:tc>
          <w:tcPr>
            <w:tcW w:w="723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安全兜底 / 威胁建模 / Mend 公司模板</w:t>
            </w:r>
          </w:p>
        </w:tc>
        <w:tc>
          <w:tcPr>
            <w:tcW w:w="8042" w:type="dxa"/>
            <w:shd w:val="clear" w:color="auto" w:fill="FCE4D6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§5.1 附件（待填）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总设任务书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9"/>
        <w:gridCol w:w="2064"/>
        <w:gridCol w:w="11424"/>
      </w:tblGrid>
      <w:tr>
        <w:trPr>
          <w:trHeight w:val="1532" w:hRule="atLeast"/>
        </w:trPr>
        <w:tc>
          <w:tcPr>
            <w:tcW w:w="129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编号</w:t>
            </w:r>
          </w:p>
        </w:tc>
        <w:tc>
          <w:tcPr>
            <w:tcW w:w="206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目标项概述</w:t>
            </w:r>
          </w:p>
        </w:tc>
        <w:tc>
          <w:tcPr>
            <w:tcW w:w="1142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对应的标准要求（初稿）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性能参数要求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规划值：约 100 服务经理并行。脚本路径：默认约 10 用户/Pod，Skill/Browser 并发可配（浏览器为瓶颈）。ClawFlow 路径：目标提高单 Pod 用户密度（对话容器轻量化，需压测）；ClawFlow 并发由任务队列、Worker 并发和最大执行时长共同控制。LLM 时延不在本平台 SLA 内。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2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资源开销要求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规划值：以脚本路径为主时约 10 Runtime Pod + 浏览器资源，集群量级约 40-48C / 96-128Gi / 500Gi+。启用 ClawFlow 路径后叠加 ClawFlow 微服务、Worker 与执行库；Runtime 侧重对话，浏览器可后置到 ClawFlow Activity 短生命周期执行；合计以压测为准。Console 约 2C/4G。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3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可靠性</w:t>
            </w:r>
          </w:p>
        </w:tc>
        <w:tc>
          <w:tcPr>
            <w:tcW w:w="11424" w:type="dxa"/>
            <w:vAlign w:val="center"/>
          </w:tcPr>
          <w:p>
            <w:pPr>
              <w:pBdr/>
              <w:spacing w:line="276" w:lineRule="auto"/>
              <w:ind/>
              <w:rPr>
                <w:rFonts w:ascii="Arial" w:hAnsi="Arial" w:eastAsia="宋体" w:cs="Arial"/>
                <w:sz w:val="24"/>
                <w:szCs w:val="18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共用：配置 apply 可回滚；Console 故障时已绑定对话通常可继续。</w:t>
            </w:r>
          </w:p>
          <w:p>
            <w:pPr>
              <w:pBdr/>
              <w:spacing w:line="276" w:lineRule="auto"/>
              <w:ind/>
              <w:rPr>
                <w:rFonts w:ascii="Arial" w:hAnsi="Arial" w:eastAsia="宋体" w:cs="Arial"/>
                <w:sz w:val="24"/>
                <w:szCs w:val="18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脚本路径：无强任务持久化，接受「快速验证」级可靠性。</w:t>
            </w:r>
          </w:p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路径：接口超时、任务超时、重试、补偿、续跑与事件历史；写操作须同步设计补偿，超过最大执行时长即终态失败。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4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架构要求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  <w:r>
              <w:rPr>
                <w:rFonts w:ascii="Arial" w:hAnsi="Arial" w:eastAsia="宋体" w:cs="Arial"/>
                <w:sz w:val="24"/>
                <w:szCs w:val="18"/>
              </w:rPr>
              <w:t>与运行时分离；不 fork OpenClaw；双路径并存且可按 SOP 选型；用户/模型/Skill/凭证隔离。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5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可运维性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 统一开通与配置；ClawFlow 微服务作为 MSSW 侧微服务可独立部署与扩缩；日志与执行记录可分路径查询。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6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可测试性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控制面板可用模拟编排驱动测试；脚本工具链单测；ClawFlow 可对瞬时故障/补偿/恢复做场景验证。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7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可扩展性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水平加 Pod；新场景优先脚本 Skill 快速试跑；定型 SOP 优先复用能力中心、新增 ClawFlow 编排定义；通道可扩展。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8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可调试性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apply/门禁/执行记录可观测；ClawFlow 路径另具备事件历史与执行存储查询。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9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兼容性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固定 OpenClaw 镜像代际；同代 Runtime 配置兼容；脚本 Skill 与 Bridge Skill 可同集群共存，互不强制迁移。</w:t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10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安全性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密钥不进镜像与普通日志；每用户隔离；ClawFlow 微服务鉴权（令牌/后续 mTLS）；安全兜底清单待附件。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11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可重用性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产出：多用户控制面板、脚本工具链模式、能力中心 + ClawFlow 模板。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1532" w:hRule="atLeast"/>
        </w:trPr>
        <w:tc>
          <w:tcPr>
            <w:tcW w:w="129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12</w:t>
            </w:r>
          </w:p>
        </w:tc>
        <w:tc>
          <w:tcPr>
            <w:tcW w:w="20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其它要求</w:t>
            </w:r>
          </w:p>
        </w:tc>
        <w:tc>
          <w:tcPr>
            <w:tcW w:w="1142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业务平台范围 MSSW；脚本路径用于快速验证，不替代 ClawFlow 路径的生产级可靠执行承诺。</w:t>
            </w:r>
          </w:p>
        </w:tc>
      </w:tr>
    </w:tbl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产品介绍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产品名称、型号、代号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87"/>
        <w:gridCol w:w="11087"/>
      </w:tblGrid>
      <w:tr>
        <w:trPr>
          <w:trHeight w:val="677" w:hRule="atLeast"/>
        </w:trPr>
        <w:tc>
          <w:tcPr>
            <w:tcW w:w="418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项</w:t>
            </w:r>
          </w:p>
        </w:tc>
        <w:tc>
          <w:tcPr>
            <w:tcW w:w="1108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内容</w:t>
            </w:r>
          </w:p>
        </w:tc>
      </w:tr>
      <w:tr>
        <w:trPr>
          <w:trHeight w:val="662" w:hRule="atLeast"/>
        </w:trPr>
        <w:tc>
          <w:tcPr>
            <w:tcW w:w="41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产品名称</w:t>
            </w:r>
          </w:p>
        </w:tc>
        <w:tc>
          <w:tcPr>
            <w:tcW w:w="11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MSS Claw</w:t>
            </w:r>
            <w:r>
              <w:rPr>
                <w:rFonts w:ascii="Arial" w:hAnsi="Arial" w:eastAsia="宋体" w:cs="Arial"/>
                <w:sz w:val="24"/>
                <w:szCs w:val="18"/>
              </w:rPr>
              <w:t xml:space="preserve"> 多用户 Agent 平台</w:t>
            </w:r>
          </w:p>
        </w:tc>
      </w:tr>
      <w:tr>
        <w:trPr>
          <w:trHeight w:val="677" w:hRule="atLeast"/>
        </w:trPr>
        <w:tc>
          <w:tcPr>
            <w:tcW w:w="41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一句话定位</w:t>
            </w:r>
          </w:p>
        </w:tc>
        <w:tc>
          <w:tcPr>
            <w:tcW w:w="11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 xml:space="preserve">不 fork OpenClaw 的多用户 Agent </w:t>
            </w: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  <w:r>
              <w:rPr>
                <w:rFonts w:ascii="Arial" w:hAnsi="Arial" w:eastAsia="宋体" w:cs="Arial"/>
                <w:sz w:val="24"/>
                <w:szCs w:val="18"/>
              </w:rPr>
              <w:t xml:space="preserve"> + 双路径 SOP 执行底座（快速验证 ∥ 可靠执行）</w:t>
            </w:r>
          </w:p>
        </w:tc>
      </w:tr>
      <w:tr>
        <w:trPr>
          <w:trHeight w:val="707" w:hRule="atLeast"/>
        </w:trPr>
        <w:tc>
          <w:tcPr>
            <w:tcW w:w="4187" w:type="dxa"/>
            <w:shd w:val="clear" w:color="auto" w:fill="FFFFFF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型号/代号</w:t>
            </w:r>
          </w:p>
        </w:tc>
        <w:tc>
          <w:tcPr>
            <w:tcW w:w="11087" w:type="dxa"/>
            <w:shd w:val="clear" w:color="auto" w:fill="FFFFFF"/>
            <w:vAlign w:val="center"/>
          </w:tcPr>
          <w:p>
            <w:pPr>
              <w:spacing w:line="276" w:lineRule="auto"/>
              <w:rPr>
                <w:color w:val="1450B8"/>
                <w:sz w:val="24"/>
                <w:shd w:val="clear" w:color="auto" w:fill="FFFFFF"/>
              </w:rPr>
            </w:pPr>
            <w:r>
              <w:rPr>
                <w:rFonts w:hint="eastAsia"/>
                <w:color w:val="1450B8"/>
                <w:sz w:val="24"/>
              </w:rPr>
              <w:t>MSS Claw1.0</w:t>
            </w:r>
          </w:p>
        </w:tc>
      </w:tr>
      <w:tr>
        <w:trPr>
          <w:trHeight w:val="452" w:hRule="atLeast"/>
        </w:trPr>
        <w:tc>
          <w:tcPr>
            <w:tcW w:w="41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内部文档号（产品侧）</w:t>
            </w:r>
          </w:p>
        </w:tc>
        <w:tc>
          <w:tcPr>
            <w:tcW w:w="11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SFRD-TS-03-1.4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对应需求文档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2"/>
        <w:gridCol w:w="10592"/>
      </w:tblGrid>
      <w:tr>
        <w:trPr>
          <w:trHeight w:val="513" w:hRule="atLeast"/>
        </w:trPr>
        <w:tc>
          <w:tcPr>
            <w:tcW w:w="468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文档类型</w:t>
            </w:r>
          </w:p>
        </w:tc>
        <w:tc>
          <w:tcPr>
            <w:tcW w:w="1059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说明</w:t>
            </w:r>
          </w:p>
        </w:tc>
      </w:tr>
      <w:tr>
        <w:trPr>
          <w:trHeight w:val="513" w:hRule="atLeast"/>
        </w:trPr>
        <w:tc>
          <w:tcPr>
            <w:tcW w:w="46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产品总体设计（产品侧）</w:t>
            </w:r>
          </w:p>
        </w:tc>
        <w:tc>
          <w:tcPr>
            <w:tcW w:w="105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SFRD-TS-03-1.4</w:t>
            </w:r>
          </w:p>
        </w:tc>
      </w:tr>
      <w:tr>
        <w:trPr>
          <w:trHeight w:val="513" w:hRule="atLeast"/>
        </w:trPr>
        <w:tc>
          <w:tcPr>
            <w:tcW w:w="46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架构选型调研</w:t>
            </w:r>
          </w:p>
        </w:tc>
        <w:tc>
          <w:tcPr>
            <w:tcW w:w="105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OpenClaw / 部署单元</w:t>
            </w:r>
          </w:p>
        </w:tc>
      </w:tr>
      <w:tr>
        <w:trPr>
          <w:trHeight w:val="513" w:hRule="atLeast"/>
        </w:trPr>
        <w:tc>
          <w:tcPr>
            <w:tcW w:w="46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可靠执行层说明</w:t>
            </w:r>
          </w:p>
        </w:tc>
        <w:tc>
          <w:tcPr>
            <w:tcW w:w="105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ClawFlow、能力中心、Bridge Skill</w:t>
            </w:r>
          </w:p>
        </w:tc>
      </w:tr>
      <w:tr>
        <w:trPr>
          <w:trHeight w:val="513" w:hRule="atLeast"/>
        </w:trPr>
        <w:tc>
          <w:tcPr>
            <w:tcW w:w="46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容量与部署规划</w:t>
            </w:r>
          </w:p>
        </w:tc>
        <w:tc>
          <w:tcPr>
            <w:tcW w:w="105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约 100 用户</w:t>
            </w:r>
          </w:p>
        </w:tc>
      </w:tr>
      <w:tr>
        <w:trPr>
          <w:trHeight w:val="513" w:hRule="atLeast"/>
        </w:trPr>
        <w:tc>
          <w:tcPr>
            <w:tcW w:w="46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正式需求基线</w:t>
            </w:r>
          </w:p>
        </w:tc>
        <w:tc>
          <w:tcPr>
            <w:tcW w:w="10592" w:type="dxa"/>
            <w:shd w:val="clear" w:color="auto" w:fill="FCE4D6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待填编号与版本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关键应用场景</w:t>
      </w:r>
    </w:p>
    <w:p>
      <w:pPr>
        <w:pBdr/>
        <w:shd w:val="clear" w:color="auto" w:fill="FFF2CC"/>
        <w:spacing w:line="360" w:lineRule="auto"/>
        <w:ind/>
        <w:jc w:val="center"/>
        <w:rPr>
          <w:rFonts w:ascii="Arial" w:hAnsi="Arial" w:eastAsia="宋体" w:cs="Arial"/>
          <w:b/>
          <w:bCs/>
          <w:sz w:val="18"/>
          <w:szCs w:val="18"/>
        </w:rPr>
      </w:pPr>
      <w:r>
        <w:rPr>
          <w:rFonts w:ascii="Arial" w:hAnsi="Arial" w:eastAsia="宋体" w:cs="Arial"/>
          <w:b/>
          <w:bCs/>
          <w:sz w:val="18"/>
          <w:szCs w:val="18"/>
        </w:rPr>
        <w:drawing>
          <wp:inline distT="0" distB="0" distL="0" distR="0">
            <wp:extent cx="9715500" cy="4561659"/>
            <wp:effectExtent l="0" t="0" r="0" b="0"/>
            <wp:docPr id="5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11"/>
                    <a:stretch/>
                  </pic:blipFill>
                  <pic:spPr>
                    <a:xfrm>
                      <a:off x="0" y="0"/>
                      <a:ext cx="9715500" cy="456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/>
        </w:pBdr>
        <w:shd w:val="clear" w:color="auto" w:fill="FFF2CC"/>
        <w:spacing w:line="360" w:lineRule="auto"/>
        <w:ind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 2-1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>关键应用场景关系（待补充）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5754"/>
        <w:gridCol w:w="2874"/>
        <w:gridCol w:w="4764"/>
      </w:tblGrid>
      <w:tr>
        <w:trPr>
          <w:trHeight w:val="613" w:hRule="atLeast"/>
        </w:trPr>
        <w:tc>
          <w:tcPr>
            <w:tcW w:w="188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ID</w:t>
            </w:r>
          </w:p>
        </w:tc>
        <w:tc>
          <w:tcPr>
            <w:tcW w:w="575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场景</w:t>
            </w:r>
          </w:p>
        </w:tc>
        <w:tc>
          <w:tcPr>
            <w:tcW w:w="287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路径</w:t>
            </w:r>
          </w:p>
        </w:tc>
        <w:tc>
          <w:tcPr>
            <w:tcW w:w="476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架构要点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USE-01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管理员创建 Pod / 通道 / 容量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编排、令牌、状态卷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USE-02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开通服务经理 + 模型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容量、模型唯一绑定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USE-03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企微绑定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门禁、绑定激活、apply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USE-04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一句话发起任务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Agent + Skill 授权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USE-05a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快速验证型 SOP（新场景试跑）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脚本型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 Skill、进度、Pod 内执行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USE-05b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生产可靠型 SOP（长链路/可恢复）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路径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 xml:space="preserve">Bridge → ClawFlow 微服务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USE-06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调用 MSSW/SDSP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脚本或 ClawFlow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脚本：会话管理；ClawFlow：能力中心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USE-07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配置变更 apply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事务与回滚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USE-08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约 100 用户扩展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 + 分路径资源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 Pod；ClawFlow 另扩 Worker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USE-09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异常与人工确认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业务层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Skill/ClawFlow 规则</w:t>
            </w:r>
          </w:p>
        </w:tc>
      </w:tr>
      <w:tr>
        <w:trPr>
          <w:trHeight w:val="613" w:hRule="atLeast"/>
        </w:trPr>
        <w:tc>
          <w:tcPr>
            <w:tcW w:w="188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USE-10</w:t>
            </w:r>
          </w:p>
        </w:tc>
        <w:tc>
          <w:tcPr>
            <w:tcW w:w="575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专家类分析</w:t>
            </w:r>
          </w:p>
        </w:tc>
        <w:tc>
          <w:tcPr>
            <w:tcW w:w="28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后置</w:t>
            </w:r>
          </w:p>
        </w:tc>
        <w:tc>
          <w:tcPr>
            <w:tcW w:w="47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同双路径加深内容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关键技术及解决途径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2"/>
        <w:gridCol w:w="10862"/>
      </w:tblGrid>
      <w:tr>
        <w:trPr>
          <w:trHeight w:val="513" w:hRule="atLeast"/>
        </w:trPr>
        <w:tc>
          <w:tcPr>
            <w:tcW w:w="441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关键问题</w:t>
            </w:r>
          </w:p>
        </w:tc>
        <w:tc>
          <w:tcPr>
            <w:tcW w:w="1086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途径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不改上游如何扩展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外置插件/CLI + 版本化 Runtime 配置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多用户如何隔离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agent / workspace / profile + 门禁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场景如何快速验证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脚本型 Skill，少组件、短闭环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 SOP 如何可靠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+ 能力中心，重试/补偿/续跑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平台密钥如何安全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不进 Skill 源码；脚本路径会话解析 / ClawFlow 路径能力中心内聚 IO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长任务体验</w:t>
            </w:r>
          </w:p>
        </w:tc>
        <w:tc>
          <w:tcPr>
            <w:tcW w:w="10862" w:type="dxa"/>
            <w:vAlign w:val="center"/>
          </w:tcPr>
          <w:p>
            <w:pPr>
              <w:pBdr/>
              <w:spacing w:line="276" w:lineRule="auto"/>
              <w:ind/>
              <w:rPr>
                <w:rFonts w:ascii="Arial" w:hAnsi="Arial" w:eastAsia="宋体" w:cs="Arial"/>
                <w:sz w:val="24"/>
                <w:szCs w:val="18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脚本：进度旁路；</w:t>
            </w:r>
          </w:p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ClawFlow：状态查询 + Agent 结果解释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Pod 不被打满</w:t>
            </w:r>
          </w:p>
        </w:tc>
        <w:tc>
          <w:tcPr>
            <w:tcW w:w="10862" w:type="dxa"/>
            <w:vAlign w:val="center"/>
          </w:tcPr>
          <w:p>
            <w:pPr>
              <w:pBdr/>
              <w:spacing w:line="276" w:lineRule="auto"/>
              <w:ind/>
              <w:rPr>
                <w:rFonts w:ascii="Arial" w:hAnsi="Arial" w:eastAsia="宋体" w:cs="Arial"/>
                <w:sz w:val="24"/>
                <w:szCs w:val="18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脚本：并发租约；</w:t>
            </w:r>
          </w:p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ClawFlow：重 IO/浏览器可迁出 Pod</w:t>
            </w:r>
          </w:p>
        </w:tc>
      </w:tr>
      <w:tr>
        <w:trPr>
          <w:trHeight w:val="513" w:hRule="atLeast"/>
        </w:trPr>
        <w:tc>
          <w:tcPr>
            <w:tcW w:w="441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两路径如何共存</w:t>
            </w:r>
          </w:p>
        </w:tc>
        <w:tc>
          <w:tcPr>
            <w:tcW w:w="1086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同一 Agent 按 Skill 类型选择入口；</w:t>
            </w: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  <w:r>
              <w:rPr>
                <w:rFonts w:ascii="Arial" w:hAnsi="Arial" w:eastAsia="宋体" w:cs="Arial"/>
                <w:sz w:val="24"/>
                <w:szCs w:val="18"/>
              </w:rPr>
              <w:t>统一授权与审计视角</w:t>
            </w:r>
          </w:p>
        </w:tc>
      </w:tr>
    </w:tbl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硬件方案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基本硬件构成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不涉及专用硬件。 通用 amd64 服务器/云主机。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0"/>
        <w:gridCol w:w="9975"/>
      </w:tblGrid>
      <w:tr>
        <w:trPr>
          <w:trHeight w:val="509" w:hRule="atLeast"/>
        </w:trPr>
        <w:tc>
          <w:tcPr>
            <w:tcW w:w="53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环境</w:t>
            </w:r>
          </w:p>
        </w:tc>
        <w:tc>
          <w:tcPr>
            <w:tcW w:w="9975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建议规格（规划值）</w:t>
            </w:r>
          </w:p>
        </w:tc>
      </w:tr>
      <w:tr>
        <w:trPr>
          <w:trHeight w:val="509" w:hRule="atLeast"/>
        </w:trPr>
        <w:tc>
          <w:tcPr>
            <w:tcW w:w="53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测试</w:t>
            </w:r>
          </w:p>
        </w:tc>
        <w:tc>
          <w:tcPr>
            <w:tcW w:w="9975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最低 4 vCPU / 8 GiB / 50 GB SSD（可仅脚本路径；ClawFlow 路径另需执行面容器）</w:t>
            </w:r>
          </w:p>
        </w:tc>
      </w:tr>
      <w:tr>
        <w:trPr>
          <w:trHeight w:val="509" w:hRule="atLeast"/>
        </w:trPr>
        <w:tc>
          <w:tcPr>
            <w:tcW w:w="53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生产约 100 用户（脚本路径为主）</w:t>
            </w:r>
          </w:p>
        </w:tc>
        <w:tc>
          <w:tcPr>
            <w:tcW w:w="9975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约 40–48 vCPU / 96–128 GiB / 500Gi+ SSD</w:t>
            </w:r>
          </w:p>
        </w:tc>
      </w:tr>
      <w:tr>
        <w:trPr>
          <w:trHeight w:val="509" w:hRule="atLeast"/>
        </w:trPr>
        <w:tc>
          <w:tcPr>
            <w:tcW w:w="53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生产约 100 用户（对话轻量化 + ClawFlow 后）</w:t>
            </w:r>
          </w:p>
        </w:tc>
        <w:tc>
          <w:tcPr>
            <w:tcW w:w="9975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密度可提高；另计 ClawFlow 微服务 + Worker + 执行库（压测确认）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 xml:space="preserve"/>
            </w:r>
          </w:p>
        </w:tc>
      </w:tr>
      <w:tr>
        <w:trPr>
          <w:trHeight w:val="509" w:hRule="atLeast"/>
        </w:trPr>
        <w:tc>
          <w:tcPr>
            <w:tcW w:w="53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加速芯片</w:t>
            </w:r>
          </w:p>
        </w:tc>
        <w:tc>
          <w:tcPr>
            <w:tcW w:w="9975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不涉及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专用芯片说明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不涉及。 LLM 在外部模型服务完成。</w:t>
      </w: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软件方案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方案选型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决策点一：Agent 内核（OpenClaw vs Hermes）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9"/>
        <w:gridCol w:w="3819"/>
        <w:gridCol w:w="3819"/>
        <w:gridCol w:w="3819"/>
      </w:tblGrid>
      <w:tr>
        <w:trPr>
          <w:trHeight w:val="422" w:hRule="atLeast"/>
        </w:trPr>
        <w:tc>
          <w:tcPr>
            <w:tcW w:w="381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评估准则</w:t>
            </w:r>
          </w:p>
        </w:tc>
        <w:tc>
          <w:tcPr>
            <w:tcW w:w="381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权重</w:t>
            </w:r>
          </w:p>
        </w:tc>
        <w:tc>
          <w:tcPr>
            <w:tcW w:w="381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OpenClaw 加权</w:t>
            </w:r>
          </w:p>
        </w:tc>
        <w:tc>
          <w:tcPr>
            <w:tcW w:w="381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Hermes 加权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企微私聊交付体验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30%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1.50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0.90</w:t>
            </w:r>
          </w:p>
        </w:tc>
      </w:tr>
      <w:tr>
        <w:trPr>
          <w:trHeight w:val="528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企业 Skill 分层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25%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1.25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0.50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跨 IM 身份关联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15%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0.75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0.30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多用户会话工程化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15%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0.60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0.75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 fork 扩展成本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10%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0.50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0.40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群聊 per-user（低权重）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5%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0.15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0.25</w:t>
            </w:r>
          </w:p>
        </w:tc>
      </w:tr>
      <w:tr>
        <w:trPr>
          <w:trHeight w:val="422" w:hRule="atLeast"/>
        </w:trPr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合计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100%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4.75</w:t>
            </w:r>
          </w:p>
        </w:tc>
        <w:tc>
          <w:tcPr>
            <w:tcW w:w="381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3.10</w:t>
            </w:r>
          </w:p>
        </w:tc>
      </w:tr>
    </w:tbl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pStyle w:val="000031"/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结论：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采用 OpenClaw 作为 Agent 内核，主要原因是其 session/peer、workspace/extraDirs 及 agent-IM 绑定机制更贴合企微私聊交付、企业 Skill 分层和跨 IM 身份关联。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Hermes 本期不作为主内核，仅作为后续会话/群聊能力演进参考；OpenClaw 的多用户底座由 Console、Runtime 配置、绑定路由和门禁能力补齐。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决策点二：部署单元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7"/>
        <w:gridCol w:w="7637"/>
      </w:tblGrid>
      <w:tr>
        <w:trPr>
          <w:trHeight w:val="551" w:hRule="atLeast"/>
        </w:trPr>
        <w:tc>
          <w:tcPr>
            <w:tcW w:w="763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方案</w:t>
            </w:r>
          </w:p>
        </w:tc>
        <w:tc>
          <w:tcPr>
            <w:tcW w:w="763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结论</w:t>
            </w:r>
          </w:p>
        </w:tc>
      </w:tr>
      <w:tr>
        <w:trPr>
          <w:trHeight w:val="551" w:hRule="atLeast"/>
        </w:trPr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每用户一 Pod</w:t>
            </w:r>
          </w:p>
        </w:tc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否（稳态成本）</w:t>
            </w:r>
          </w:p>
        </w:tc>
      </w:tr>
      <w:tr>
        <w:trPr>
          <w:trHeight w:val="551" w:hRule="atLeast"/>
        </w:trPr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 Pod 多用户约 10</w:t>
            </w:r>
          </w:p>
        </w:tc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是；ClawFlow 路径下目标提高对话密度（压测后）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决策点三：SOP 执行架构选型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SOP 执行架构需同时覆盖两类诉求：新场景快速验证和稳定生产流程治理。前者强调接入速度，后者强调状态管理、失败恢复、审计和复用。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4700"/>
        <w:gridCol w:w="5200"/>
        <w:gridCol w:w="2774"/>
      </w:tblGrid>
      <w:tr>
        <w:trPr>
          <w:trHeight w:val="642" w:hRule="atLeast"/>
        </w:trPr>
        <w:tc>
          <w:tcPr>
            <w:tcW w:w="26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方案</w:t>
            </w:r>
          </w:p>
        </w:tc>
        <w:tc>
          <w:tcPr>
            <w:tcW w:w="47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说明</w:t>
            </w:r>
          </w:p>
        </w:tc>
        <w:tc>
          <w:tcPr>
            <w:tcW w:w="52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主要问题</w:t>
            </w:r>
          </w:p>
        </w:tc>
        <w:tc>
          <w:tcPr>
            <w:tcW w:w="277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结论</w:t>
            </w:r>
          </w:p>
        </w:tc>
      </w:tr>
      <w:tr>
        <w:trPr>
          <w:trHeight w:val="642" w:hRule="atLeast"/>
        </w:trPr>
        <w:tc>
          <w:tcPr>
            <w:tcW w:w="26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仅脚本执行</w:t>
            </w:r>
          </w:p>
        </w:tc>
        <w:tc>
          <w:tcPr>
            <w:tcW w:w="47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所有 SOP 由脚本直接承载，接入快、实现简单</w:t>
            </w:r>
          </w:p>
        </w:tc>
        <w:tc>
          <w:tcPr>
            <w:tcW w:w="52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长任务可靠性、审计和复用不足</w:t>
            </w:r>
          </w:p>
        </w:tc>
        <w:tc>
          <w:tcPr>
            <w:tcW w:w="27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不作为生产主路径</w:t>
            </w:r>
          </w:p>
        </w:tc>
      </w:tr>
      <w:tr>
        <w:trPr>
          <w:trHeight w:val="642" w:hRule="atLeast"/>
        </w:trPr>
        <w:tc>
          <w:tcPr>
            <w:tcW w:w="26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仅 ClawFlow 编排</w:t>
            </w:r>
          </w:p>
        </w:tc>
        <w:tc>
          <w:tcPr>
            <w:tcW w:w="47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所有 SOP 通过流程建模执行，治理统一</w:t>
            </w:r>
          </w:p>
        </w:tc>
        <w:tc>
          <w:tcPr>
            <w:tcW w:w="52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新场景验证成本高，简单任务也需流程化</w:t>
            </w:r>
          </w:p>
        </w:tc>
        <w:tc>
          <w:tcPr>
            <w:tcW w:w="27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不作为唯一入口</w:t>
            </w:r>
          </w:p>
        </w:tc>
      </w:tr>
      <w:tr>
        <w:trPr>
          <w:trHeight w:val="642" w:hRule="atLeast"/>
        </w:trPr>
        <w:tc>
          <w:tcPr>
            <w:tcW w:w="26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分层执行架构</w:t>
            </w:r>
          </w:p>
        </w:tc>
        <w:tc>
          <w:tcPr>
            <w:tcW w:w="47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脚本承载轻量任务和能力验证；ClawFlow 承载生产 SOP</w:t>
            </w:r>
          </w:p>
        </w:tc>
        <w:tc>
          <w:tcPr>
            <w:tcW w:w="52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需明确两种模式边界</w:t>
            </w:r>
          </w:p>
        </w:tc>
        <w:tc>
          <w:tcPr>
            <w:tcW w:w="27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采用</w:t>
            </w:r>
          </w:p>
        </w:tc>
      </w:tr>
    </w:tbl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b/>
          <w:bCs/>
          <w:sz w:val="24"/>
          <w:szCs w:val="18"/>
        </w:rPr>
        <w:t>选型结论：采用分层执行架构。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脚本用于快速形成能力，适合新场景验证、一次性任务和低风险自动化；ClawFlow 用于承载稳定 SOP，适合多步骤、长任务、失败恢复、审计和复用场景。重复使用且具备生产价值的脚本能力，逐步沉淀为 ClawFlow 节点或流程。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选型结论（稳态）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2"/>
        <w:gridCol w:w="8192"/>
      </w:tblGrid>
      <w:tr>
        <w:trPr>
          <w:trHeight w:val="513" w:hRule="atLeast"/>
        </w:trPr>
        <w:tc>
          <w:tcPr>
            <w:tcW w:w="708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决策点</w:t>
            </w:r>
          </w:p>
        </w:tc>
        <w:tc>
          <w:tcPr>
            <w:tcW w:w="819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选择</w:t>
            </w:r>
          </w:p>
        </w:tc>
      </w:tr>
      <w:tr>
        <w:trPr>
          <w:trHeight w:val="513" w:hRule="atLeast"/>
        </w:trPr>
        <w:tc>
          <w:tcPr>
            <w:tcW w:w="70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Agent 内核</w:t>
            </w:r>
          </w:p>
        </w:tc>
        <w:tc>
          <w:tcPr>
            <w:tcW w:w="81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OpenClaw</w:t>
            </w:r>
          </w:p>
        </w:tc>
      </w:tr>
      <w:tr>
        <w:trPr>
          <w:trHeight w:val="513" w:hRule="atLeast"/>
        </w:trPr>
        <w:tc>
          <w:tcPr>
            <w:tcW w:w="70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部署单元</w:t>
            </w:r>
          </w:p>
        </w:tc>
        <w:tc>
          <w:tcPr>
            <w:tcW w:w="81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 Pod 多用户</w:t>
            </w:r>
          </w:p>
        </w:tc>
      </w:tr>
      <w:tr>
        <w:trPr>
          <w:trHeight w:val="513" w:hRule="atLeast"/>
        </w:trPr>
        <w:tc>
          <w:tcPr>
            <w:tcW w:w="70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扩展方式</w:t>
            </w:r>
          </w:p>
        </w:tc>
        <w:tc>
          <w:tcPr>
            <w:tcW w:w="81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 xml:space="preserve">不 fork；外置工具链 + ClawFlow 微服务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513" w:hRule="atLeast"/>
        </w:trPr>
        <w:tc>
          <w:tcPr>
            <w:tcW w:w="70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SOP 执行</w:t>
            </w:r>
          </w:p>
        </w:tc>
        <w:tc>
          <w:tcPr>
            <w:tcW w:w="81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脚本型路径 ∥ ClawFlow 路径 并存</w:t>
            </w:r>
          </w:p>
        </w:tc>
      </w:tr>
      <w:tr>
        <w:trPr>
          <w:trHeight w:val="513" w:hRule="atLeast"/>
        </w:trPr>
        <w:tc>
          <w:tcPr>
            <w:tcW w:w="70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消息路由</w:t>
            </w:r>
          </w:p>
        </w:tc>
        <w:tc>
          <w:tcPr>
            <w:tcW w:w="81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管理员分配 Pod + 绑定路由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软件总体架构</w:t>
      </w:r>
    </w:p>
    <w:p>
      <w:pPr>
        <w:pStyle w:val="000004"/>
        <w:numPr>
          <w:ilvl w:val="2"/>
          <w:numId w:val="1"/>
        </w:numPr>
        <w:pBdr/>
        <w:spacing w:line="360" w:lineRule="auto"/>
        <w:ind/>
        <w:rPr/>
      </w:pPr>
      <w:r>
        <w:rPr>
          <w:rFonts w:ascii="Arial" w:hAnsi="Arial" w:eastAsia="宋体" w:cs="Arial"/>
          <w:b/>
          <w:bCs/>
        </w:rPr>
        <w:t>逻辑视图（双路径）</w:t>
      </w:r>
    </w:p>
    <w:p>
      <w:pPr>
        <w:pStyle w:val="000005"/>
        <w:numPr>
          <w:ilvl w:val="3"/>
          <w:numId w:val="1"/>
        </w:numPr>
        <w:rPr/>
      </w:pPr>
      <w:r>
        <w:rPr/>
        <w:t>系统架构图</w:t>
      </w:r>
    </w:p>
    <w:p>
      <w:pPr>
        <w:spacing w:before="120" w:after="60" w:line="360" w:lineRule="auto"/>
        <w:jc w:val="center"/>
        <w:rPr/>
      </w:pPr>
      <w:r>
        <w:rPr/>
        <w:drawing>
          <wp:inline distT="0" distB="0" distL="0" distR="0">
            <wp:extent cx="9789547" cy="5037127"/>
            <wp:effectExtent l="0" t="0" r="0" b="0"/>
            <wp:docPr id="8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true">
                    <a:blip r:embed="rId12">
                      <a:extLst/>
                    </a:blip>
                    <a:stretch/>
                  </pic:blipFill>
                  <pic:spPr>
                    <a:xfrm flipH="false" flipV="false">
                      <a:off x="0" y="0"/>
                      <a:ext cx="9789547" cy="503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line="360" w:lineRule="auto"/>
        <w:ind/>
        <w:jc w:val="center"/>
        <w:rPr>
          <w:rFonts w:hint="eastAsia" w:ascii="Arial" w:hAnsi="Arial" w:eastAsia="宋体" w:cs="Arial"/>
          <w:b/>
          <w:bCs/>
          <w:sz w:val="18"/>
          <w:szCs w:val="18"/>
        </w:rPr>
      </w:pPr>
      <w:r>
        <w:rPr>
          <w:rFonts w:hint="eastAsia" w:ascii="Arial" w:hAnsi="Arial" w:eastAsia="宋体" w:cs="Arial"/>
          <w:b/>
          <w:bCs/>
          <w:sz w:val="18"/>
          <w:szCs w:val="18"/>
        </w:rPr>
        <w:t>【</w:t>
      </w:r>
      <w:r>
        <w:rPr>
          <w:rFonts w:ascii="Arial" w:hAnsi="Arial" w:eastAsia="宋体" w:cs="Arial"/>
          <w:b/>
          <w:bCs/>
          <w:sz w:val="18"/>
          <w:szCs w:val="18"/>
        </w:rPr>
        <w:t>图 4-1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 xml:space="preserve"> 系统</w:t>
      </w:r>
      <w:r>
        <w:rPr>
          <w:rFonts w:hint="eastAsia" w:ascii="Arial" w:hAnsi="Arial" w:eastAsia="宋体" w:cs="Arial"/>
          <w:b/>
          <w:bCs/>
          <w:sz w:val="18"/>
          <w:szCs w:val="18"/>
        </w:rPr>
        <w:t>架构图</w:t>
      </w: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入口角色</w:t>
      </w:r>
    </w:p>
    <w:p>
      <w:pPr>
        <w:numPr>
          <w:ilvl w:val="0"/>
          <w:numId w:val="2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管理员：经浏览器访问 Console，负责创建/管理 Pod、用户、模型与配置，并将生效配置下发到运行 Pod。</w:t>
      </w:r>
    </w:p>
    <w:p>
      <w:pPr>
        <w:numPr>
          <w:ilvl w:val="0"/>
          <w:numId w:val="2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服务经理：经企业微信与运行 Pod 交互，发送任务、接收进度与结果；不直接操作</w:t>
      </w:r>
      <w:r>
        <w:rPr>
          <w:i w:val="false"/>
          <w:strike w:val="false"/>
          <w:spacing w:val="0"/>
          <w:u w:val="none"/>
        </w:rPr>
        <w:t>控制面板</w:t>
      </w:r>
      <w:r>
        <w:rPr>
          <w:i w:val="false"/>
          <w:strike w:val="false"/>
          <w:spacing w:val="0"/>
          <w:u w:val="none"/>
        </w:rPr>
        <w:t>。</w:t>
      </w:r>
    </w:p>
    <w:p>
      <w:pPr>
        <w:snapToGrid/>
        <w:spacing w:line="240"/>
        <w:ind/>
        <w:rPr/>
      </w:pPr>
    </w:p>
    <w:p>
      <w:pPr>
        <w:pBdr>
          <w:bottom/>
        </w:pBd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控制面板</w:t>
      </w:r>
      <w:r>
        <w:rPr>
          <w:b/>
          <w:i w:val="false"/>
          <w:strike w:val="false"/>
          <w:spacing w:val="0"/>
          <w:u w:val="none"/>
        </w:rPr>
        <w:t>板</w:t>
      </w:r>
    </w:p>
    <w:p>
      <w:pPr>
        <w:numPr>
          <w:ilvl w:val="0"/>
          <w:numId w:val="3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Console 控制台：平台管理入口，维护用户、身份绑定、模型池、Pod 与技能相关配置。</w:t>
      </w:r>
    </w:p>
    <w:p>
      <w:pPr>
        <w:numPr>
          <w:ilvl w:val="0"/>
          <w:numId w:val="3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SQLite：</w:t>
      </w:r>
      <w:r>
        <w:rPr>
          <w:i w:val="false"/>
          <w:strike w:val="false"/>
          <w:spacing w:val="0"/>
          <w:u w:val="none"/>
        </w:rPr>
        <w:t>控制面板</w:t>
      </w:r>
      <w:r>
        <w:rPr>
          <w:i w:val="false"/>
          <w:strike w:val="false"/>
          <w:spacing w:val="0"/>
          <w:u w:val="none"/>
        </w:rPr>
        <w:t>数据存储（管理真相源）。</w:t>
      </w:r>
    </w:p>
    <w:p>
      <w:pPr>
        <w:numPr>
          <w:ilvl w:val="0"/>
          <w:numId w:val="3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Console 通过编排与 apply，将运行配置写入各 Claw Pod 的状态存储；运行 Pod 在需要时经内部接口回连 Console（如绑定激活、登录态解析等）。</w:t>
      </w:r>
    </w:p>
    <w:p>
      <w:pPr>
        <w:snapToGrid/>
        <w:spacing w:line="240"/>
        <w:ind/>
        <w:rPr/>
      </w:pPr>
    </w:p>
    <w:p>
      <w:pPr>
        <w:pBdr>
          <w:bottom/>
        </w:pBd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运行 Pod</w:t>
      </w:r>
    </w:p>
    <w:p>
      <w:pPr>
        <w:numPr>
          <w:ilvl w:val="0"/>
          <w:numId w:val="4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多个 Claw Pod（Pod 01…N）水平扩展；每个 Pod 挂载独立 State PVC，保存该 Pod 的 openclaw.json、多用户 agent 工作区、session-store、浏览器状态等。</w:t>
      </w:r>
    </w:p>
    <w:p>
      <w:pPr>
        <w:numPr>
          <w:ilvl w:val="0"/>
          <w:numId w:val="4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Public Skills PVC 为多 Pod 共享的公共技能包（只读）。</w:t>
      </w:r>
    </w:p>
    <w:p>
      <w:pPr>
        <w:numPr>
          <w:ilvl w:val="0"/>
          <w:numId w:val="4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单 Pod 内多服务经理共享 Gateway，按 agent 逻辑隔离；内部组件见 图 4-3（runtime-guard、session-manager 等）。</w:t>
      </w:r>
    </w:p>
    <w:p>
      <w:pPr>
        <w:numPr>
          <w:ilvl w:val="0"/>
          <w:numId w:val="4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服务经理消息进入其所属 Pod，不在首次消息时自动抢占其它 Pod。</w:t>
      </w:r>
    </w:p>
    <w:p>
      <w:pPr>
        <w:snapToGrid/>
        <w:spacing w:line="240"/>
        <w:ind/>
        <w:rPr/>
      </w:pPr>
    </w:p>
    <w:p>
      <w:pPr>
        <w:pBdr>
          <w:bottom/>
        </w:pBd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外部服务</w:t>
      </w:r>
    </w:p>
    <w:p>
      <w:pPr>
        <w:numPr>
          <w:ilvl w:val="0"/>
          <w:numId w:val="5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LLM 模型服务：各 Pod 内 agent 按用户绑定的模型配置调用。</w:t>
      </w:r>
    </w:p>
    <w:p>
      <w:pPr>
        <w:numPr>
          <w:ilvl w:val="0"/>
          <w:numId w:val="5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MSSW 业务系统：业务 API 与能力所在侧。其中：</w:t>
      </w:r>
    </w:p>
    <w:p>
      <w:pPr>
        <w:snapToGrid/>
        <w:spacing w:line="240"/>
        <w:ind w:left="0" w:leftChars="200"/>
        <w:rPr/>
      </w:pPr>
      <w:r>
        <w:rPr>
          <w:i w:val="false"/>
          <w:strike w:val="false"/>
          <w:spacing w:val="0"/>
          <w:u w:val="none"/>
        </w:rPr>
        <w:t xml:space="preserve">  - ServiceA / ServiceB…：普通业务服务；</w:t>
      </w:r>
    </w:p>
    <w:p>
      <w:pPr>
        <w:snapToGrid/>
        <w:spacing w:line="240"/>
        <w:ind w:left="0" w:leftChars="200"/>
        <w:rPr/>
      </w:pPr>
      <w:r>
        <w:rPr>
          <w:i w:val="false"/>
          <w:strike w:val="false"/>
          <w:spacing w:val="0"/>
          <w:u w:val="none"/>
        </w:rPr>
        <w:t xml:space="preserve">  - ClawFlow：MSSW 侧微服务，是 Claw Pod 与 MSSW 业务平台之间的连接桥梁，承接生产可靠执行与过程记录。</w:t>
      </w:r>
    </w:p>
    <w:p>
      <w:pPr>
        <w:snapToGrid/>
        <w:spacing w:line="240"/>
        <w:ind/>
        <w:rPr/>
      </w:pPr>
    </w:p>
    <w:p>
      <w:pPr>
        <w:pBdr>
          <w:bottom/>
        </w:pBd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双路径（效果验证 / 生产可靠）</w:t>
      </w:r>
    </w:p>
    <w:tbl>
      <w:tblPr>
        <w:tblStyle w:val="000022"/>
        <w:jc w:val="center"/>
        <w:tblInd w:w="0"/>
        <w:tblLayout w:type="fixed"/>
        <w:tblLook w:firstRow="true" w:lastRow="false" w:firstColumn="true" w:lastColumn="false" w:noHBand="false" w:noVBand="true"/>
      </w:tblPr>
      <w:tblGrid>
        <w:gridCol w:w="3356"/>
        <w:gridCol w:w="4272"/>
        <w:gridCol w:w="7639"/>
      </w:tblGrid>
      <w:tr>
        <w:trPr>
          <w:trHeight w:val="448" w:hRule="atLeast"/>
        </w:trPr>
        <w:tc>
          <w:tcPr>
            <w:tcW w:w="3356" w:type="dxa"/>
            <w:shd w:val="clear" w:color="auto" w:fill="BFBFBF"/>
            <w:vAlign w:val="center"/>
          </w:tcPr>
          <w:p>
            <w:pPr>
              <w:snapToGrid/>
              <w:spacing w:line="240"/>
              <w:rPr/>
            </w:pPr>
            <w:r>
              <w:rPr>
                <w:rFonts w:hint="eastAsia"/>
              </w:rPr>
              <w:t>路径</w:t>
            </w:r>
          </w:p>
        </w:tc>
        <w:tc>
          <w:tcPr>
            <w:tcW w:w="4272" w:type="dxa"/>
            <w:shd w:val="clear" w:color="auto" w:fill="BFBFBF"/>
            <w:vAlign w:val="center"/>
          </w:tcPr>
          <w:p>
            <w:pPr>
              <w:snapToGrid/>
              <w:spacing w:line="240"/>
              <w:rPr/>
            </w:pPr>
            <w:r>
              <w:rPr>
                <w:rFonts w:hint="eastAsia"/>
              </w:rPr>
              <w:t>含义</w:t>
            </w:r>
          </w:p>
        </w:tc>
        <w:tc>
          <w:tcPr>
            <w:tcW w:w="7639" w:type="dxa"/>
            <w:shd w:val="clear" w:color="auto" w:fill="BFBFBF"/>
            <w:vAlign w:val="center"/>
          </w:tcPr>
          <w:p>
            <w:pPr>
              <w:snapToGrid/>
              <w:spacing w:line="240"/>
              <w:rPr/>
            </w:pPr>
            <w:r>
              <w:rPr>
                <w:rFonts w:hint="eastAsia"/>
              </w:rPr>
              <w:t>走向</w:t>
            </w:r>
          </w:p>
        </w:tc>
      </w:tr>
      <w:tr>
        <w:trPr>
          <w:wBefore/>
          <w:trHeight w:val="448" w:hRule="atLeast"/>
        </w:trPr>
        <w:tc>
          <w:tcPr>
            <w:tcW w:w="3356" w:type="dxa"/>
            <w:vAlign w:val="center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快速验证型</w:t>
            </w:r>
          </w:p>
        </w:tc>
        <w:tc>
          <w:tcPr>
            <w:tcW w:w="4272" w:type="dxa"/>
            <w:vAlign w:val="center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演示、尽快看效果</w:t>
            </w:r>
          </w:p>
        </w:tc>
        <w:tc>
          <w:tcPr>
            <w:tcW w:w="7639" w:type="dxa"/>
            <w:vAlign w:val="center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Pod 内轻量 Skill/调用 → MSSW 业务 Service</w:t>
            </w:r>
          </w:p>
        </w:tc>
      </w:tr>
      <w:tr>
        <w:trPr>
          <w:trHeight w:val="448" w:hRule="atLeast"/>
        </w:trPr>
        <w:tc>
          <w:tcPr>
            <w:tcW w:w="3356" w:type="dxa"/>
            <w:vAlign w:val="center"/>
          </w:tcPr>
          <w:p>
            <w:pPr>
              <w:snapToGrid/>
              <w:spacing w:line="240"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生产可靠型</w:t>
            </w:r>
          </w:p>
        </w:tc>
        <w:tc>
          <w:tcPr>
            <w:tcW w:w="4272" w:type="dxa"/>
            <w:vAlign w:val="center"/>
          </w:tcPr>
          <w:p>
            <w:pPr>
              <w:snapToGrid/>
              <w:spacing w:line="240"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定型业务、可恢复与可追溯</w:t>
            </w:r>
          </w:p>
        </w:tc>
        <w:tc>
          <w:tcPr>
            <w:tcW w:w="7639" w:type="dxa"/>
            <w:vAlign w:val="center"/>
          </w:tcPr>
          <w:p>
            <w:pPr>
              <w:pBdr>
                <w:bottom/>
              </w:pBdr>
              <w:snapToGrid/>
              <w:spacing w:line="240"/>
              <w:ind/>
              <w:rPr>
                <w:i w:val="false"/>
                <w:strike w:val="false"/>
                <w:spacing w:val="0"/>
                <w:u w:val="none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Pod 触发 → MSSW ClawFlow（执行与记录以 ClawFlow 执行历史和事件记录为准）</w:t>
            </w:r>
          </w:p>
        </w:tc>
      </w:tr>
    </w:tbl>
    <w:p>
      <w:pPr>
        <w:pStyle w:val="000005"/>
        <w:numPr>
          <w:ilvl w:val="0"/>
          <w:numId w:val="0"/>
        </w:numPr>
        <w:pBdr/>
        <w:ind w:left="864"/>
        <w:rPr/>
      </w:pPr>
    </w:p>
    <w:p>
      <w:pPr>
        <w:pStyle w:val="000005"/>
        <w:numPr>
          <w:ilvl w:val="3"/>
          <w:numId w:val="1"/>
        </w:numPr>
        <w:pBdr>
          <w:bottom/>
        </w:pBdr>
        <w:rPr/>
      </w:pPr>
      <w:r>
        <w:rPr/>
        <w:t>单Pod内部图</w:t>
      </w:r>
    </w:p>
    <w:p>
      <w:pPr>
        <w:spacing w:before="120" w:after="60" w:line="360" w:lineRule="auto"/>
        <w:jc w:val="center"/>
        <w:rPr/>
      </w:pPr>
      <w:r>
        <w:rPr/>
        <w:drawing>
          <wp:inline distT="0" distB="0" distL="0" distR="0">
            <wp:extent cx="9715500" cy="6155975"/>
            <wp:effectExtent l="0" t="0" r="0" b="0"/>
            <wp:docPr id="11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true">
                    <a:blip r:embed="rId13"/>
                    <a:stretch/>
                  </pic:blipFill>
                  <pic:spPr>
                    <a:xfrm>
                      <a:off x="0" y="0"/>
                      <a:ext cx="9715500" cy="61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ind/>
        <w:jc w:val="center"/>
        <w:rPr/>
      </w:pPr>
      <w:r>
        <w:rPr>
          <w:rFonts w:hint="eastAsia" w:ascii="Arial" w:hAnsi="Arial" w:eastAsia="宋体" w:cs="Arial"/>
          <w:b/>
          <w:bCs/>
          <w:sz w:val="18"/>
          <w:szCs w:val="18"/>
        </w:rPr>
        <w:t>【</w:t>
      </w:r>
      <w:r>
        <w:rPr>
          <w:rFonts w:ascii="Arial" w:hAnsi="Arial" w:eastAsia="宋体" w:cs="Arial"/>
          <w:b/>
          <w:bCs/>
          <w:sz w:val="18"/>
          <w:szCs w:val="18"/>
        </w:rPr>
        <w:t>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2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 xml:space="preserve"> 单 Runtime Pod 内部</w:t>
      </w: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共享层（Pod）</w:t>
      </w:r>
    </w:p>
    <w:p>
      <w:pPr>
        <w:numPr>
          <w:ilvl w:val="0"/>
          <w:numId w:val="6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Gateway + IM 插件：收消息、bindings 路由到 agent、回消息。</w:t>
      </w:r>
    </w:p>
    <w:p>
      <w:pPr>
        <w:numPr>
          <w:ilvl w:val="0"/>
          <w:numId w:val="6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runtime-guard：绑定、路径/浏览器隔离，以及 Skill/浏览器并发限制。</w:t>
      </w:r>
    </w:p>
    <w:p>
      <w:pPr>
        <w:numPr>
          <w:ilvl w:val="0"/>
          <w:numId w:val="6"/>
        </w:numPr>
        <w:pBdr/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>session-manager：业务登录态解析，写入本 agent 的 session-store。</w:t>
      </w:r>
    </w:p>
    <w:p>
      <w:pPr>
        <w:snapToGrid/>
        <w:spacing w:line="240"/>
        <w:ind w:left="0"/>
        <w:rPr/>
      </w:pP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每用户（agent A…N）</w:t>
      </w:r>
    </w:p>
    <w:p>
      <w:pPr>
        <w:numPr>
          <w:ilvl w:val="0"/>
          <w:numId w:val="7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各自使用独立的 workspace/记忆、session-store、browser profile、private skill。</w:t>
      </w:r>
    </w:p>
    <w:p>
      <w:pPr>
        <w:numPr>
          <w:ilvl w:val="0"/>
          <w:numId w:val="7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public skill 全 Pod 可用，private 仅本人。模型等管理项由 Console apply 进运行配置，不是用户私有数据主库。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存储</w:t>
      </w:r>
    </w:p>
    <w:p>
      <w:pPr>
        <w:numPr>
          <w:ilvl w:val="0"/>
          <w:numId w:val="8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State PVC：openclaw.json 与各用户运行态目录。</w:t>
      </w:r>
    </w:p>
    <w:p>
      <w:pPr>
        <w:numPr>
          <w:ilvl w:val="0"/>
          <w:numId w:val="8"/>
        </w:numPr>
        <w:pBdr>
          <w:bottom/>
        </w:pBdr>
        <w:spacing w:line="360" w:lineRule="auto"/>
        <w:ind/>
        <w:rPr/>
      </w:pPr>
      <w:r>
        <w:rPr>
          <w:i w:val="false"/>
          <w:strike w:val="false"/>
          <w:spacing w:val="0"/>
          <w:u w:val="none"/>
        </w:rPr>
        <w:t>Public Skills PVC：公共 Skill，只读共享。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过程视图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过程动态详见 §4.3 时序图占位（图 4-8～4-11）。本节仅对比双路径行为差异。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8"/>
        <w:gridCol w:w="6580"/>
        <w:gridCol w:w="6267"/>
      </w:tblGrid>
      <w:tr>
        <w:trPr>
          <w:trHeight w:val="631" w:hRule="atLeast"/>
        </w:trPr>
        <w:tc>
          <w:tcPr>
            <w:tcW w:w="2428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行为</w:t>
            </w:r>
          </w:p>
        </w:tc>
        <w:tc>
          <w:tcPr>
            <w:tcW w:w="658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脚本型路径</w:t>
            </w:r>
          </w:p>
        </w:tc>
        <w:tc>
          <w:tcPr>
            <w:tcW w:w="626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ClawFlow 路径</w:t>
            </w:r>
          </w:p>
        </w:tc>
      </w:tr>
      <w:tr>
        <w:trPr>
          <w:wBefore/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rFonts w:hint="eastAsia"/>
                <w:sz w:val="24"/>
              </w:rPr>
              <w:t>目的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联调、演示、看效果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定型业务、可恢复、可追溯</w:t>
            </w:r>
          </w:p>
        </w:tc>
      </w:tr>
      <w:tr>
        <w:trPr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触发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Agent → Skill 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(</w:t>
            </w:r>
            <w:r>
              <w:rPr>
                <w:i w:val="false"/>
                <w:strike w:val="false"/>
                <w:spacing w:val="0"/>
                <w:u w:val="none"/>
              </w:rPr>
              <w:t>含较重验证逻辑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)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→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业务调用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Agent → 轻/薄 Skill（意图识别、参数整理、流程触发与结果解释） → MSSW ClawFlow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i w:val="false"/>
                <w:strike w:val="false"/>
                <w:spacing w:val="0"/>
                <w:u w:val="none"/>
              </w:rPr>
              <w:t xml:space="preserve"/>
            </w:r>
          </w:p>
        </w:tc>
      </w:tr>
      <w:tr>
        <w:trPr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状态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进程内/本地，Pod 重启易丢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状态持久化，可续跑</w:t>
            </w:r>
          </w:p>
        </w:tc>
      </w:tr>
      <w:tr>
        <w:trPr>
          <w:wBefore/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rFonts w:hint="eastAsia"/>
                <w:sz w:val="24"/>
              </w:rPr>
              <w:t>执行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Claw Pod 通过 Skill 调用 MSSW Service 的 Web 接口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rFonts w:hint="eastAsia"/>
                <w:sz w:val="24"/>
              </w:rPr>
              <w:t>通过 MSSW ClawFlow 调用 MSSW Service 的内部接口</w:t>
            </w:r>
            <w:r>
              <w:rPr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 xml:space="preserve"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/>
            </w:r>
          </w:p>
        </w:tc>
      </w:tr>
      <w:tr>
        <w:trPr>
          <w:wBefore/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rFonts w:hint="eastAsia"/>
                <w:sz w:val="24"/>
              </w:rPr>
              <w:t>状态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本地/进程态，易丢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ind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ClawFlow 持久化，可续跑</w:t>
            </w:r>
          </w:p>
        </w:tc>
      </w:tr>
      <w:tr>
        <w:trPr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失败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脚本自管有限重试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ClawFlow 重试/补偿</w:t>
            </w:r>
          </w:p>
        </w:tc>
      </w:tr>
      <w:tr>
        <w:trPr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浏览器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可在 Pod 内（吃内存）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宜在 ClawFlow 微服务 Activity 内短生命周期，并由 ClawFlow 侧控制资源释放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  <w:r>
              <w:rPr>
                <w:rFonts w:ascii="Arial" w:hAnsi="Arial" w:eastAsia="宋体" w:cs="Arial"/>
                <w:sz w:val="24"/>
                <w:szCs w:val="18"/>
              </w:rPr>
              <w:t xml:space="preserve"/>
            </w:r>
          </w:p>
        </w:tc>
      </w:tr>
      <w:tr>
        <w:trPr>
          <w:trHeight w:val="631" w:hRule="atLeast"/>
        </w:trPr>
        <w:tc>
          <w:tcPr>
            <w:tcW w:w="242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审计</w:t>
            </w:r>
          </w:p>
        </w:tc>
        <w:tc>
          <w:tcPr>
            <w:tcW w:w="658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  <w:tc>
          <w:tcPr>
            <w:tcW w:w="62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以 ClawFlow 执行历史和事件记录为准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物理视图</w:t>
      </w:r>
    </w:p>
    <w:p>
      <w:pPr>
        <w:spacing w:before="120" w:after="60" w:line="360" w:lineRule="auto"/>
        <w:jc w:val="center"/>
        <w:rPr/>
      </w:pPr>
      <w:r>
        <w:rPr/>
        <w:drawing>
          <wp:inline distT="0" distB="0" distL="0" distR="0">
            <wp:extent cx="9715500" cy="5661000"/>
            <wp:effectExtent l="0" t="0" r="0" b="0"/>
            <wp:docPr id="14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true">
                    <a:blip r:embed="rId14"/>
                    <a:stretch/>
                  </pic:blipFill>
                  <pic:spPr>
                    <a:xfrm>
                      <a:off x="0" y="0"/>
                      <a:ext cx="9715500" cy="56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  <w:rPr/>
      </w:pPr>
      <w:r>
        <w:rPr>
          <w:rFonts w:hint="eastAsia" w:ascii="Arial" w:hAnsi="Arial" w:eastAsia="宋体" w:cs="Arial"/>
          <w:b/>
          <w:bCs/>
          <w:sz w:val="18"/>
          <w:szCs w:val="18"/>
        </w:rPr>
        <w:t>【</w:t>
      </w:r>
      <w:r>
        <w:rPr>
          <w:rFonts w:ascii="Arial" w:hAnsi="Arial" w:eastAsia="宋体" w:cs="Arial"/>
          <w:b/>
          <w:bCs/>
          <w:sz w:val="18"/>
          <w:szCs w:val="18"/>
        </w:rPr>
        <w:t>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3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 xml:space="preserve"> 物理部署与资源</w:t>
      </w:r>
    </w:p>
    <w:p>
      <w:pP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>MSS Claw 与 MSSW 同集群、分 Namespace 部署。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入口</w:t>
      </w:r>
    </w:p>
    <w:p>
      <w:pPr>
        <w:numPr>
          <w:ilvl w:val="0"/>
          <w:numId w:val="9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管理员 → Nginx → Console</w:t>
      </w:r>
    </w:p>
    <w:p>
      <w:pPr>
        <w:numPr>
          <w:ilvl w:val="0"/>
          <w:numId w:val="9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服务经理 → 企微 → Claw Pod</w:t>
      </w:r>
    </w:p>
    <w:p>
      <w:pPr>
        <w:numPr>
          <w:ilvl w:val="0"/>
          <w:numId w:val="9"/>
        </w:numP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>MSSW 侧经 Nginx 进入 MSS 空间（业务入口）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Claw 空间</w:t>
      </w:r>
    </w:p>
    <w:p>
      <w:pPr>
        <w:numPr>
          <w:ilvl w:val="0"/>
          <w:numId w:val="10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Console：开通与配置下发</w:t>
      </w:r>
    </w:p>
    <w:p>
      <w:pPr>
        <w:numPr>
          <w:ilvl w:val="0"/>
          <w:numId w:val="10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Claw Pod A…N：多用户运行时（约 10 用户/Pod）；各 Pod 挂 State PVC，Public Skills 只读共享（图中可略，部署时具备）</w:t>
      </w:r>
    </w:p>
    <w:p>
      <w:pPr>
        <w:numPr>
          <w:ilvl w:val="0"/>
          <w:numId w:val="10"/>
        </w:numP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>控制面板</w:t>
      </w:r>
      <w:r>
        <w:rPr>
          <w:i w:val="false"/>
          <w:strike w:val="false"/>
          <w:spacing w:val="0"/>
          <w:u w:val="none"/>
        </w:rPr>
        <w:t>数据本阶段多为 SQLite（随 Console）；与右侧 MSS 库分离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>
          <w:b/>
        </w:rPr>
      </w:pPr>
      <w:r>
        <w:rPr>
          <w:b/>
          <w:i w:val="false"/>
          <w:strike w:val="false"/>
          <w:spacing w:val="0"/>
          <w:u w:val="none"/>
        </w:rPr>
        <w:t>MSS 空间</w:t>
      </w:r>
    </w:p>
    <w:p>
      <w:pPr>
        <w:numPr>
          <w:ilvl w:val="0"/>
          <w:numId w:val="11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ServiceA…N：业务服务（快速验证多调此）</w:t>
      </w:r>
    </w:p>
    <w:p>
      <w:pPr>
        <w:numPr>
          <w:ilvl w:val="0"/>
          <w:numId w:val="11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ClawFlow：MSSW 侧微服务，与 Service 同命名空间部署，承接生产可靠执行与过程记录</w:t>
      </w:r>
    </w:p>
    <w:p>
      <w:pPr>
        <w:numPr>
          <w:ilvl w:val="0"/>
          <w:numId w:val="11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PG：主要为 MSSW 侧数据存储</w:t>
      </w:r>
    </w:p>
    <w:p>
      <w:pPr>
        <w:snapToGrid/>
        <w:spacing w:line="240"/>
        <w:ind/>
        <w:rPr/>
      </w:pPr>
    </w:p>
    <w:p>
      <w:pPr>
        <w:snapToGrid/>
        <w:spacing w:line="240"/>
        <w:ind w:left="0"/>
        <w:rPr>
          <w:b/>
        </w:rPr>
      </w:pPr>
      <w:r>
        <w:rPr>
          <w:b/>
          <w:i w:val="false"/>
          <w:strike w:val="false"/>
          <w:spacing w:val="0"/>
          <w:u w:val="none"/>
        </w:rPr>
        <w:t>调用关系</w:t>
      </w:r>
    </w:p>
    <w:p>
      <w:pPr>
        <w:numPr>
          <w:ilvl w:val="0"/>
          <w:numId w:val="11"/>
        </w:numPr>
        <w:snapToGrid/>
        <w:spacing w:line="240"/>
        <w:rPr/>
      </w:pPr>
      <w:r>
        <w:rPr>
          <w:i w:val="false"/>
          <w:strike w:val="false"/>
          <w:spacing w:val="0"/>
          <w:u w:val="none"/>
        </w:rPr>
        <w:t>Console 管理 Pod；Pod 调用 MSS 的 Service 或 ClawFlow</w:t>
      </w:r>
    </w:p>
    <w:p>
      <w:pPr>
        <w:numPr>
          <w:ilvl w:val="0"/>
          <w:numId w:val="11"/>
        </w:numPr>
        <w:spacing w:line="360" w:lineRule="auto"/>
        <w:rPr/>
      </w:pPr>
      <w:r>
        <w:rPr>
          <w:i w:val="false"/>
          <w:strike w:val="false"/>
          <w:spacing w:val="0"/>
          <w:u w:val="none"/>
        </w:rPr>
        <w:t>快速验证：Pod → Service；生产可靠：轻/薄 Skill 触发 → ClawFlow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开发视图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开发视图描述开发环境中代码、模块、镜像制品和升级包的静态组织关系。本项目当前采用单一大仓库维护方式，Console 控制面、Runtime 工具链、Skill、插件、部署模板和镜像构建文件均在同一仓库中管理。</w:t>
      </w:r>
    </w:p>
    <w:p>
      <w:pPr>
        <w:pStyle w:val="000031"/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镜像制品组织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0"/>
        <w:gridCol w:w="2800"/>
        <w:gridCol w:w="3100"/>
        <w:gridCol w:w="6174"/>
      </w:tblGrid>
      <w:tr>
        <w:trPr>
          <w:trHeight w:val="642" w:hRule="atLeast"/>
        </w:trPr>
        <w:tc>
          <w:tcPr>
            <w:tcW w:w="31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镜像制品</w:t>
            </w:r>
          </w:p>
        </w:tc>
        <w:tc>
          <w:tcPr>
            <w:tcW w:w="28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构建定位</w:t>
            </w:r>
          </w:p>
        </w:tc>
        <w:tc>
          <w:tcPr>
            <w:tcW w:w="31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更新频率</w:t>
            </w:r>
          </w:p>
        </w:tc>
        <w:tc>
          <w:tcPr>
            <w:tcW w:w="617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主要内容</w:t>
            </w:r>
          </w:p>
        </w:tc>
      </w:tr>
      <w:tr>
        <w:trPr>
          <w:trHeight w:val="642" w:hRule="atLeast"/>
        </w:trPr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muad-openclaw-base</w:t>
            </w:r>
          </w:p>
        </w:tc>
        <w:tc>
          <w:tcPr>
            <w:tcW w:w="28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基础镜像</w:t>
            </w:r>
          </w:p>
        </w:tc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极低频，原则上只构建一次</w:t>
            </w:r>
          </w:p>
        </w:tc>
        <w:tc>
          <w:tcPr>
            <w:tcW w:w="61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OpenClaw、浏览器、Playwright、IM 通道插件、基础配置种子</w:t>
            </w:r>
          </w:p>
        </w:tc>
      </w:tr>
      <w:tr>
        <w:trPr>
          <w:trHeight w:val="642" w:hRule="atLeast"/>
        </w:trPr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muad-openclaw</w:t>
            </w:r>
          </w:p>
        </w:tc>
        <w:tc>
          <w:tcPr>
            <w:tcW w:w="28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应用镜像</w:t>
            </w:r>
          </w:p>
        </w:tc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高频，随 Runtime 工具链、Skill、业务插件发布</w:t>
            </w:r>
          </w:p>
        </w:tc>
        <w:tc>
          <w:tcPr>
            <w:tcW w:w="61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基于基础镜像叠加业务插件、Skill、Runtime 配置注入、启动脚本</w:t>
            </w:r>
          </w:p>
        </w:tc>
      </w:tr>
      <w:tr>
        <w:trPr>
          <w:trHeight w:val="642" w:hRule="atLeast"/>
        </w:trPr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muad-console</w:t>
            </w:r>
          </w:p>
        </w:tc>
        <w:tc>
          <w:tcPr>
            <w:tcW w:w="28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控制面镜像</w:t>
            </w:r>
          </w:p>
        </w:tc>
        <w:tc>
          <w:tcPr>
            <w:tcW w:w="31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随 Console 功能发布</w:t>
            </w:r>
          </w:p>
        </w:tc>
        <w:tc>
          <w:tcPr>
            <w:tcW w:w="61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 后端、前端静态资源、管理 API、数据库迁移能力</w:t>
            </w:r>
          </w:p>
        </w:tc>
      </w:tr>
    </w:tbl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pStyle w:val="000031"/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构建与升级过程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日常版本升级主要围绕 muad-openclaw 应用镜像和 muad-console 控制面镜像展开。muad-openclaw-base 作为稳定基础层，仅在底层运行环境变化时单独升级。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5000"/>
        <w:gridCol w:w="7274"/>
      </w:tblGrid>
      <w:tr>
        <w:trPr>
          <w:trHeight w:val="642" w:hRule="atLeast"/>
        </w:trPr>
        <w:tc>
          <w:tcPr>
            <w:tcW w:w="30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升级主线</w:t>
            </w:r>
          </w:p>
        </w:tc>
        <w:tc>
          <w:tcPr>
            <w:tcW w:w="5000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触发条件</w:t>
            </w:r>
          </w:p>
        </w:tc>
        <w:tc>
          <w:tcPr>
            <w:tcW w:w="727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交付内容</w:t>
            </w:r>
          </w:p>
        </w:tc>
      </w:tr>
      <w:tr>
        <w:trPr>
          <w:trHeight w:val="642" w:hRule="atLeast"/>
        </w:trPr>
        <w:tc>
          <w:tcPr>
            <w:tcW w:w="3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应用镜像升级</w:t>
            </w:r>
          </w:p>
        </w:tc>
        <w:tc>
          <w:tcPr>
            <w:tcW w:w="5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业务插件、Skill、Runtime 工具链、配置渲染或启动逻辑变化</w:t>
            </w:r>
          </w:p>
        </w:tc>
        <w:tc>
          <w:tcPr>
            <w:tcW w:w="72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发布 muad-openclaw:&lt;version&gt;，复用既有 muad-openclaw-base</w:t>
            </w:r>
          </w:p>
        </w:tc>
      </w:tr>
      <w:tr>
        <w:trPr>
          <w:trHeight w:val="642" w:hRule="atLeast"/>
        </w:trPr>
        <w:tc>
          <w:tcPr>
            <w:tcW w:w="3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 控制面升级</w:t>
            </w:r>
          </w:p>
        </w:tc>
        <w:tc>
          <w:tcPr>
            <w:tcW w:w="5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 API、前端页面、数据库 schema 或管理功能变化</w:t>
            </w:r>
          </w:p>
        </w:tc>
        <w:tc>
          <w:tcPr>
            <w:tcW w:w="72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发布 muad-console:&lt;version&gt;，携带数据库迁移、配置变更和回滚说明</w:t>
            </w:r>
          </w:p>
        </w:tc>
      </w:tr>
      <w:tr>
        <w:trPr>
          <w:trHeight w:val="642" w:hRule="atLeast"/>
        </w:trPr>
        <w:tc>
          <w:tcPr>
            <w:tcW w:w="3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基础镜像升级</w:t>
            </w:r>
          </w:p>
        </w:tc>
        <w:tc>
          <w:tcPr>
            <w:tcW w:w="5000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OpenClaw、浏览器、Playwright 或 IM 通道插件升级</w:t>
            </w:r>
          </w:p>
        </w:tc>
        <w:tc>
          <w:tcPr>
            <w:tcW w:w="727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单独发布 muad-openclaw-base:&lt;base-version&gt;，日常业务版本不重复构建</w:t>
            </w:r>
          </w:p>
        </w:tc>
      </w:tr>
    </w:tbl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>升级包交付物包括 Runtime 应用镜像、Console 控制面镜像、基础镜像版本说明、Docker Compose / Kubernetes 部署模板、配置样例、数据库迁移说明、升级步骤和回滚说明。</w:t>
      </w:r>
    </w:p>
    <w:p>
      <w:pPr>
        <w:spacing w:line="360" w:lineRule="auto"/>
        <w:rPr>
          <w:sz w:val="24"/>
        </w:rPr>
      </w:pPr>
      <w:r>
        <w:rPr>
          <w:rFonts w:ascii="Arial" w:hAnsi="Arial" w:eastAsia="宋体" w:cs="Arial"/>
          <w:sz w:val="24"/>
          <w:szCs w:val="18"/>
        </w:rPr>
        <w:t/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场景视图</w:t>
      </w:r>
    </w:p>
    <w:p>
      <w:pPr>
        <w:pBdr/>
        <w:shd w:val="clear" w:color="auto" w:fill="FFF2CC"/>
        <w:spacing w:line="360" w:lineRule="auto"/>
        <w:ind/>
        <w:jc w:val="center"/>
        <w:rPr>
          <w:rFonts w:ascii="Arial" w:hAnsi="Arial" w:eastAsia="宋体" w:cs="Arial"/>
          <w:b/>
          <w:bCs/>
          <w:sz w:val="18"/>
          <w:szCs w:val="18"/>
        </w:rPr>
      </w:pPr>
      <w:r>
        <w:rPr/>
        <w:drawing>
          <wp:inline distT="0" distB="0" distL="0" distR="0">
            <wp:extent cx="9715500" cy="4561659"/>
            <wp:effectExtent l="0" t="0" r="0" b="0"/>
            <wp:docPr id="17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true">
                    <a:blip r:embed="rId11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9715500" cy="4561659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hd w:val="clear" w:color="auto" w:fill="FFF2CC"/>
        <w:spacing w:line="360" w:lineRule="auto"/>
        <w:ind/>
        <w:jc w:val="center"/>
        <w:rPr/>
      </w:pPr>
      <w:r>
        <w:rPr>
          <w:rFonts w:hint="eastAsia" w:ascii="Arial" w:hAnsi="Arial" w:eastAsia="宋体" w:cs="Arial"/>
          <w:b/>
          <w:bCs/>
          <w:sz w:val="18"/>
          <w:szCs w:val="18"/>
        </w:rPr>
        <w:t>【</w:t>
      </w:r>
      <w:r>
        <w:rPr>
          <w:rFonts w:ascii="Arial" w:hAnsi="Arial" w:eastAsia="宋体" w:cs="Arial"/>
          <w:b/>
          <w:bCs/>
          <w:sz w:val="18"/>
          <w:szCs w:val="18"/>
        </w:rPr>
        <w:t>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4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 xml:space="preserve"> 场景视图</w:t>
      </w:r>
    </w:p>
    <w:p>
      <w:pPr>
        <w:pStyle w:val="00000c"/>
        <w:numPr>
          <w:ilvl w:val="0"/>
          <w:numId w:val="12"/>
        </w:numPr>
        <w:rPr/>
      </w:pPr>
      <w:r>
        <w:rPr/>
        <w:t>开通/绑定/对话：共用</w:t>
      </w:r>
    </w:p>
    <w:p>
      <w:pPr>
        <w:pStyle w:val="00000c"/>
        <w:numPr>
          <w:ilvl w:val="0"/>
          <w:numId w:val="12"/>
        </w:numPr>
        <w:rPr/>
      </w:pPr>
      <w:r>
        <w:rPr/>
        <w:t>快速验证 SOP：USE-05a → 脚本型</w:t>
      </w:r>
    </w:p>
    <w:p>
      <w:pPr>
        <w:pStyle w:val="00000c"/>
        <w:numPr>
          <w:ilvl w:val="0"/>
          <w:numId w:val="12"/>
        </w:numPr>
        <w:rPr/>
      </w:pPr>
      <w:r>
        <w:rPr/>
        <w:t>可靠生产 SOP：USE-05b → ClawFlow 路径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模块功能说明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4"/>
        <w:gridCol w:w="4794"/>
        <w:gridCol w:w="2544"/>
        <w:gridCol w:w="5094"/>
      </w:tblGrid>
      <w:tr>
        <w:trPr>
          <w:trHeight w:val="481" w:hRule="atLeast"/>
        </w:trPr>
        <w:tc>
          <w:tcPr>
            <w:tcW w:w="2844" w:type="dxa"/>
            <w:shd w:val="clear" w:color="auto" w:fill="D9D9D9"/>
            <w:vAlign w:val="center"/>
          </w:tcPr>
          <w:p>
            <w:r>
              <w:t>模块名</w:t>
            </w:r>
          </w:p>
        </w:tc>
        <w:tc>
          <w:tcPr>
            <w:tcW w:w="4794" w:type="dxa"/>
            <w:shd w:val="clear" w:color="auto" w:fill="D9D9D9"/>
            <w:vAlign w:val="center"/>
          </w:tcPr>
          <w:p>
            <w:r>
              <w:t>类型</w:t>
            </w:r>
          </w:p>
        </w:tc>
        <w:tc>
          <w:tcPr>
            <w:tcW w:w="2544" w:type="dxa"/>
            <w:shd w:val="clear" w:color="auto" w:fill="D9D9D9"/>
            <w:vAlign w:val="center"/>
          </w:tcPr>
          <w:p>
            <w:r>
              <w:t>部署/路径</w:t>
            </w:r>
          </w:p>
        </w:tc>
        <w:tc>
          <w:tcPr>
            <w:tcW w:w="5094" w:type="dxa"/>
            <w:shd w:val="clear" w:color="auto" w:fill="D9D9D9"/>
            <w:vAlign w:val="center"/>
          </w:tcPr>
          <w:p>
            <w:r>
              <w:t>功能与设计策略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Console</w:t>
            </w:r>
          </w:p>
        </w:tc>
        <w:tc>
          <w:tcPr>
            <w:tcW w:w="4794" w:type="dxa"/>
            <w:vAlign w:val="center"/>
          </w:tcPr>
          <w:p>
            <w:r>
              <w:t>服务 + UI</w:t>
            </w:r>
          </w:p>
        </w:tc>
        <w:tc>
          <w:tcPr>
            <w:tcW w:w="2544" w:type="dxa"/>
            <w:vAlign w:val="center"/>
          </w:tcPr>
          <w:p>
            <w:r>
              <w:t>Claw 空间 / 共用</w:t>
            </w:r>
          </w:p>
        </w:tc>
        <w:tc>
          <w:tcPr>
            <w:tcW w:w="5094" w:type="dxa"/>
            <w:vAlign w:val="center"/>
          </w:tcPr>
          <w:p>
            <w:r>
              <w:t>治理用户、Pod、IM 通道、模型、Skill、平台凭证、绑定码和资源配置；生成 runtime 配置并 apply，不参与业务 SOP 执行。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Claw Pod</w:t>
            </w:r>
          </w:p>
        </w:tc>
        <w:tc>
          <w:tcPr>
            <w:tcW w:w="4794" w:type="dxa"/>
            <w:vAlign w:val="center"/>
          </w:tcPr>
          <w:p>
            <w:r>
              <w:t>Agent 运行时</w:t>
            </w:r>
          </w:p>
        </w:tc>
        <w:tc>
          <w:tcPr>
            <w:tcW w:w="2544" w:type="dxa"/>
            <w:vAlign w:val="center"/>
          </w:tcPr>
          <w:p>
            <w:r>
              <w:t>Claw 空间 / 共用</w:t>
            </w:r>
          </w:p>
        </w:tc>
        <w:tc>
          <w:tcPr>
            <w:tcW w:w="5094" w:type="dxa"/>
            <w:vAlign w:val="center"/>
          </w:tcPr>
          <w:p>
            <w:r>
              <w:t>承载 OpenClaw Gateway、Agent、IM 通道插件、OpenClaw 原生 Skill、无头浏览器、Playwright、workspace、memory 与会话状态；不 fork OpenClaw，单 Pod 多 Agent 逻辑隔离。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runtime-guard</w:t>
            </w:r>
          </w:p>
        </w:tc>
        <w:tc>
          <w:tcPr>
            <w:tcW w:w="4794" w:type="dxa"/>
            <w:vAlign w:val="center"/>
          </w:tcPr>
          <w:p>
            <w:r>
              <w:t>OpenClaw 插件</w:t>
            </w:r>
          </w:p>
        </w:tc>
        <w:tc>
          <w:tcPr>
            <w:tcW w:w="2544" w:type="dxa"/>
            <w:vAlign w:val="center"/>
          </w:tcPr>
          <w:p>
            <w:r>
              <w:t>Claw Pod 内 / 共用</w:t>
            </w:r>
          </w:p>
        </w:tc>
        <w:tc>
          <w:tcPr>
            <w:tcW w:w="5094" w:type="dxa"/>
            <w:vAlign w:val="center"/>
          </w:tcPr>
          <w:p>
            <w:r>
              <w:t>负责绑定码激活、Agent 路由校验、模型/工具/浏览器 profile 门禁、workspace 隔离、并发与运行边界控制；作为共享 Pod 的运行时门禁。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session-manager</w:t>
            </w:r>
          </w:p>
        </w:tc>
        <w:tc>
          <w:tcPr>
            <w:tcW w:w="4794" w:type="dxa"/>
            <w:vAlign w:val="center"/>
          </w:tcPr>
          <w:p>
            <w:r>
              <w:t>OpenClaw 插件 + CLI</w:t>
            </w:r>
          </w:p>
        </w:tc>
        <w:tc>
          <w:tcPr>
            <w:tcW w:w="2544" w:type="dxa"/>
            <w:vAlign w:val="center"/>
          </w:tcPr>
          <w:p>
            <w:r>
              <w:t>Claw Pod 内 / 共用</w:t>
            </w:r>
          </w:p>
        </w:tc>
        <w:tc>
          <w:tcPr>
            <w:tcW w:w="5094" w:type="dxa"/>
            <w:vAlign w:val="center"/>
          </w:tcPr>
          <w:p>
            <w:r>
              <w:t>管理业务平台 session，缓存 cookie/storageState，识别失效并刷新；Skill 不保存长期凭证，session-store 按 Agent/User 隔离。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Skill</w:t>
            </w:r>
          </w:p>
        </w:tc>
        <w:tc>
          <w:tcPr>
            <w:tcW w:w="4794" w:type="dxa"/>
            <w:vAlign w:val="center"/>
          </w:tcPr>
          <w:p>
            <w:r>
              <w:t>OpenClaw 原生扩展能力</w:t>
            </w:r>
          </w:p>
        </w:tc>
        <w:tc>
          <w:tcPr>
            <w:tcW w:w="2544" w:type="dxa"/>
            <w:vAlign w:val="center"/>
          </w:tcPr>
          <w:p>
            <w:r>
              <w:t>Claw Pod 内 / 快速验证或触发出口</w:t>
            </w:r>
          </w:p>
        </w:tc>
        <w:tc>
          <w:tcPr>
            <w:tcW w:w="5094" w:type="dxa"/>
            <w:vAlign w:val="center"/>
          </w:tcPr>
          <w:p>
            <w:r>
              <w:t>封装业务查询、处置、文档处理、平台调用等能力，由 Agent 通过 OpenClaw 原生机制调用；本期优先保证原生 Agent 调用 Skill 的可用性。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ClawFlow 微服务</w:t>
            </w:r>
          </w:p>
        </w:tc>
        <w:tc>
          <w:tcPr>
            <w:tcW w:w="4794" w:type="dxa"/>
            <w:vAlign w:val="center"/>
          </w:tcPr>
          <w:p>
            <w:r>
              <w:t>服务</w:t>
            </w:r>
          </w:p>
        </w:tc>
        <w:tc>
          <w:tcPr>
            <w:tcW w:w="2544" w:type="dxa"/>
            <w:vAlign w:val="center"/>
          </w:tcPr>
          <w:p>
            <w:r>
              <w:t>MSS 空间 / 生产可靠路径</w:t>
            </w:r>
          </w:p>
        </w:tc>
        <w:tc>
          <w:tcPr>
            <w:tcW w:w="5094" w:type="dxa"/>
            <w:vAlign w:val="center"/>
          </w:tcPr>
          <w:p>
            <w:r>
              <w:t>承接定型 SOP，提供流程编排、步骤执行、重试、超时、状态记录和结果返回；复杂/长流程从 Skill 迁移到 ClawFlow。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MSSW Service</w:t>
            </w:r>
          </w:p>
        </w:tc>
        <w:tc>
          <w:tcPr>
            <w:tcW w:w="4794" w:type="dxa"/>
            <w:vAlign w:val="center"/>
          </w:tcPr>
          <w:p>
            <w:r>
              <w:t>业务服务</w:t>
            </w:r>
          </w:p>
        </w:tc>
        <w:tc>
          <w:tcPr>
            <w:tcW w:w="2544" w:type="dxa"/>
            <w:vAlign w:val="center"/>
          </w:tcPr>
          <w:p>
            <w:r>
              <w:t>MSS 空间 / 外部依赖</w:t>
            </w:r>
          </w:p>
        </w:tc>
        <w:tc>
          <w:tcPr>
            <w:tcW w:w="5094" w:type="dxa"/>
            <w:vAlign w:val="center"/>
          </w:tcPr>
          <w:p>
            <w:r>
              <w:t>提供 MSSW 业务 API，供 Skill 或 ClawFlow 调用；业务能力沉淀在 MSS 侧，Claw 侧负责理解、编排和调用。</w:t>
            </w:r>
          </w:p>
        </w:tc>
      </w:tr>
      <w:tr>
        <w:trPr>
          <w:trHeight w:val="481" w:hRule="atLeast"/>
        </w:trPr>
        <w:tc>
          <w:tcPr>
            <w:tcW w:w="2844" w:type="dxa"/>
            <w:vAlign w:val="center"/>
          </w:tcPr>
          <w:p>
            <w:r>
              <w:t>外部依赖</w:t>
            </w:r>
          </w:p>
        </w:tc>
        <w:tc>
          <w:tcPr>
            <w:tcW w:w="4794" w:type="dxa"/>
            <w:vAlign w:val="center"/>
          </w:tcPr>
          <w:p>
            <w:r>
              <w:t>服务依赖</w:t>
            </w:r>
          </w:p>
        </w:tc>
        <w:tc>
          <w:tcPr>
            <w:tcW w:w="2544" w:type="dxa"/>
            <w:vAlign w:val="center"/>
          </w:tcPr>
          <w:p>
            <w:r>
              <w:t>公网/内网</w:t>
            </w:r>
          </w:p>
        </w:tc>
        <w:tc>
          <w:tcPr>
            <w:tcW w:w="5094" w:type="dxa"/>
            <w:vAlign w:val="center"/>
          </w:tcPr>
          <w:p>
            <w:r>
              <w:t>企业微信长连接网关、公网模型服务、PG 等；通过受控网络出口或内部服务访问，不暴露 Pod 公网入口。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模块设计策略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7"/>
        <w:gridCol w:w="7637"/>
      </w:tblGrid>
      <w:tr>
        <w:trPr>
          <w:trHeight w:val="415" w:hRule="atLeast"/>
        </w:trPr>
        <w:tc>
          <w:tcPr>
            <w:tcW w:w="7637" w:type="dxa"/>
            <w:shd w:val="clear" w:color="auto" w:fill="D9D9D9"/>
            <w:vAlign w:val="center"/>
          </w:tcPr>
          <w:p>
            <w:r>
              <w:t>模块</w:t>
            </w:r>
          </w:p>
        </w:tc>
        <w:tc>
          <w:tcPr>
            <w:tcW w:w="7637" w:type="dxa"/>
            <w:shd w:val="clear" w:color="auto" w:fill="D9D9D9"/>
            <w:vAlign w:val="center"/>
          </w:tcPr>
          <w:p>
            <w:r>
              <w:t>策略</w:t>
            </w:r>
          </w:p>
        </w:tc>
      </w:tr>
      <w:tr>
        <w:trPr>
          <w:trHeight w:val="415" w:hRule="atLeast"/>
        </w:trPr>
        <w:tc>
          <w:tcPr>
            <w:tcW w:w="7637" w:type="dxa"/>
            <w:vAlign w:val="center"/>
          </w:tcPr>
          <w:p>
            <w:r>
              <w:t>总体策略</w:t>
            </w:r>
          </w:p>
        </w:tc>
        <w:tc>
          <w:tcPr>
            <w:tcW w:w="7637" w:type="dxa"/>
            <w:vAlign w:val="center"/>
          </w:tcPr>
          <w:p>
            <w:r>
              <w:t>模块功能与设计策略已合入 4.2.6，避免功能说明与策略重复。</w:t>
            </w:r>
          </w:p>
        </w:tc>
      </w:tr>
      <w:tr>
        <w:trPr>
          <w:trHeight w:val="415" w:hRule="atLeast"/>
        </w:trPr>
        <w:tc>
          <w:tcPr>
            <w:tcW w:w="7637" w:type="dxa"/>
            <w:vAlign w:val="center"/>
          </w:tcPr>
          <w:p>
            <w:r>
              <w:t>Skill 调用策略</w:t>
            </w:r>
          </w:p>
        </w:tc>
        <w:tc>
          <w:tcPr>
            <w:tcW w:w="7637" w:type="dxa"/>
            <w:vAlign w:val="center"/>
          </w:tcPr>
          <w:p>
            <w:r>
              <w:t>本期不把 muad-run-skill 作为主调用链路，优先验证 OpenClaw 原生 Agent 调用 Skill 的可用性、用户体验和权限边界。</w:t>
            </w:r>
          </w:p>
        </w:tc>
      </w:tr>
      <w:tr>
        <w:trPr>
          <w:trHeight w:val="415" w:hRule="atLeast"/>
        </w:trPr>
        <w:tc>
          <w:tcPr>
            <w:tcW w:w="7637" w:type="dxa"/>
            <w:vAlign w:val="center"/>
          </w:tcPr>
          <w:p>
            <w:r>
              <w:t>后续增强</w:t>
            </w:r>
          </w:p>
        </w:tc>
        <w:tc>
          <w:tcPr>
            <w:tcW w:w="7637" w:type="dxa"/>
            <w:vAlign w:val="center"/>
          </w:tcPr>
          <w:p>
            <w:r>
              <w:t>当需要统一进度上报、执行队列、标准化脚本执行和更完整审计时，再评估引入 muad-run-skill 作为可选执行器。</w:t>
            </w:r>
          </w:p>
        </w:tc>
      </w:tr>
      <w:tr>
        <w:trPr>
          <w:trHeight w:val="415" w:hRule="atLeast"/>
        </w:trPr>
        <w:tc>
          <w:tcPr>
            <w:tcW w:w="7637" w:type="dxa"/>
            <w:vAlign w:val="center"/>
          </w:tcPr>
          <w:p>
            <w:r>
              <w:t>ClawFlow 迁移</w:t>
            </w:r>
          </w:p>
        </w:tc>
        <w:tc>
          <w:tcPr>
            <w:tcW w:w="7637" w:type="dxa"/>
            <w:vAlign w:val="center"/>
          </w:tcPr>
          <w:p>
            <w:r>
              <w:t>快速验证跑通后，复杂、长时、需恢复和强审计的 SOP 迁入 ClawFlow，Skill 收薄为触发与结果解释入口。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系统流程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流程1：开通与配置</w:t>
      </w:r>
    </w:p>
    <w:p>
      <w:pPr>
        <w:pBdr/>
        <w:shd w:val="clear" w:color="auto" w:fill="FFF2CC"/>
        <w:spacing w:line="360" w:lineRule="auto"/>
        <w:ind/>
        <w:jc w:val="center"/>
        <w:rPr>
          <w:rFonts w:ascii="Arial" w:hAnsi="Arial" w:eastAsia="宋体" w:cs="Arial"/>
          <w:b/>
          <w:bCs/>
          <w:sz w:val="18"/>
          <w:szCs w:val="18"/>
        </w:rPr>
      </w:pPr>
      <w:r>
        <w:rPr>
          <w:rFonts w:ascii="Arial" w:hAnsi="Arial" w:eastAsia="宋体" w:cs="Arial"/>
          <w:b/>
          <w:bCs/>
          <w:sz w:val="18"/>
          <w:szCs w:val="18"/>
        </w:rPr>
        <w:drawing>
          <wp:inline distT="0" distB="0" distL="0" distR="0">
            <wp:extent cx="9715500" cy="6053774"/>
            <wp:effectExtent l="0" t="0" r="0" b="0"/>
            <wp:docPr id="20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1" name="picture" descr="descript"/>
                    <pic:cNvPicPr/>
                  </pic:nvPicPr>
                  <pic:blipFill rotWithShape="true">
                    <a:blip r:embed="rId15"/>
                    <a:stretch/>
                  </pic:blipFill>
                  <pic:spPr>
                    <a:xfrm>
                      <a:off x="0" y="0"/>
                      <a:ext cx="9715500" cy="605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5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>开通与配置时序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参与者：管理员、Console、编排驱动、Runtime、（可选）ClawFlow 微服务配置注入。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numPr>
          <w:ilvl w:val="0"/>
          <w:numId w:val="13"/>
        </w:numPr>
        <w:pBdr>
          <w:bottom/>
        </w:pBdr>
        <w:snapToGrid/>
        <w:spacing w:line="240"/>
        <w:rPr/>
      </w:pP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创建 Pod</w:t>
      </w:r>
      <w:r>
        <w:rPr>
          <w:rFonts w:hint="eastAsia" w:ascii="宋体-简" w:hAnsi="宋体-简" w:eastAsia="宋体-简" w:cs="宋体-简"/>
          <w:b/>
          <w:i w:val="false"/>
          <w:strike w:val="false"/>
          <w:spacing w:val="0"/>
          <w:u w:val="none"/>
        </w:rPr>
        <w:t>：</w:t>
      </w: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管理员在 Console 创建 Claw Pod（含通道等基础参数）；Console 保存配置，经编排驱动创建 Pod 实例并等待就绪</w:t>
      </w:r>
    </w:p>
    <w:p>
      <w:pPr>
        <w:numPr>
          <w:ilvl w:val="0"/>
          <w:numId w:val="13"/>
        </w:numPr>
        <w:pBdr>
          <w:bottom/>
        </w:pBdr>
        <w:snapToGrid/>
        <w:spacing w:line="240"/>
        <w:rPr/>
      </w:pP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创建 Human User</w:t>
      </w:r>
      <w:r>
        <w:rPr>
          <w:rFonts w:hint="eastAsia" w:ascii="宋体-简" w:hAnsi="宋体-简" w:eastAsia="宋体-简" w:cs="宋体-简"/>
          <w:b/>
          <w:i w:val="false"/>
          <w:strike w:val="false"/>
          <w:spacing w:val="0"/>
          <w:u w:val="none"/>
        </w:rPr>
        <w:t>：</w:t>
      </w: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在指定 Pod 下创建业务用户；</w:t>
      </w: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控制面板</w:t>
      </w:r>
      <w:r>
        <w:rPr>
          <w:rFonts w:ascii="宋体-简" w:hAnsi="宋体-简" w:eastAsia="宋体-简" w:cs="宋体-简"/>
          <w:b/>
          <w:i w:val="false"/>
          <w:strike w:val="false"/>
          <w:spacing w:val="0"/>
          <w:u w:val="none"/>
        </w:rPr>
        <w:t>保存用户信息，并完成身份接入准备（签发绑定码）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流程2：绑定激活</w:t>
      </w:r>
    </w:p>
    <w:p>
      <w:pPr>
        <w:pBdr/>
        <w:shd w:val="clear" w:color="auto" w:fill="FFF2CC"/>
        <w:spacing w:line="360" w:lineRule="auto"/>
        <w:ind/>
        <w:jc w:val="center"/>
        <w:rPr>
          <w:rFonts w:ascii="Arial" w:hAnsi="Arial" w:eastAsia="宋体" w:cs="Arial"/>
          <w:b/>
          <w:bCs/>
          <w:sz w:val="18"/>
          <w:szCs w:val="18"/>
        </w:rPr>
      </w:pPr>
      <w:r>
        <w:rPr>
          <w:rFonts w:ascii="Arial" w:hAnsi="Arial" w:eastAsia="宋体" w:cs="Arial"/>
          <w:b/>
          <w:bCs/>
          <w:sz w:val="18"/>
          <w:szCs w:val="18"/>
        </w:rPr>
        <w:drawing>
          <wp:inline distT="0" distB="0" distL="0" distR="0">
            <wp:extent cx="9715500" cy="5483634"/>
            <wp:effectExtent l="0" t="0" r="0" b="0"/>
            <wp:docPr id="23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4" name="picture" descr="descript"/>
                    <pic:cNvPicPr/>
                  </pic:nvPicPr>
                  <pic:blipFill rotWithShape="true">
                    <a:blip r:embed="rId16"/>
                    <a:stretch/>
                  </pic:blipFill>
                  <pic:spPr>
                    <a:xfrm>
                      <a:off x="0" y="0"/>
                      <a:ext cx="9715500" cy="548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6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>绑定激活时序</w:t>
      </w:r>
    </w:p>
    <w:p>
      <w:pPr>
        <w:pStyle w:val="000031"/>
        <w:pBdr/>
        <w:spacing w:line="360" w:lineRule="auto"/>
        <w:ind w:firstLine="420"/>
        <w:rPr>
          <w:rFonts w:ascii="Arial" w:hAnsi="Arial" w:eastAsia="宋体" w:cs="Arial"/>
        </w:rPr>
      </w:pPr>
      <w:r>
        <w:rPr>
          <w:rFonts w:ascii="Arial" w:hAnsi="Arial" w:eastAsia="宋体" w:cs="Arial"/>
        </w:rPr>
        <w:t>参与者：服务经理、IM、Gateway、门禁、Console、apply。</w:t>
      </w:r>
    </w:p>
    <w:p>
      <w:pPr>
        <w:numPr>
          <w:ilvl w:val="0"/>
          <w:numId w:val="14"/>
        </w:numPr>
        <w:snapToGrid/>
        <w:spacing w:line="240"/>
        <w:rPr>
          <w:color w:val="000000"/>
        </w:rPr>
      </w:pPr>
      <w:r>
        <w:rPr>
          <w:i w:val="false"/>
          <w:strike w:val="false"/>
          <w:spacing w:val="0"/>
          <w:u w:val="none"/>
        </w:rPr>
        <w:t>服务经理在 IM 私聊中发送 /bind &lt;绑定码&gt;，经 Gateway 由 runtime-guard 基于可信消息上下文调用 Console 完成</w:t>
      </w:r>
      <w:r>
        <w:rPr>
          <w:i w:val="false"/>
          <w:strike w:val="false"/>
          <w:color w:val="000000"/>
          <w:spacing w:val="0"/>
          <w:u w:val="none"/>
        </w:rPr>
        <w:t>激活。</w:t>
      </w:r>
    </w:p>
    <w:p>
      <w:pPr>
        <w:pStyle w:val="000031"/>
        <w:numPr>
          <w:ilvl w:val="0"/>
          <w:numId w:val="14"/>
        </w:numPr>
        <w:spacing w:line="360" w:lineRule="auto"/>
        <w:rPr/>
      </w:pPr>
      <w:r>
        <w:rPr>
          <w:i w:val="false"/>
          <w:strike w:val="false"/>
          <w:color w:val="000000"/>
          <w:spacing w:val="0"/>
          <w:u w:val="none"/>
        </w:rPr>
        <w:t>Console 校验并消费绑定码、登记 Identity，并自动 reconcile/apply 更新 Runtime 路由；成功后返回安全提示，配置应用期间请稍后重发业务消息。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流程</w:t>
      </w:r>
      <w:r>
        <w:rPr>
          <w:rFonts w:hint="eastAsia" w:ascii="Arial" w:hAnsi="Arial" w:eastAsia="宋体" w:cs="Arial"/>
          <w:b/>
          <w:bCs/>
        </w:rPr>
        <w:t>3</w:t>
      </w:r>
      <w:r>
        <w:rPr>
          <w:rFonts w:ascii="Arial" w:hAnsi="Arial" w:eastAsia="宋体" w:cs="Arial"/>
          <w:b/>
          <w:bCs/>
        </w:rPr>
        <w:t>：SOP</w:t>
      </w:r>
      <w:r>
        <w:rPr>
          <w:rFonts w:hint="eastAsia" w:ascii="Arial" w:hAnsi="Arial" w:eastAsia="宋体" w:cs="Arial"/>
          <w:b/>
          <w:bCs/>
        </w:rPr>
        <w:t>调度</w:t>
      </w:r>
      <w:r>
        <w:rPr>
          <w:rFonts w:hint="eastAsia" w:ascii="Arial" w:hAnsi="Arial" w:eastAsia="宋体" w:cs="Arial"/>
          <w:b/>
          <w:bCs/>
        </w:rPr>
        <w:t>流程</w:t>
      </w:r>
      <w:r>
        <w:rPr>
          <w:rFonts w:ascii="Arial" w:hAnsi="Arial" w:eastAsia="宋体" w:cs="Arial"/>
          <w:b/>
          <w:bCs/>
        </w:rPr>
        <w:t>（USE-05a</w:t>
      </w:r>
      <w:r>
        <w:rPr>
          <w:rFonts w:hint="eastAsia" w:ascii="Arial" w:hAnsi="Arial" w:eastAsia="宋体" w:cs="Arial"/>
          <w:b/>
          <w:bCs/>
        </w:rPr>
        <w:t>、</w:t>
      </w:r>
      <w:r>
        <w:rPr>
          <w:rFonts w:ascii="Arial" w:hAnsi="Arial" w:eastAsia="宋体" w:cs="Arial"/>
          <w:b/>
          <w:bCs/>
        </w:rPr>
        <w:t>USE-05</w:t>
      </w:r>
      <w:r>
        <w:rPr>
          <w:rFonts w:hint="eastAsia" w:ascii="Arial" w:hAnsi="Arial" w:eastAsia="宋体" w:cs="Arial"/>
          <w:b/>
          <w:bCs/>
        </w:rPr>
        <w:t>b</w:t>
      </w:r>
      <w:r>
        <w:rPr>
          <w:rFonts w:ascii="Arial" w:hAnsi="Arial" w:eastAsia="宋体" w:cs="Arial"/>
          <w:b/>
          <w:bCs/>
        </w:rPr>
        <w:t>）</w:t>
      </w:r>
    </w:p>
    <w:p>
      <w:pPr>
        <w:pBdr/>
        <w:shd w:val="clear" w:color="auto" w:fill="FFF2CC"/>
        <w:spacing w:line="360" w:lineRule="auto"/>
        <w:ind/>
        <w:jc w:val="center"/>
        <w:rPr>
          <w:rFonts w:ascii="Arial" w:hAnsi="Arial" w:eastAsia="宋体" w:cs="Arial"/>
          <w:b/>
          <w:bCs/>
          <w:sz w:val="18"/>
          <w:szCs w:val="18"/>
        </w:rPr>
      </w:pPr>
      <w:r>
        <w:rPr>
          <w:rFonts w:ascii="Arial" w:hAnsi="Arial" w:eastAsia="宋体" w:cs="Arial"/>
          <w:b/>
          <w:bCs/>
          <w:sz w:val="18"/>
          <w:szCs w:val="18"/>
        </w:rPr>
        <w:drawing>
          <wp:inline distT="0" distB="0" distL="0" distR="0">
            <wp:extent cx="9715500" cy="6861229"/>
            <wp:effectExtent l="0" t="0" r="0" b="0"/>
            <wp:docPr id="26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7" name="picture" descr="descript"/>
                    <pic:cNvPicPr/>
                  </pic:nvPicPr>
                  <pic:blipFill rotWithShape="true">
                    <a:blip r:embed="rId17"/>
                    <a:stretch/>
                  </pic:blipFill>
                  <pic:spPr>
                    <a:xfrm>
                      <a:off x="0" y="0"/>
                      <a:ext cx="9715500" cy="686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 4-</w:t>
      </w:r>
      <w:r>
        <w:rPr>
          <w:rFonts w:hint="eastAsia" w:ascii="Arial" w:hAnsi="Arial" w:eastAsia="宋体" w:cs="Arial"/>
          <w:b/>
          <w:bCs/>
          <w:sz w:val="18"/>
          <w:szCs w:val="18"/>
        </w:rPr>
        <w:t>7</w:t>
      </w:r>
      <w:r>
        <w:rPr>
          <w:rFonts w:hint="eastAsia" w:ascii="Arial" w:hAnsi="Arial" w:eastAsia="宋体" w:cs="Arial"/>
          <w:b/>
          <w:bCs/>
          <w:sz w:val="18"/>
          <w:szCs w:val="18"/>
        </w:rPr>
        <w:t>】</w:t>
      </w:r>
      <w:r>
        <w:rPr>
          <w:rFonts w:ascii="Arial" w:hAnsi="Arial" w:eastAsia="宋体" w:cs="Arial"/>
          <w:b/>
          <w:bCs/>
          <w:sz w:val="18"/>
          <w:szCs w:val="18"/>
        </w:rPr>
        <w:t xml:space="preserve"> 脚本型 SOP 时序</w:t>
      </w:r>
    </w:p>
    <w:p>
      <w:pPr>
        <w:pBdr>
          <w:bottom/>
        </w:pBdr>
        <w:snapToGrid/>
        <w:spacing w:line="240"/>
        <w:ind/>
        <w:rPr/>
      </w:pPr>
      <w:r>
        <w:rPr>
          <w:b/>
          <w:i w:val="false"/>
          <w:strike w:val="false"/>
          <w:spacing w:val="0"/>
          <w:u w:val="none"/>
        </w:rPr>
        <w:t>共用：</w:t>
      </w:r>
      <w:r>
        <w:rPr>
          <w:i w:val="false"/>
          <w:strike w:val="false"/>
          <w:spacing w:val="0"/>
          <w:u w:val="none"/>
        </w:rPr>
        <w:t xml:space="preserve"> 已绑定用户经 IM/Gateway 进入，runtime-guard 完成门禁与隔离后交业务 Agent；按需由 session-manager 解析登录态。</w:t>
      </w:r>
    </w:p>
    <w:p>
      <w:pPr>
        <w:pBdr>
          <w:bottom/>
        </w:pBdr>
        <w:snapToGrid/>
        <w:spacing w:line="240"/>
        <w:ind/>
        <w:rPr/>
      </w:pPr>
      <w:r>
        <w:rPr>
          <w:b/>
          <w:i w:val="false"/>
          <w:strike w:val="false"/>
          <w:spacing w:val="0"/>
          <w:u w:val="none"/>
        </w:rPr>
        <w:t>快速验证（USE-05a）：</w:t>
      </w:r>
      <w:r>
        <w:rPr>
          <w:i w:val="false"/>
          <w:strike w:val="false"/>
          <w:spacing w:val="0"/>
          <w:u w:val="none"/>
        </w:rPr>
        <w:t xml:space="preserve"> Agent 调轻量 Skill/脚本，HTTP 直调 MSSW Service，结果直接终态回复；适于联调、演示、短步骤，失败可重跑。</w:t>
      </w:r>
    </w:p>
    <w:p>
      <w:pPr>
        <w:pBdr/>
        <w:snapToGrid/>
        <w:spacing w:line="240"/>
        <w:ind/>
        <w:rPr>
          <w:i w:val="false"/>
          <w:strike w:val="false"/>
          <w:spacing w:val="0"/>
          <w:u w:val="none"/>
        </w:rPr>
      </w:pPr>
      <w:r>
        <w:rPr>
          <w:b/>
          <w:i w:val="false"/>
          <w:strike w:val="false"/>
          <w:spacing w:val="0"/>
          <w:u w:val="none"/>
        </w:rPr>
        <w:t>生产可靠（USE-05b）：Agent 调轻/薄 Skill，HTTP 触发 MSSW ClawFlow 微服务；本版本按同步接口返回结果设计，Agent/Skill 等待 ClawFlow 接口返回后解释终态；ClawFlow 侧负责接口超时、任务超时、执行记录、重试/补偿与终态返回。</w:t>
      </w:r>
      <w:r>
        <w:rPr>
          <w:i w:val="false"/>
          <w:strike w:val="false"/>
          <w:spacing w:val="0"/>
          <w:u w:val="none"/>
        </w:rPr>
        <w:t xml:space="preserve"/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流程4：路径选型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7"/>
        <w:gridCol w:w="7637"/>
      </w:tblGrid>
      <w:tr>
        <w:trPr>
          <w:trHeight w:val="388" w:hRule="atLeast"/>
        </w:trPr>
        <w:tc>
          <w:tcPr>
            <w:tcW w:w="763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条件</w:t>
            </w:r>
          </w:p>
        </w:tc>
        <w:tc>
          <w:tcPr>
            <w:tcW w:w="763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选择</w:t>
            </w:r>
          </w:p>
        </w:tc>
      </w:tr>
      <w:tr>
        <w:trPr>
          <w:trHeight w:val="388" w:hRule="atLeast"/>
        </w:trPr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场景未定型，需快速联调见效，可接受失败重跑</w:t>
            </w:r>
          </w:p>
        </w:tc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快速验证：重 Skill（业务脚本）→ MSSW Service</w:t>
            </w:r>
          </w:p>
        </w:tc>
      </w:tr>
      <w:tr>
        <w:trPr>
          <w:trHeight w:val="388" w:hRule="atLeast"/>
        </w:trPr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已定型，步骤多，含写操作，需可恢复与强审计</w:t>
            </w:r>
          </w:p>
        </w:tc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生产可靠：轻/薄 Skill（意图识别、参数整理、流程触发与结果解释）→ MSSW ClawFlow 微服务</w:t>
            </w:r>
          </w:p>
        </w:tc>
      </w:tr>
      <w:tr>
        <w:trPr>
          <w:trHeight w:val="388" w:hRule="atLeast"/>
        </w:trPr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浏览器导出重、拖垮对话 Pod</w:t>
            </w:r>
          </w:p>
        </w:tc>
        <w:tc>
          <w:tcPr>
            <w:tcW w:w="763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优先生产可靠（浏览器放 ClawFlow Activity 侧短生命周期，用后销毁）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数据结构</w:t>
      </w:r>
    </w:p>
    <w:p>
      <w:pPr>
        <w:pBdr/>
        <w:snapToGrid/>
        <w:spacing w:after="120" w:line="240"/>
        <w:ind w:firstLine="0"/>
        <w:rPr>
          <w:rFonts w:ascii="宋体" w:hAnsi="宋体" w:eastAsia="宋体" w:cs="宋体"/>
          <w:i/>
          <w:strike w:val="false"/>
          <w:color w:val="000080"/>
          <w:sz w:val="22"/>
          <w:u w:val="none"/>
        </w:rPr>
      </w:pP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模块间数据分三类：</w:t>
      </w:r>
    </w:p>
    <w:p>
      <w:pPr>
        <w:pBdr/>
        <w:snapToGrid/>
        <w:spacing w:after="120" w:line="240"/>
        <w:ind w:firstLine="0"/>
        <w:rPr>
          <w:rFonts w:ascii="宋体" w:hAnsi="宋体" w:eastAsia="宋体" w:cs="宋体"/>
          <w:i/>
          <w:strike w:val="false"/>
          <w:color w:val="000080"/>
          <w:sz w:val="22"/>
          <w:u w:val="none"/>
        </w:rPr>
      </w:pP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（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>1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）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控制面板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> 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SQLite —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配置与身份的权威源；</w:t>
      </w:r>
    </w:p>
    <w:p>
      <w:pPr>
        <w:pBdr/>
        <w:snapToGrid/>
        <w:spacing w:after="120" w:line="240"/>
        <w:ind w:firstLine="0"/>
        <w:rPr>
          <w:rFonts w:ascii="宋体" w:hAnsi="宋体" w:eastAsia="宋体" w:cs="宋体"/>
          <w:i/>
          <w:strike w:val="false"/>
          <w:color w:val="000080"/>
          <w:sz w:val="22"/>
          <w:u w:val="none"/>
        </w:rPr>
      </w:pP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（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>2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）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Runtime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>状态卷文件 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— apply/reconcile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落地的运行配置与按用户隔离状态；</w:t>
      </w:r>
    </w:p>
    <w:p>
      <w:pPr>
        <w:pBdr>
          <w:bottom/>
        </w:pBdr>
        <w:snapToGrid/>
        <w:spacing w:after="120" w:line="240"/>
        <w:ind w:firstLine="0"/>
        <w:rPr>
          <w:i/>
        </w:rPr>
      </w:pP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（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>3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>）跨模块 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JSON/HTTP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消息。</w:t>
      </w:r>
    </w:p>
    <w:p>
      <w:pPr>
        <w:pStyle w:val="000004"/>
        <w:numPr>
          <w:ilvl w:val="2"/>
          <w:numId w:val="1"/>
        </w:numPr>
        <w:tabs>
          <w:tab w:val="left" w:pos="720"/>
        </w:tabs>
        <w:snapToGrid/>
        <w:spacing w:before="120" w:line="360"/>
        <w:rPr/>
      </w:pP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控制面板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数据（权威）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3735"/>
        <w:gridCol w:w="1725"/>
        <w:gridCol w:w="1575"/>
        <w:gridCol w:w="3997"/>
        <w:gridCol w:w="4222"/>
      </w:tblGrid>
      <w:tr>
        <w:trPr>
          <w:trHeight w:val="677" w:hRule="atLeast"/>
        </w:trPr>
        <w:tc>
          <w:tcPr>
            <w:tcW w:w="3735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数据</w:t>
            </w:r>
          </w:p>
        </w:tc>
        <w:tc>
          <w:tcPr>
            <w:tcW w:w="1725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载体</w:t>
            </w:r>
          </w:p>
        </w:tc>
        <w:tc>
          <w:tcPr>
            <w:tcW w:w="1575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写</w:t>
            </w:r>
          </w:p>
        </w:tc>
        <w:tc>
          <w:tcPr>
            <w:tcW w:w="3997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读</w:t>
            </w:r>
          </w:p>
        </w:tc>
        <w:tc>
          <w:tcPr>
            <w:tcW w:w="4222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要点</w:t>
            </w:r>
          </w:p>
        </w:tc>
      </w:tr>
      <w:tr>
        <w:trPr>
          <w:trHeight w:val="677" w:hRule="atLeast"/>
        </w:trPr>
        <w:tc>
          <w:tcPr>
            <w:tcW w:w="373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通道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容量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资源</w:t>
            </w:r>
          </w:p>
        </w:tc>
        <w:tc>
          <w:tcPr>
            <w:tcW w:w="172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SQLite</w:t>
            </w:r>
          </w:p>
        </w:tc>
        <w:tc>
          <w:tcPr>
            <w:tcW w:w="157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</w:p>
        </w:tc>
        <w:tc>
          <w:tcPr>
            <w:tcW w:w="399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、编排</w:t>
            </w:r>
          </w:p>
        </w:tc>
        <w:tc>
          <w:tcPr>
            <w:tcW w:w="42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开通与配额</w:t>
            </w:r>
          </w:p>
        </w:tc>
      </w:tr>
      <w:tr>
        <w:trPr>
          <w:trHeight w:val="677" w:hRule="atLeast"/>
        </w:trPr>
        <w:tc>
          <w:tcPr>
            <w:tcW w:w="373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Human User/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模型绑定</w:t>
            </w:r>
          </w:p>
        </w:tc>
        <w:tc>
          <w:tcPr>
            <w:tcW w:w="172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SQLite</w:t>
            </w:r>
          </w:p>
        </w:tc>
        <w:tc>
          <w:tcPr>
            <w:tcW w:w="157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</w:p>
        </w:tc>
        <w:tc>
          <w:tcPr>
            <w:tcW w:w="399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、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DTO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构建</w:t>
            </w:r>
          </w:p>
        </w:tc>
        <w:tc>
          <w:tcPr>
            <w:tcW w:w="42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须绑定未占用模型，禁止隐式回退</w:t>
            </w:r>
          </w:p>
        </w:tc>
      </w:tr>
      <w:tr>
        <w:trPr>
          <w:trHeight w:val="677" w:hRule="atLeast"/>
        </w:trPr>
        <w:tc>
          <w:tcPr>
            <w:tcW w:w="373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Identity/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绑定码</w:t>
            </w:r>
          </w:p>
        </w:tc>
        <w:tc>
          <w:tcPr>
            <w:tcW w:w="172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SQLite</w:t>
            </w:r>
          </w:p>
        </w:tc>
        <w:tc>
          <w:tcPr>
            <w:tcW w:w="157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</w:p>
        </w:tc>
        <w:tc>
          <w:tcPr>
            <w:tcW w:w="399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；激活经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internal API</w:t>
            </w:r>
          </w:p>
        </w:tc>
        <w:tc>
          <w:tcPr>
            <w:tcW w:w="42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码安全存储；激活时消费</w:t>
            </w:r>
          </w:p>
        </w:tc>
      </w:tr>
      <w:tr>
        <w:trPr>
          <w:trHeight w:val="677" w:hRule="atLeast"/>
        </w:trPr>
        <w:tc>
          <w:tcPr>
            <w:tcW w:w="373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Skill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授权等</w:t>
            </w:r>
          </w:p>
        </w:tc>
        <w:tc>
          <w:tcPr>
            <w:tcW w:w="172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SQLite</w:t>
            </w:r>
          </w:p>
        </w:tc>
        <w:tc>
          <w:tcPr>
            <w:tcW w:w="157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</w:p>
        </w:tc>
        <w:tc>
          <w:tcPr>
            <w:tcW w:w="399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DTO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构建</w:t>
            </w:r>
          </w:p>
        </w:tc>
        <w:tc>
          <w:tcPr>
            <w:tcW w:w="42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随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配置下发</w:t>
            </w:r>
          </w:p>
        </w:tc>
      </w:tr>
      <w:tr>
        <w:trPr>
          <w:trHeight w:val="677" w:hRule="atLeast"/>
        </w:trPr>
        <w:tc>
          <w:tcPr>
            <w:tcW w:w="373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审计、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apply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状态、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generation</w:t>
            </w:r>
          </w:p>
        </w:tc>
        <w:tc>
          <w:tcPr>
            <w:tcW w:w="172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SQLite</w:t>
            </w:r>
          </w:p>
        </w:tc>
        <w:tc>
          <w:tcPr>
            <w:tcW w:w="1575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</w:p>
        </w:tc>
        <w:tc>
          <w:tcPr>
            <w:tcW w:w="399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管理查询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告警</w:t>
            </w:r>
          </w:p>
        </w:tc>
        <w:tc>
          <w:tcPr>
            <w:tcW w:w="42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pending/applying/applied/failed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numPr>
          <w:ilvl w:val="2"/>
          <w:numId w:val="1"/>
        </w:numPr>
        <w:tabs>
          <w:tab w:val="left" w:pos="720"/>
        </w:tabs>
        <w:snapToGrid/>
        <w:spacing w:before="120" w:line="360"/>
        <w:rPr/>
      </w:pPr>
      <w:r>
        <w:rPr>
          <w:rFonts w:ascii="Arial" w:hAnsi="Arial" w:cs="Arial"/>
          <w:b/>
          <w:i w:val="false"/>
          <w:strike w:val="false"/>
          <w:color w:val="000000"/>
          <w:sz w:val="28"/>
          <w:u w:val="none"/>
          <w:vertAlign w:val="baseline"/>
        </w:rPr>
        <w:t xml:space="preserve">Runtime 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文件与卷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2520"/>
        <w:gridCol w:w="3330"/>
        <w:gridCol w:w="3300"/>
        <w:gridCol w:w="2467"/>
        <w:gridCol w:w="3637"/>
      </w:tblGrid>
      <w:tr>
        <w:trPr>
          <w:trHeight w:val="788" w:hRule="atLeast"/>
        </w:trPr>
        <w:tc>
          <w:tcPr>
            <w:tcW w:w="2520" w:type="dxa"/>
            <w:shd w:val="clear" w:color="auto" w:fill="BFBFBF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数据</w:t>
            </w:r>
          </w:p>
        </w:tc>
        <w:tc>
          <w:tcPr>
            <w:tcW w:w="3330" w:type="dxa"/>
            <w:shd w:val="clear" w:color="auto" w:fill="BFBFBF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载体</w:t>
            </w:r>
          </w:p>
        </w:tc>
        <w:tc>
          <w:tcPr>
            <w:tcW w:w="3300" w:type="dxa"/>
            <w:shd w:val="clear" w:color="auto" w:fill="BFBFBF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写</w:t>
            </w:r>
          </w:p>
        </w:tc>
        <w:tc>
          <w:tcPr>
            <w:tcW w:w="2467" w:type="dxa"/>
            <w:shd w:val="clear" w:color="auto" w:fill="BFBFBF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读</w:t>
            </w:r>
          </w:p>
        </w:tc>
        <w:tc>
          <w:tcPr>
            <w:tcW w:w="3637" w:type="dxa"/>
            <w:shd w:val="clear" w:color="auto" w:fill="BFBFBF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要点</w:t>
            </w:r>
          </w:p>
        </w:tc>
      </w:tr>
      <w:tr>
        <w:trPr>
          <w:trHeight w:val="1333" w:hRule="atLeast"/>
        </w:trPr>
        <w:tc>
          <w:tcPr>
            <w:tcW w:w="252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配置（如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openclaw.json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）</w:t>
            </w:r>
          </w:p>
        </w:tc>
        <w:tc>
          <w:tcPr>
            <w:tcW w:w="333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State PVC</w:t>
            </w:r>
          </w:p>
        </w:tc>
        <w:tc>
          <w:tcPr>
            <w:tcW w:w="330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自动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reconcile/apply</w:t>
            </w:r>
          </w:p>
        </w:tc>
        <w:tc>
          <w:tcPr>
            <w:tcW w:w="246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Gateway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、插件</w:t>
            </w:r>
          </w:p>
        </w:tc>
        <w:tc>
          <w:tcPr>
            <w:tcW w:w="363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控制面板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权威；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侧落地副本；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generation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对齐</w:t>
            </w:r>
          </w:p>
        </w:tc>
      </w:tr>
      <w:tr>
        <w:trPr>
          <w:trHeight w:val="1333" w:hRule="atLeast"/>
        </w:trPr>
        <w:tc>
          <w:tcPr>
            <w:tcW w:w="252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workspace/MEMORY/session-store</w:t>
            </w:r>
          </w:p>
        </w:tc>
        <w:tc>
          <w:tcPr>
            <w:tcW w:w="333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State PVC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按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Agent</w:t>
            </w:r>
          </w:p>
        </w:tc>
        <w:tc>
          <w:tcPr>
            <w:tcW w:w="330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Agent/Skill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、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session-manager</w:t>
            </w:r>
          </w:p>
        </w:tc>
        <w:tc>
          <w:tcPr>
            <w:tcW w:w="246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同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Agent</w:t>
            </w:r>
          </w:p>
        </w:tc>
        <w:tc>
          <w:tcPr>
            <w:tcW w:w="363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用户隔离</w:t>
            </w:r>
          </w:p>
        </w:tc>
      </w:tr>
      <w:tr>
        <w:trPr>
          <w:trHeight w:val="1333" w:hRule="atLeast"/>
        </w:trPr>
        <w:tc>
          <w:tcPr>
            <w:tcW w:w="252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browser profile</w:t>
            </w:r>
          </w:p>
        </w:tc>
        <w:tc>
          <w:tcPr>
            <w:tcW w:w="333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按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Agent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目录</w:t>
            </w:r>
          </w:p>
        </w:tc>
        <w:tc>
          <w:tcPr>
            <w:tcW w:w="330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浏览器相关</w:t>
            </w:r>
          </w:p>
        </w:tc>
        <w:tc>
          <w:tcPr>
            <w:tcW w:w="246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同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Agent</w:t>
            </w:r>
          </w:p>
        </w:tc>
        <w:tc>
          <w:tcPr>
            <w:tcW w:w="363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runtime-guard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约束，禁跨用户</w:t>
            </w:r>
          </w:p>
        </w:tc>
      </w:tr>
      <w:tr>
        <w:trPr>
          <w:trHeight w:val="1333" w:hRule="atLeast"/>
        </w:trPr>
        <w:tc>
          <w:tcPr>
            <w:tcW w:w="252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 service token</w:t>
            </w:r>
          </w:p>
        </w:tc>
        <w:tc>
          <w:tcPr>
            <w:tcW w:w="333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Secret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文件</w:t>
            </w:r>
          </w:p>
        </w:tc>
        <w:tc>
          <w:tcPr>
            <w:tcW w:w="330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编排注入</w:t>
            </w:r>
          </w:p>
        </w:tc>
        <w:tc>
          <w:tcPr>
            <w:tcW w:w="246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guard→Console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内部</w:t>
            </w:r>
          </w:p>
        </w:tc>
        <w:tc>
          <w:tcPr>
            <w:tcW w:w="363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不进日志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响应</w:t>
            </w:r>
          </w:p>
        </w:tc>
      </w:tr>
      <w:tr>
        <w:trPr>
          <w:trHeight w:val="1333" w:hRule="atLeast"/>
        </w:trPr>
        <w:tc>
          <w:tcPr>
            <w:tcW w:w="252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并发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lease</w:t>
            </w:r>
          </w:p>
        </w:tc>
        <w:tc>
          <w:tcPr>
            <w:tcW w:w="333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内本地队列</w:t>
            </w:r>
          </w:p>
        </w:tc>
        <w:tc>
          <w:tcPr>
            <w:tcW w:w="3300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runtime-guard</w:t>
            </w:r>
          </w:p>
        </w:tc>
        <w:tc>
          <w:tcPr>
            <w:tcW w:w="246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同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</w:t>
            </w:r>
          </w:p>
        </w:tc>
        <w:tc>
          <w:tcPr>
            <w:tcW w:w="3637" w:type="dxa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仅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内，非集群共享内存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numPr>
          <w:ilvl w:val="2"/>
          <w:numId w:val="1"/>
        </w:numPr>
        <w:tabs>
          <w:tab w:val="left" w:pos="720"/>
        </w:tabs>
        <w:snapToGrid/>
        <w:spacing w:before="120" w:line="360"/>
        <w:rPr/>
      </w:pP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关键交互消息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5084"/>
        <w:gridCol w:w="4139"/>
        <w:gridCol w:w="6029"/>
      </w:tblGrid>
      <w:tr>
        <w:trPr>
          <w:trHeight/>
        </w:trPr>
        <w:tc>
          <w:tcPr>
            <w:tcW w:w="5084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交互</w:t>
            </w:r>
          </w:p>
        </w:tc>
        <w:tc>
          <w:tcPr>
            <w:tcW w:w="4139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形态</w:t>
            </w:r>
          </w:p>
        </w:tc>
        <w:tc>
          <w:tcPr>
            <w:tcW w:w="6029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说明</w:t>
            </w:r>
          </w:p>
        </w:tc>
      </w:tr>
      <w:tr>
        <w:trPr>
          <w:trHeight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管理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API</w:t>
            </w:r>
          </w:p>
        </w:tc>
        <w:tc>
          <w:tcPr>
            <w:tcW w:w="413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JSON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（统一业务包）</w:t>
            </w:r>
          </w:p>
        </w:tc>
        <w:tc>
          <w:tcPr>
            <w:tcW w:w="60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开通、用户、绑定码、查询等</w:t>
            </w:r>
          </w:p>
        </w:tc>
      </w:tr>
      <w:tr>
        <w:trPr>
          <w:trHeight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绑定激活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POST /internal/v1/bindings/activate</w:t>
            </w:r>
          </w:p>
        </w:tc>
        <w:tc>
          <w:tcPr>
            <w:tcW w:w="413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JSON+Pod token</w:t>
            </w:r>
          </w:p>
        </w:tc>
        <w:tc>
          <w:tcPr>
            <w:tcW w:w="60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guard→Console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；登记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Identity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、消费码并自动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apply</w:t>
            </w:r>
          </w:p>
        </w:tc>
      </w:tr>
      <w:tr>
        <w:trPr>
          <w:trHeight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下发</w:t>
            </w:r>
          </w:p>
        </w:tc>
        <w:tc>
          <w:tcPr>
            <w:tcW w:w="413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Runtime DTO→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校验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→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文件</w:t>
            </w:r>
          </w:p>
        </w:tc>
        <w:tc>
          <w:tcPr>
            <w:tcW w:w="60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schema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校验失败不下发；可重试，无隐式回退</w:t>
            </w:r>
          </w:p>
        </w:tc>
      </w:tr>
      <w:tr>
        <w:trPr>
          <w:trHeight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Skill→MSSW</w:t>
            </w:r>
          </w:p>
        </w:tc>
        <w:tc>
          <w:tcPr>
            <w:tcW w:w="413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HTTP JSON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（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+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鉴权）</w:t>
            </w:r>
          </w:p>
        </w:tc>
        <w:tc>
          <w:tcPr>
            <w:tcW w:w="60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快速验证→Service；生产可靠→ClawFlow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  <w:tr>
        <w:trPr>
          <w:trHeight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IM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命令（如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/bind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）</w:t>
            </w:r>
          </w:p>
        </w:tc>
        <w:tc>
          <w:tcPr>
            <w:tcW w:w="413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通道消息</w:t>
            </w:r>
          </w:p>
        </w:tc>
        <w:tc>
          <w:tcPr>
            <w:tcW w:w="60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由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Gateway/guard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解析；细节见通道适配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numPr>
          <w:ilvl w:val="2"/>
          <w:numId w:val="1"/>
        </w:numPr>
        <w:tabs>
          <w:tab w:val="left" w:pos="720"/>
        </w:tabs>
        <w:snapToGrid/>
        <w:spacing w:before="120" w:line="360"/>
        <w:rPr/>
      </w:pP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外部数据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5084"/>
        <w:gridCol w:w="4244"/>
        <w:gridCol w:w="5924"/>
      </w:tblGrid>
      <w:tr>
        <w:trPr>
          <w:trHeight w:val="677" w:hRule="atLeast"/>
        </w:trPr>
        <w:tc>
          <w:tcPr>
            <w:tcW w:w="5084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数据</w:t>
            </w:r>
          </w:p>
        </w:tc>
        <w:tc>
          <w:tcPr>
            <w:tcW w:w="4244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归属</w:t>
            </w:r>
          </w:p>
        </w:tc>
        <w:tc>
          <w:tcPr>
            <w:tcW w:w="5924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说明</w:t>
            </w:r>
          </w:p>
        </w:tc>
      </w:tr>
      <w:tr>
        <w:trPr>
          <w:trHeight w:val="677" w:hRule="atLeast"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MSS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业务数据</w:t>
            </w:r>
          </w:p>
        </w:tc>
        <w:tc>
          <w:tcPr>
            <w:tcW w:w="424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MSS Service</w:t>
            </w:r>
          </w:p>
        </w:tc>
        <w:tc>
          <w:tcPr>
            <w:tcW w:w="59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经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HTTP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调用，不入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Claw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库</w:t>
            </w:r>
          </w:p>
        </w:tc>
      </w:tr>
      <w:tr>
        <w:trPr>
          <w:trHeight w:val="677" w:hRule="atLeast"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ClawFlow 执行历史和事件记录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  <w:tc>
          <w:tcPr>
            <w:tcW w:w="424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MSSW</w:t>
            </w:r>
          </w:p>
        </w:tc>
        <w:tc>
          <w:tcPr>
            <w:tcW w:w="59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生产可靠路径审计与恢复以 ClawFlow 执行历史和事件记录为准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  <w:tr>
        <w:trPr>
          <w:trHeight w:val="677" w:hRule="atLeast"/>
        </w:trPr>
        <w:tc>
          <w:tcPr>
            <w:tcW w:w="508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模型厂商侧数据</w:t>
            </w:r>
          </w:p>
        </w:tc>
        <w:tc>
          <w:tcPr>
            <w:tcW w:w="424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外部模型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API</w:t>
            </w:r>
          </w:p>
        </w:tc>
        <w:tc>
          <w:tcPr>
            <w:tcW w:w="59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仅运行时调用，不持久化密钥进普通日志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numPr>
          <w:ilvl w:val="2"/>
          <w:numId w:val="1"/>
        </w:numPr>
        <w:tabs>
          <w:tab w:val="left" w:pos="720"/>
        </w:tabs>
        <w:snapToGrid/>
        <w:spacing w:before="120" w:line="360"/>
        <w:rPr/>
      </w:pP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约束</w:t>
      </w:r>
    </w:p>
    <w:p>
      <w:pPr>
        <w:snapToGrid/>
        <w:spacing w:before="0" w:after="0" w:line="240"/>
        <w:ind w:left="420" w:right="0" w:hanging="210"/>
        <w:rPr/>
      </w:pP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单一权威：配置与身份以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Console SQLite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为准；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Runtime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文件为下发结果</w:t>
      </w:r>
    </w:p>
    <w:p>
      <w:pPr>
        <w:snapToGrid/>
        <w:spacing w:before="0" w:after="0" w:line="240"/>
        <w:ind w:left="420" w:right="0" w:hanging="210"/>
        <w:rPr/>
      </w:pP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创建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/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绑定即收敛：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Pod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、用户、绑定激活成功后自动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reconcile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，无需另做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"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 xml:space="preserve">无变更 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apply"</w:t>
      </w:r>
    </w:p>
    <w:p>
      <w:pPr>
        <w:snapToGrid/>
        <w:spacing w:before="0" w:after="0" w:line="240"/>
        <w:ind w:left="420" w:right="0" w:hanging="210"/>
        <w:rPr/>
      </w:pP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隔离：用户态数据按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Agent/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目录隔离；禁止跨用户读写</w:t>
      </w:r>
    </w:p>
    <w:p>
      <w:pPr>
        <w:snapToGrid/>
        <w:spacing w:before="0" w:after="0" w:line="240"/>
        <w:ind w:left="420" w:right="0" w:hanging="210"/>
        <w:rPr/>
      </w:pP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密钥：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token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、绑定码明文、凭证不进普通日志与用户响应</w:t>
      </w:r>
    </w:p>
    <w:p>
      <w:pPr>
        <w:snapToGrid/>
        <w:spacing w:before="0" w:after="0" w:line="240"/>
        <w:ind w:left="420" w:right="0" w:hanging="210"/>
        <w:rPr/>
      </w:pP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双路径：差异在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Skill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形态与</w:t>
      </w:r>
      <w:r>
        <w:rPr>
          <w:rFonts w:ascii="Arial" w:hAnsi="Arial" w:cs="Arial"/>
          <w:i w:val="false"/>
          <w:strike w:val="false"/>
          <w:color w:val="000000"/>
          <w:sz w:val="24"/>
          <w:u w:val="none"/>
          <w:vertAlign w:val="baseline"/>
        </w:rPr>
        <w:t>MSSW</w:t>
      </w:r>
      <w:r>
        <w:rPr>
          <w:rFonts w:ascii="宋体" w:hAnsi="宋体" w:eastAsia="宋体" w:cs="宋体"/>
          <w:i w:val="false"/>
          <w:strike w:val="false"/>
          <w:color w:val="000000"/>
          <w:sz w:val="24"/>
          <w:u w:val="none"/>
          <w:vertAlign w:val="baseline"/>
        </w:rPr>
        <w:t>目标</w:t>
      </w:r>
    </w:p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模块设计</w:t>
      </w:r>
    </w:p>
    <w:p>
      <w:pPr>
        <w:pStyle w:val="000004"/>
        <w:tabs>
          <w:tab w:val="left" w:pos="720"/>
        </w:tabs>
        <w:snapToGrid/>
        <w:spacing w:before="120" w:line="360"/>
        <w:ind w:left="720" w:hanging="720"/>
        <w:rPr/>
      </w:pPr>
      <w:r>
        <w:rPr>
          <w:rFonts w:ascii="Arial" w:hAnsi="Arial" w:cs="Arial"/>
          <w:b/>
          <w:i w:val="false"/>
          <w:strike w:val="false"/>
          <w:color w:val="000000"/>
          <w:sz w:val="28"/>
          <w:u w:val="none"/>
          <w:vertAlign w:val="baseline"/>
        </w:rPr>
        <w:t>Console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（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控制面板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）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1671"/>
        <w:gridCol w:w="13581"/>
      </w:tblGrid>
      <w:tr>
        <w:trPr>
          <w:trHeight w:val="677" w:hRule="atLeast"/>
        </w:trPr>
        <w:tc>
          <w:tcPr>
            <w:tcW w:w="1671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项</w:t>
            </w:r>
          </w:p>
        </w:tc>
        <w:tc>
          <w:tcPr>
            <w:tcW w:w="13581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内容</w:t>
            </w:r>
          </w:p>
        </w:tc>
      </w:tr>
      <w:tr>
        <w:trPr>
          <w:trHeight w:val="677" w:hRule="atLeast"/>
        </w:trPr>
        <w:tc>
          <w:tcPr>
            <w:tcW w:w="167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形态</w:t>
            </w:r>
          </w:p>
        </w:tc>
        <w:tc>
          <w:tcPr>
            <w:tcW w:w="1358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Go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后端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+ TypeScript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前端；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SQLite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单实例（本阶段）</w:t>
            </w:r>
          </w:p>
        </w:tc>
      </w:tr>
      <w:tr>
        <w:trPr>
          <w:trHeight w:val="677" w:hRule="atLeast"/>
        </w:trPr>
        <w:tc>
          <w:tcPr>
            <w:tcW w:w="167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职责</w:t>
            </w:r>
          </w:p>
        </w:tc>
        <w:tc>
          <w:tcPr>
            <w:tcW w:w="1358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Pod / Human User /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模型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/ Identity /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绑定码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/ Skill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授权的开通治理；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Runtime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配置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apply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与自动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reconcile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；审计与健康采集</w:t>
            </w:r>
          </w:p>
        </w:tc>
      </w:tr>
      <w:tr>
        <w:trPr>
          <w:trHeight w:val="677" w:hRule="atLeast"/>
        </w:trPr>
        <w:tc>
          <w:tcPr>
            <w:tcW w:w="167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边界</w:t>
            </w:r>
          </w:p>
        </w:tc>
        <w:tc>
          <w:tcPr>
            <w:tcW w:w="1358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不执行业务 SOP 脚本；不替代 MSSW 侧 ClawFlow 编排与执行能力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  <w:tr>
        <w:trPr>
          <w:trHeight w:val="677" w:hRule="atLeast"/>
        </w:trPr>
        <w:tc>
          <w:tcPr>
            <w:tcW w:w="167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关键依赖</w:t>
            </w:r>
          </w:p>
        </w:tc>
        <w:tc>
          <w:tcPr>
            <w:tcW w:w="1358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编排驱动（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K8S/Docker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）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→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创建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更新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Pod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Claw Pod internal API →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绑定激活与健康</w:t>
            </w:r>
          </w:p>
        </w:tc>
      </w:tr>
      <w:tr>
        <w:trPr>
          <w:trHeight w:val="677" w:hRule="atLeast"/>
        </w:trPr>
        <w:tc>
          <w:tcPr>
            <w:tcW w:w="167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部署</w:t>
            </w:r>
          </w:p>
        </w:tc>
        <w:tc>
          <w:tcPr>
            <w:tcW w:w="1358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同集群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Claw NS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2C/4G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规划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tabs>
          <w:tab w:val="left" w:pos="720"/>
        </w:tabs>
        <w:snapToGrid/>
        <w:spacing w:before="120" w:line="360"/>
        <w:ind w:left="720" w:hanging="720"/>
        <w:rPr/>
      </w:pPr>
      <w:r>
        <w:t>Claw Pod（镜像与插件）</w:t>
      </w:r>
    </w:p>
    <w:p>
      <w:pPr>
        <w:snapToGrid/>
        <w:spacing w:after="120" w:line="360"/>
        <w:ind w:firstLine="420"/>
        <w:rPr/>
      </w:pPr>
      <w:r>
        <w:t>上游 OpenClaw 基座镜像不 fork；Pod 内包含 OpenClaw Gateway、通道插件、OpenClaw 原生 Skill 运行环境、无头浏览器/Playwright、runtime-guard 与 session-manager。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2380"/>
        <w:gridCol w:w="12895"/>
      </w:tblGrid>
      <w:tr>
        <w:trPr>
          <w:trHeight/>
        </w:trPr>
        <w:tc>
          <w:tcPr>
            <w:tcW w:w="2380" w:type="dxa"/>
            <w:shd w:val="clear" w:color="auto" w:fill="BFBFBF"/>
            <w:vAlign w:val="center"/>
          </w:tcPr>
          <w:p>
            <w:r>
              <w:t>项</w:t>
            </w:r>
          </w:p>
        </w:tc>
        <w:tc>
          <w:tcPr>
            <w:tcW w:w="12895" w:type="dxa"/>
            <w:shd w:val="clear" w:color="auto" w:fill="BFBFBF"/>
            <w:vAlign w:val="center"/>
          </w:tcPr>
          <w:p>
            <w:r>
              <w:t>内容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OpenClaw 基座</w:t>
            </w:r>
          </w:p>
        </w:tc>
        <w:tc>
          <w:tcPr>
            <w:tcW w:w="12895" w:type="dxa"/>
            <w:vAlign w:val="center"/>
          </w:tcPr>
          <w:p>
            <w:r>
              <w:t>基于上游 OpenClaw 官方镜像，不 fork；提供 Gateway、Agent、通道、工具调用、Skill 加载与 workspace 管理基础能力。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通道插件</w:t>
            </w:r>
          </w:p>
        </w:tc>
        <w:tc>
          <w:tcPr>
            <w:tcW w:w="12895" w:type="dxa"/>
            <w:vAlign w:val="center"/>
          </w:tcPr>
          <w:p>
            <w:r>
              <w:t>镜像内置企业微信 wecom 长连接插件和个人微信 openclaw-weixin 插件；企微采用 websocket 长连接模式。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无头浏览器 / Playwright</w:t>
            </w:r>
          </w:p>
        </w:tc>
        <w:tc>
          <w:tcPr>
            <w:tcW w:w="12895" w:type="dxa"/>
            <w:vAlign w:val="center"/>
          </w:tcPr>
          <w:p>
            <w:r>
              <w:t>镜像内置 Chromium 与 Playwright 运行依赖，启用 headless browser；供需要页面自动化的原生 Skill 使用，browser profile 按 Agent 隔离。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runtime-guard</w:t>
            </w:r>
          </w:p>
        </w:tc>
        <w:tc>
          <w:tcPr>
            <w:tcW w:w="12895" w:type="dxa"/>
            <w:vAlign w:val="center"/>
          </w:tcPr>
          <w:p>
            <w:r>
              <w:t>负责 bind 命令、模型/工具门禁、路径和浏览器 profile 隔离、Skill/浏览器并发限制与运行边界控制。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session-manager</w:t>
            </w:r>
          </w:p>
        </w:tc>
        <w:tc>
          <w:tcPr>
            <w:tcW w:w="12895" w:type="dxa"/>
            <w:vAlign w:val="center"/>
          </w:tcPr>
          <w:p>
            <w:r>
              <w:t>负责业务平台 session 获取、缓存、失效识别和刷新；当前按 agents/&lt;agent&gt;/session-store/&lt;platform&gt;/default/ 落盘。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Skill 调用</w:t>
            </w:r>
          </w:p>
        </w:tc>
        <w:tc>
          <w:tcPr>
            <w:tcW w:w="12895" w:type="dxa"/>
            <w:vAlign w:val="center"/>
          </w:tcPr>
          <w:p>
            <w:r>
              <w:t>本期优先保证 OpenClaw 原生 Agent 调用 Skill；muad-run-skill 暂不作为主调用链路，仅作为后续统一执行、进度和审计的可选增强。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数据</w:t>
            </w:r>
          </w:p>
        </w:tc>
        <w:tc>
          <w:tcPr>
            <w:tcW w:w="12895" w:type="dxa"/>
            <w:vAlign w:val="center"/>
          </w:tcPr>
          <w:p>
            <w:r>
              <w:t>Agent 隔离的 workspace、MEMORY、session-store、browser profile 均在 State PVC；openclaw.json 由 Console 自动 reconcile 落盘。</w:t>
            </w:r>
          </w:p>
        </w:tc>
      </w:tr>
      <w:tr>
        <w:trPr>
          <w:trHeight/>
        </w:trPr>
        <w:tc>
          <w:tcPr>
            <w:tcW w:w="2380" w:type="dxa"/>
            <w:vAlign w:val="center"/>
          </w:tcPr>
          <w:p>
            <w:r>
              <w:t>边界</w:t>
            </w:r>
          </w:p>
        </w:tc>
        <w:tc>
          <w:tcPr>
            <w:tcW w:w="12895" w:type="dxa"/>
            <w:vAlign w:val="center"/>
          </w:tcPr>
          <w:p>
            <w:r>
              <w:t>Claw Pod 负责对话、轻量执行和触发；复杂、长时、需恢复和强审计的生产 SOP 迁入 MSSW 侧 ClawFlow。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tabs>
          <w:tab w:val="left" w:pos="720"/>
        </w:tabs>
        <w:snapToGrid/>
        <w:spacing w:before="120" w:line="360"/>
        <w:ind w:left="720" w:hanging="720"/>
        <w:rPr/>
      </w:pPr>
      <w:r>
        <w:rPr>
          <w:rFonts w:ascii="Arial" w:hAnsi="Arial" w:cs="Arial"/>
          <w:b/>
          <w:i w:val="false"/>
          <w:strike w:val="false"/>
          <w:color w:val="000000"/>
          <w:sz w:val="28"/>
          <w:u w:val="none"/>
          <w:vertAlign w:val="baseline"/>
        </w:rPr>
        <w:t>Skill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（两种形态）</w:t>
      </w:r>
    </w:p>
    <w:p>
      <w:pPr>
        <w:snapToGrid/>
        <w:spacing w:after="120" w:line="360"/>
        <w:ind w:firstLine="420"/>
        <w:rPr/>
      </w:pP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同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 Pod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>可并存两种 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>Skill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>，差异仅在形态与 </w:t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MSSW 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>调用目标。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2929"/>
        <w:gridCol w:w="6024"/>
        <w:gridCol w:w="6322"/>
      </w:tblGrid>
      <w:tr>
        <w:trPr>
          <w:trHeight/>
        </w:trPr>
        <w:tc>
          <w:tcPr>
            <w:tcW w:w="2929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项</w:t>
            </w:r>
          </w:p>
        </w:tc>
        <w:tc>
          <w:tcPr>
            <w:tcW w:w="6024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快速验证</w:t>
            </w:r>
          </w:p>
        </w:tc>
        <w:tc>
          <w:tcPr>
            <w:tcW w:w="6322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生产可靠</w:t>
            </w:r>
          </w:p>
        </w:tc>
      </w:tr>
      <w:tr>
        <w:trPr>
          <w:trHeight/>
        </w:trPr>
        <w:tc>
          <w:tcPr>
            <w:tcW w:w="29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Skill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形态</w:t>
            </w:r>
          </w:p>
        </w:tc>
        <w:tc>
          <w:tcPr>
            <w:tcW w:w="60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重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Skill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（业务逻辑脚本）</w:t>
            </w:r>
          </w:p>
        </w:tc>
        <w:tc>
          <w:tcPr>
            <w:tcW w:w="63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轻/薄 Skill（意图识别、参数整理、流程触发与结果解释）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  <w:tr>
        <w:trPr>
          <w:trHeight w:val="592" w:hRule="atLeast"/>
        </w:trPr>
        <w:tc>
          <w:tcPr>
            <w:tcW w:w="29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出口</w:t>
            </w:r>
          </w:p>
        </w:tc>
        <w:tc>
          <w:tcPr>
            <w:tcW w:w="60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HTTP → MSSW Service</w:t>
            </w:r>
          </w:p>
        </w:tc>
        <w:tc>
          <w:tcPr>
            <w:tcW w:w="63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HTTP → MSSW ClawFlow 微服务（同步等待结果返回）</w:t>
            </w:r>
          </w:p>
        </w:tc>
      </w:tr>
      <w:tr>
        <w:trPr>
          <w:trHeight w:val="607" w:hRule="atLeast"/>
        </w:trPr>
        <w:tc>
          <w:tcPr>
            <w:tcW w:w="29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定位</w:t>
            </w:r>
          </w:p>
        </w:tc>
        <w:tc>
          <w:tcPr>
            <w:tcW w:w="60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联调、演示、短步骤；失败可重跑</w:t>
            </w:r>
          </w:p>
        </w:tc>
        <w:tc>
          <w:tcPr>
            <w:tcW w:w="63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定型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SOP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；可恢复、可审计、强补偿</w:t>
            </w:r>
          </w:p>
        </w:tc>
      </w:tr>
      <w:tr>
        <w:trPr>
          <w:trHeight/>
        </w:trPr>
        <w:tc>
          <w:tcPr>
            <w:tcW w:w="2929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升级路径</w:t>
            </w:r>
          </w:p>
        </w:tc>
        <w:tc>
          <w:tcPr>
            <w:tcW w:w="6024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验证跑通后迁逻辑入 ClawFlow，Skill 收薄，仅保留意图识别、参数整理、流程触发与结果解释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  <w:tc>
          <w:tcPr>
            <w:tcW w:w="632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—</w:t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tabs>
          <w:tab w:val="left" w:pos="720"/>
        </w:tabs>
        <w:snapToGrid/>
        <w:spacing w:before="120" w:line="360"/>
        <w:ind w:left="720" w:hanging="720"/>
        <w:rPr/>
      </w:pPr>
      <w:r>
        <w:rPr>
          <w:rFonts w:ascii="Arial" w:hAnsi="Arial" w:cs="Arial"/>
          <w:b/>
          <w:i w:val="false"/>
          <w:strike w:val="false"/>
          <w:color w:val="000000"/>
          <w:sz w:val="28"/>
          <w:u w:val="none"/>
          <w:vertAlign w:val="baseline"/>
        </w:rPr>
        <w:t>MSSW</w:t>
      </w: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（外部，边界）</w:t>
      </w:r>
    </w:p>
    <w:p>
      <w:pPr>
        <w:snapToGrid/>
        <w:spacing w:after="120" w:line="360"/>
        <w:ind w:firstLine="420"/>
        <w:rPr/>
      </w:pP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>MSS 命名空间内的 Service 与 ClawFlow 微服务（同集群，非 Claw 交付物）。Claw 仅通过 HTTP JSON 调用。</w:t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/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/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/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/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/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/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/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/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 xml:space="preserve"/>
      </w:r>
      <w:r>
        <w:rPr>
          <w:rFonts w:ascii="Arial" w:hAnsi="Arial" w:cs="Arial"/>
          <w:i/>
          <w:strike w:val="false"/>
          <w:color w:val="000080"/>
          <w:sz w:val="22"/>
          <w:u w:val="none"/>
        </w:rPr>
        <w:t xml:space="preserve"/>
      </w:r>
      <w:r>
        <w:rPr>
          <w:rFonts w:ascii="宋体" w:hAnsi="宋体" w:eastAsia="宋体" w:cs="宋体"/>
          <w:i/>
          <w:strike w:val="false"/>
          <w:color w:val="000080"/>
          <w:sz w:val="22"/>
          <w:u w:val="none"/>
        </w:rPr>
        <w:t/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3711"/>
        <w:gridCol w:w="11541"/>
      </w:tblGrid>
      <w:tr>
        <w:trPr>
          <w:trHeight w:val="677" w:hRule="atLeast"/>
        </w:trPr>
        <w:tc>
          <w:tcPr>
            <w:tcW w:w="3711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项</w:t>
            </w:r>
          </w:p>
        </w:tc>
        <w:tc>
          <w:tcPr>
            <w:tcW w:w="11541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内容</w:t>
            </w:r>
          </w:p>
        </w:tc>
      </w:tr>
      <w:tr>
        <w:trPr>
          <w:trHeight w:val="677" w:hRule="atLeast"/>
        </w:trPr>
        <w:tc>
          <w:tcPr>
            <w:tcW w:w="371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归属</w:t>
            </w:r>
          </w:p>
        </w:tc>
        <w:tc>
          <w:tcPr>
            <w:tcW w:w="1154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MSS NS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；非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Claw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交付物</w:t>
            </w:r>
          </w:p>
        </w:tc>
      </w:tr>
      <w:tr>
        <w:trPr>
          <w:trHeight w:val="677" w:hRule="atLeast"/>
        </w:trPr>
        <w:tc>
          <w:tcPr>
            <w:tcW w:w="371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Service</w:t>
            </w:r>
          </w:p>
        </w:tc>
        <w:tc>
          <w:tcPr>
            <w:tcW w:w="1154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业务能力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API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；被快速验证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Skill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直调</w:t>
            </w:r>
          </w:p>
        </w:tc>
      </w:tr>
      <w:tr>
        <w:trPr>
          <w:trHeight w:val="677" w:hRule="atLeast"/>
        </w:trPr>
        <w:tc>
          <w:tcPr>
            <w:tcW w:w="371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ClawFlow</w:t>
            </w:r>
          </w:p>
        </w:tc>
        <w:tc>
          <w:tcPr>
            <w:tcW w:w="1154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定型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SOP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引擎；含重试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补偿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/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执行历史；可选浏览器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Activity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（短生命周期，用后销毁）</w:t>
            </w:r>
          </w:p>
        </w:tc>
      </w:tr>
      <w:tr>
        <w:trPr>
          <w:trHeight w:val="677" w:hRule="atLeast"/>
        </w:trPr>
        <w:tc>
          <w:tcPr>
            <w:tcW w:w="371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Claw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约束</w:t>
            </w:r>
          </w:p>
        </w:tc>
        <w:tc>
          <w:tcPr>
            <w:tcW w:w="1154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仅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 HTTP JSON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调用；不持有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IM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会话；不反向写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Console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或 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Pod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配置</w:t>
            </w:r>
          </w:p>
        </w:tc>
      </w:tr>
      <w:tr>
        <w:trPr>
          <w:trHeight w:val="677" w:hRule="atLeast"/>
        </w:trPr>
        <w:tc>
          <w:tcPr>
            <w:tcW w:w="371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Claw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不交付</w:t>
            </w:r>
          </w:p>
        </w:tc>
        <w:tc>
          <w:tcPr>
            <w:tcW w:w="11541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ClawFlow 内部实现、业务库、执行存储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</w:tbl>
    <w:p>
      <w:pPr>
        <w:snapToGrid/>
        <w:spacing w:before="0" w:after="0" w:line="360"/>
        <w:ind w:left="0" w:right="0"/>
        <w:rPr/>
      </w:pPr>
      <w:r>
        <w:rPr>
          <w:rFonts w:ascii="Times New Roman" w:hAnsi="Times New Roman" w:cs="Times New Roman"/>
          <w:i w:val="false"/>
          <w:strike w:val="false"/>
          <w:color w:val="000000"/>
          <w:sz w:val="24"/>
          <w:u w:val="none"/>
          <w:vertAlign w:val="baseline"/>
        </w:rPr>
        <w:t> </w:t>
      </w:r>
    </w:p>
    <w:p>
      <w:pPr>
        <w:pStyle w:val="000004"/>
        <w:tabs>
          <w:tab w:val="left" w:pos="720"/>
        </w:tabs>
        <w:snapToGrid/>
        <w:spacing w:before="120" w:line="360"/>
        <w:ind w:left="720" w:hanging="720"/>
        <w:rPr/>
      </w:pPr>
      <w:r>
        <w:rPr>
          <w:rFonts w:ascii="宋体" w:hAnsi="宋体" w:eastAsia="宋体" w:cs="宋体"/>
          <w:b/>
          <w:i w:val="false"/>
          <w:strike w:val="false"/>
          <w:color w:val="000000"/>
          <w:sz w:val="28"/>
          <w:u w:val="none"/>
          <w:vertAlign w:val="baseline"/>
        </w:rPr>
        <w:t>模块设计策略</w:t>
      </w:r>
    </w:p>
    <w:tbl>
      <w:tblPr>
        <w:tblStyle w:val="n3bpsm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true" w:firstColumn="true" w:noHBand="false"/>
      </w:tblPr>
      <w:tblGrid>
        <w:gridCol w:w="5552"/>
        <w:gridCol w:w="9727"/>
      </w:tblGrid>
      <w:tr>
        <w:trPr>
          <w:trHeight w:val="577" w:hRule="atLeast"/>
        </w:trPr>
        <w:tc>
          <w:tcPr>
            <w:tcW w:w="5552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模块</w:t>
            </w:r>
          </w:p>
        </w:tc>
        <w:tc>
          <w:tcPr>
            <w:tcW w:w="9727" w:type="dxa"/>
            <w:shd w:val="clear" w:color="auto" w:fill="BFBFBF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b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深度</w:t>
            </w:r>
          </w:p>
        </w:tc>
      </w:tr>
      <w:tr>
        <w:trPr>
          <w:trHeight w:val="562" w:hRule="atLeast"/>
        </w:trPr>
        <w:tc>
          <w:tcPr>
            <w:tcW w:w="555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Console / Runtime</w:t>
            </w:r>
          </w:p>
        </w:tc>
        <w:tc>
          <w:tcPr>
            <w:tcW w:w="972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概要设计（双路径共用底座）</w:t>
            </w:r>
          </w:p>
        </w:tc>
      </w:tr>
      <w:tr>
        <w:trPr>
          <w:trHeight w:val="667" w:hRule="atLeast"/>
        </w:trPr>
        <w:tc>
          <w:tcPr>
            <w:tcW w:w="555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>Skill </w:t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两种形态</w:t>
            </w:r>
          </w:p>
        </w:tc>
        <w:tc>
          <w:tcPr>
            <w:tcW w:w="972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概要；差异仅在出口</w:t>
            </w:r>
          </w:p>
        </w:tc>
      </w:tr>
      <w:tr>
        <w:trPr>
          <w:trHeight w:val="592" w:hRule="atLeast"/>
        </w:trPr>
        <w:tc>
          <w:tcPr>
            <w:tcW w:w="5552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MSSW Service/ClawFlow</w:t>
            </w:r>
          </w:p>
        </w:tc>
        <w:tc>
          <w:tcPr>
            <w:tcW w:w="9727" w:type="dxa"/>
            <w:vAlign w:val="center"/>
          </w:tcPr>
          <w:p>
            <w:pPr>
              <w:snapToGrid/>
              <w:spacing w:before="0" w:after="0" w:line="360"/>
              <w:ind w:left="0" w:right="0"/>
              <w:rPr/>
            </w:pP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>仅定义 Claw Pod 与 MSSW Service/ClawFlow 的交互边界与调用契约，具体实现设计见 MSSW 侧文档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 xml:space="preserve"/>
            </w:r>
            <w:r>
              <w:rPr>
                <w:rFonts w:ascii="宋体" w:hAnsi="宋体" w:eastAsia="宋体" w:cs="宋体"/>
                <w:i w:val="false"/>
                <w:strike w:val="false"/>
                <w:color w:val="000000"/>
                <w:spacing w:val="0"/>
                <w:sz w:val="24"/>
                <w:u w:val="none"/>
                <w:vertAlign w:val="baseline"/>
              </w:rPr>
              <w:t/>
            </w:r>
          </w:p>
        </w:tc>
      </w:tr>
    </w:tbl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关键特性设计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安全性设计</w:t>
      </w:r>
    </w:p>
    <w:p>
      <w:r>
        <w:t>安全性设计覆盖管理面、Runtime Pod、IM 身份与 ClawFlow 微服务四类边界。跨边界调用必须使用独立令牌或后续 mTLS，不复用管理员登录态、Pod 内部令牌或 IM 身份标识。</w:t>
      </w:r>
    </w:p>
    <w:p>
      <w:r>
        <w:t>模型 Key、平台凭证、ClawFlow 访问令牌不得写入 Skill 正文、镜像层或普通日志；日志、审计与错误诊断输出前需脱敏。绑定码必须单次有效、短时有效，并与目标机器人/通道匹配。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安全兜底机制合入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容器化交付；管理面鉴权；Runtime 内部令牌；ClawFlow 微服务鉴权；长任务需配置最大执行时长。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附件 checklist 待安全经理。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威胁建模分析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4"/>
        <w:gridCol w:w="2154"/>
        <w:gridCol w:w="2949"/>
        <w:gridCol w:w="4104"/>
        <w:gridCol w:w="3222"/>
      </w:tblGrid>
      <w:tr>
        <w:trPr>
          <w:trHeight w:val="504" w:hRule="atLeast"/>
        </w:trPr>
        <w:tc>
          <w:tcPr>
            <w:tcW w:w="284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实体</w:t>
            </w:r>
          </w:p>
        </w:tc>
        <w:tc>
          <w:tcPr>
            <w:tcW w:w="215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STRIDE</w:t>
            </w:r>
          </w:p>
        </w:tc>
        <w:tc>
          <w:tcPr>
            <w:tcW w:w="2949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风险</w:t>
            </w:r>
          </w:p>
        </w:tc>
        <w:tc>
          <w:tcPr>
            <w:tcW w:w="410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缓解</w:t>
            </w:r>
          </w:p>
        </w:tc>
        <w:tc>
          <w:tcPr>
            <w:tcW w:w="322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模块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管理 API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S/T/E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未授权变更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鉴权审计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Pod 服务令牌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I/E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伪造内部调用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令牌+网络隔离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Console/部署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多用户同 Pod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串数据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门禁+独立目录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门禁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模型/平台密钥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泄露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加密、脱敏、不进 Skill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Console/会话/能力中心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绑定码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撞库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单次时效定点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Console/门禁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微服务入口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S/T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伪造触发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令牌/后续 mTLS、网络策略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</w:t>
            </w:r>
          </w:p>
        </w:tc>
      </w:tr>
      <w:tr>
        <w:trPr>
          <w:trHeight w:val="504" w:hRule="atLeast"/>
        </w:trPr>
        <w:tc>
          <w:tcPr>
            <w:tcW w:w="28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开源组件</w:t>
            </w:r>
          </w:p>
        </w:tc>
        <w:tc>
          <w:tcPr>
            <w:tcW w:w="215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T</w:t>
            </w:r>
          </w:p>
        </w:tc>
        <w:tc>
          <w:tcPr>
            <w:tcW w:w="294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漏洞</w:t>
            </w:r>
          </w:p>
        </w:tc>
        <w:tc>
          <w:tcPr>
            <w:tcW w:w="410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Mend</w:t>
            </w:r>
          </w:p>
        </w:tc>
        <w:tc>
          <w:tcPr>
            <w:tcW w:w="322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安全/发布</w:t>
            </w:r>
          </w:p>
        </w:tc>
      </w:tr>
    </w:tbl>
    <w:p>
      <w:pPr>
        <w:spacing w:line="360" w:lineRule="auto"/>
        <w:rPr/>
      </w:pP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正式报告 待附件。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安全设计</w:t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【图件占位】图 5-1 信任边界与安全分区（待补充）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建议内容：四信任域（管理员/Console、Runtime Pod、服务经理 IM、ClawFlow 微服务）及跨域令牌；密钥与 session 落点；Skill 正文禁止持长期密钥。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 xml:space="preserve">信任边界：管理员凭证 ≠ Pod 令牌 ≠ IM 身份 ≠ ClawFlow 微服务令牌。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脚本与 ClawFlow 路径均不得将长期业务密钥写入 Skill 正文。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预使用组件版本安全情况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Mend 扫描；主要组件含 OpenClaw、控制面板依赖、ClawFlow 微服务依赖、浏览器组件。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结果 待填。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可靠性设计</w:t>
      </w:r>
    </w:p>
    <w:p>
      <w:r>
        <w:t>可靠性按双路径分层承诺。脚本路径定位为快速验证，失败即失败，不承诺 Pod 重启后的任务续跑；ClawFlow 路径定位为生产可靠执行，由 ClawFlow 侧承接状态持久化、重试、补偿、执行历史与终态返回。</w:t>
      </w:r>
    </w:p>
    <w:p>
      <w:r>
        <w:t>长任务必须定义最大执行时长。超过最大执行时长时，ClawFlow 任务进入终态失败，由 Agent/Skill 向用户解释失败原因并提示可重试，不允许后台无界执行。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能力目标定义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7"/>
        <w:gridCol w:w="5482"/>
        <w:gridCol w:w="7147"/>
      </w:tblGrid>
      <w:tr>
        <w:trPr>
          <w:trHeight w:val="415" w:hRule="atLeast"/>
        </w:trPr>
        <w:tc>
          <w:tcPr>
            <w:tcW w:w="264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一级目标</w:t>
            </w:r>
          </w:p>
        </w:tc>
        <w:tc>
          <w:tcPr>
            <w:tcW w:w="548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脚本型路径（快速验证）</w:t>
            </w:r>
          </w:p>
        </w:tc>
        <w:tc>
          <w:tcPr>
            <w:tcW w:w="714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ClawFlow 路径（可靠执行）</w:t>
            </w:r>
          </w:p>
        </w:tc>
      </w:tr>
      <w:tr>
        <w:trPr>
          <w:trHeight w:val="415" w:hRule="atLeast"/>
        </w:trPr>
        <w:tc>
          <w:tcPr>
            <w:tcW w:w="26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配置可靠</w:t>
            </w:r>
          </w:p>
        </w:tc>
        <w:tc>
          <w:tcPr>
            <w:tcW w:w="54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共用：apply 可回滚</w:t>
            </w:r>
          </w:p>
        </w:tc>
        <w:tc>
          <w:tcPr>
            <w:tcW w:w="71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同左</w:t>
            </w:r>
          </w:p>
        </w:tc>
      </w:tr>
      <w:tr>
        <w:trPr>
          <w:trHeight w:val="415" w:hRule="atLeast"/>
        </w:trPr>
        <w:tc>
          <w:tcPr>
            <w:tcW w:w="26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故障半径</w:t>
            </w:r>
          </w:p>
        </w:tc>
        <w:tc>
          <w:tcPr>
            <w:tcW w:w="54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 Pod 约 10 用户（默认）</w:t>
            </w:r>
          </w:p>
        </w:tc>
        <w:tc>
          <w:tcPr>
            <w:tcW w:w="71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对话 Pod 半径 + ClawFlow 任务级隔离</w:t>
            </w:r>
          </w:p>
        </w:tc>
      </w:tr>
      <w:tr>
        <w:trPr>
          <w:trHeight w:val="415" w:hRule="atLeast"/>
        </w:trPr>
        <w:tc>
          <w:tcPr>
            <w:tcW w:w="26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任务续跑</w:t>
            </w:r>
          </w:p>
        </w:tc>
        <w:tc>
          <w:tcPr>
            <w:tcW w:w="54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不承诺 Pod 重启后续跑</w:t>
            </w:r>
          </w:p>
        </w:tc>
        <w:tc>
          <w:tcPr>
            <w:tcW w:w="71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根据任务定义支持重试/续跑；超过最大执行时长即终态失败</w:t>
            </w:r>
          </w:p>
        </w:tc>
      </w:tr>
      <w:tr>
        <w:trPr>
          <w:trHeight w:val="415" w:hRule="atLeast"/>
        </w:trPr>
        <w:tc>
          <w:tcPr>
            <w:tcW w:w="26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写操作补偿</w:t>
            </w:r>
          </w:p>
        </w:tc>
        <w:tc>
          <w:tcPr>
            <w:tcW w:w="54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脚本自管，弱</w:t>
            </w:r>
          </w:p>
        </w:tc>
        <w:tc>
          <w:tcPr>
            <w:tcW w:w="71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强制补偿设计；失败即终态失败，可由用户重试</w:t>
            </w:r>
          </w:p>
        </w:tc>
      </w:tr>
      <w:tr>
        <w:trPr>
          <w:trHeight w:val="415" w:hRule="atLeast"/>
        </w:trPr>
        <w:tc>
          <w:tcPr>
            <w:tcW w:w="26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可观测</w:t>
            </w:r>
          </w:p>
        </w:tc>
        <w:tc>
          <w:tcPr>
            <w:tcW w:w="548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执行上报+日志</w:t>
            </w:r>
          </w:p>
        </w:tc>
        <w:tc>
          <w:tcPr>
            <w:tcW w:w="714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事件历史+执行存储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故障场景分析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5617"/>
        <w:gridCol w:w="7087"/>
      </w:tblGrid>
      <w:tr>
        <w:trPr>
          <w:trHeight w:val="612" w:hRule="atLeast"/>
        </w:trPr>
        <w:tc>
          <w:tcPr>
            <w:tcW w:w="257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场景</w:t>
            </w:r>
          </w:p>
        </w:tc>
        <w:tc>
          <w:tcPr>
            <w:tcW w:w="561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脚本型路径</w:t>
            </w:r>
          </w:p>
        </w:tc>
        <w:tc>
          <w:tcPr>
            <w:tcW w:w="708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ClawFlow 路径</w:t>
            </w:r>
          </w:p>
        </w:tc>
      </w:tr>
      <w:tr>
        <w:trPr>
          <w:trHeight w:val="612" w:hRule="atLeast"/>
        </w:trPr>
        <w:tc>
          <w:tcPr>
            <w:tcW w:w="257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Console 宕机</w:t>
            </w:r>
          </w:p>
        </w:tc>
        <w:tc>
          <w:tcPr>
            <w:tcW w:w="5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已绑定对话通常可；开通/解析降级</w:t>
            </w:r>
          </w:p>
        </w:tc>
        <w:tc>
          <w:tcPr>
            <w:tcW w:w="7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同左；进行中 ClawFlow 任务取决于是否依赖 Console</w:t>
            </w:r>
          </w:p>
        </w:tc>
      </w:tr>
      <w:tr>
        <w:trPr>
          <w:trHeight w:val="612" w:hRule="atLeast"/>
        </w:trPr>
        <w:tc>
          <w:tcPr>
            <w:tcW w:w="257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Runtime 宕机</w:t>
            </w:r>
          </w:p>
        </w:tc>
        <w:tc>
          <w:tcPr>
            <w:tcW w:w="5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该 Pod 用户与进行中脚本任务失败</w:t>
            </w:r>
          </w:p>
        </w:tc>
        <w:tc>
          <w:tcPr>
            <w:tcW w:w="7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对话中断；已提交 ClawFlow 任务可由 Worker 续跑</w:t>
            </w:r>
          </w:p>
        </w:tc>
      </w:tr>
      <w:tr>
        <w:trPr>
          <w:trHeight w:val="612" w:hRule="atLeast"/>
        </w:trPr>
        <w:tc>
          <w:tcPr>
            <w:tcW w:w="257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脚本中途失败</w:t>
            </w:r>
          </w:p>
        </w:tc>
        <w:tc>
          <w:tcPr>
            <w:tcW w:w="5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失败即终态失败，可由用户重试；需设置最大执行时长</w:t>
            </w:r>
          </w:p>
        </w:tc>
        <w:tc>
          <w:tcPr>
            <w:tcW w:w="7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Activity 级重试/补偿；超过最大执行时长即终态失败</w:t>
            </w:r>
          </w:p>
        </w:tc>
      </w:tr>
      <w:tr>
        <w:trPr>
          <w:trHeight w:val="612" w:hRule="atLeast"/>
        </w:trPr>
        <w:tc>
          <w:tcPr>
            <w:tcW w:w="257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微服务宕机</w:t>
            </w:r>
          </w:p>
        </w:tc>
        <w:tc>
          <w:tcPr>
            <w:tcW w:w="5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不影响纯脚本路径</w:t>
            </w:r>
          </w:p>
        </w:tc>
        <w:tc>
          <w:tcPr>
            <w:tcW w:w="708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 ClawFlow SOP 不可新触发；已提交 ClawFlow 任务按执行引擎策略完成、失败或超时终止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业界竞争分析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7"/>
        <w:gridCol w:w="5767"/>
        <w:gridCol w:w="6892"/>
      </w:tblGrid>
      <w:tr>
        <w:trPr>
          <w:trHeight w:val="390" w:hRule="atLeast"/>
        </w:trPr>
        <w:tc>
          <w:tcPr>
            <w:tcW w:w="261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维度</w:t>
            </w:r>
          </w:p>
        </w:tc>
        <w:tc>
          <w:tcPr>
            <w:tcW w:w="5767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常见</w:t>
            </w:r>
          </w:p>
        </w:tc>
        <w:tc>
          <w:tcPr>
            <w:tcW w:w="6892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本方案</w:t>
            </w:r>
          </w:p>
        </w:tc>
      </w:tr>
      <w:tr>
        <w:trPr>
          <w:trHeight w:val="390" w:hRule="atLeast"/>
        </w:trPr>
        <w:tc>
          <w:tcPr>
            <w:tcW w:w="2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验证速度</w:t>
            </w:r>
          </w:p>
        </w:tc>
        <w:tc>
          <w:tcPr>
            <w:tcW w:w="5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脚本/低代码</w:t>
            </w:r>
          </w:p>
        </w:tc>
        <w:tc>
          <w:tcPr>
            <w:tcW w:w="68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保留脚本闭环</w:t>
            </w:r>
          </w:p>
        </w:tc>
      </w:tr>
      <w:tr>
        <w:trPr>
          <w:trHeight w:val="390" w:hRule="atLeast"/>
        </w:trPr>
        <w:tc>
          <w:tcPr>
            <w:tcW w:w="2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生产可靠</w:t>
            </w:r>
          </w:p>
        </w:tc>
        <w:tc>
          <w:tcPr>
            <w:tcW w:w="5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工作流引擎</w:t>
            </w:r>
          </w:p>
        </w:tc>
        <w:tc>
          <w:tcPr>
            <w:tcW w:w="68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 + 成熟工作流引擎</w:t>
            </w:r>
          </w:p>
        </w:tc>
      </w:tr>
      <w:tr>
        <w:trPr>
          <w:trHeight w:val="390" w:hRule="atLeast"/>
        </w:trPr>
        <w:tc>
          <w:tcPr>
            <w:tcW w:w="261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多租户 Agent</w:t>
            </w:r>
          </w:p>
        </w:tc>
        <w:tc>
          <w:tcPr>
            <w:tcW w:w="5767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独立容器或逻辑隔离</w:t>
            </w:r>
          </w:p>
        </w:tc>
        <w:tc>
          <w:tcPr>
            <w:tcW w:w="6892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 Pod 多用户 + 门禁</w:t>
            </w:r>
          </w:p>
        </w:tc>
      </w:tr>
    </w:tbl>
    <w:p>
      <w:pPr>
        <w:spacing w:line="360" w:lineRule="auto"/>
        <w:rPr/>
      </w:pP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实现方案设计</w:t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【图件占位】图 5-2 故障影响与冗余（待补充）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 xml:space="preserve">建议内容：Console / 单 Runtime / ClawFlow 微服务 三类故障时，对话、新绑定、脚本任务、已提交 ClawFlow 任务各自是否可继续（与 §5.2.2 表一致，图形化）。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 xml:space="preserve"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冗余：Runtime 多 Pod 分片；ClawFlow 微服务/Worker 可多副本；Console 本阶段单实例+备份。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故障管理：容器探针重启；apply 回滚；脚本路径上报缓存；ClawFlow 接口超时、任务超时，以及引擎级重试与补偿。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升级：Runtime 滚动；ClawFlow 组件独立滚动；ClawFlow 定义版本兼容策略待概要细化。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 xml:space="preserve">应急：控制面板备份恢复；ClawFlow 执行历史和事件记录用于定责与人工补偿。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韧性设计</w:t>
      </w:r>
    </w:p>
    <w:p>
      <w:pPr>
        <w:shd w:val="clear" w:color="auto" w:fill="FFF2CC"/>
        <w:spacing w:line="360" w:lineRule="auto"/>
        <w:jc w:val="center"/>
        <w:rPr/>
      </w:pPr>
      <w:r>
        <w:rPr>
          <w:rFonts w:ascii="Arial" w:hAnsi="Arial" w:eastAsia="宋体" w:cs="Arial"/>
          <w:b/>
          <w:bCs/>
          <w:sz w:val="18"/>
          <w:szCs w:val="18"/>
        </w:rPr>
        <w:t>【图件占位】图 5-3 过载保护与限流点（待补充（可选））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建议内容：Pod 内并发租约、ClawFlow 任务队列、最大执行时长、LLM 独立密钥、管理面与数据面分离。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9"/>
        <w:gridCol w:w="10289"/>
      </w:tblGrid>
      <w:tr>
        <w:trPr>
          <w:trHeight w:val="401" w:hRule="atLeast"/>
        </w:trPr>
        <w:tc>
          <w:tcPr>
            <w:tcW w:w="497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过载</w:t>
            </w:r>
          </w:p>
        </w:tc>
        <w:tc>
          <w:tcPr>
            <w:tcW w:w="1028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策略</w:t>
            </w:r>
          </w:p>
        </w:tc>
      </w:tr>
      <w:tr>
        <w:trPr>
          <w:trHeight w:val="401" w:hRule="atLeast"/>
        </w:trPr>
        <w:tc>
          <w:tcPr>
            <w:tcW w:w="49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 Skill/浏览器并发</w:t>
            </w:r>
          </w:p>
        </w:tc>
        <w:tc>
          <w:tcPr>
            <w:tcW w:w="102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租约上限，拒绝或排队</w:t>
            </w:r>
          </w:p>
        </w:tc>
      </w:tr>
      <w:tr>
        <w:trPr>
          <w:trHeight w:val="401" w:hRule="atLeast"/>
        </w:trPr>
        <w:tc>
          <w:tcPr>
            <w:tcW w:w="49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Activity 并发与最大执行时长</w:t>
            </w:r>
          </w:p>
        </w:tc>
        <w:tc>
          <w:tcPr>
            <w:tcW w:w="102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任务队列、Worker 并发限制与任务级超时</w:t>
            </w:r>
          </w:p>
        </w:tc>
      </w:tr>
      <w:tr>
        <w:trPr>
          <w:trHeight w:val="401" w:hRule="atLeast"/>
        </w:trPr>
        <w:tc>
          <w:tcPr>
            <w:tcW w:w="49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LLM 限流</w:t>
            </w:r>
          </w:p>
        </w:tc>
        <w:tc>
          <w:tcPr>
            <w:tcW w:w="102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单用户密钥隔离影响面</w:t>
            </w:r>
          </w:p>
        </w:tc>
      </w:tr>
      <w:tr>
        <w:trPr>
          <w:trHeight w:val="401" w:hRule="atLeast"/>
        </w:trPr>
        <w:tc>
          <w:tcPr>
            <w:tcW w:w="49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平台攻击面</w:t>
            </w:r>
          </w:p>
        </w:tc>
        <w:tc>
          <w:tcPr>
            <w:tcW w:w="102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超时与无效请求抑制（部署与网关层）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可测试性设计</w:t>
      </w:r>
    </w:p>
    <w:p>
      <w:r>
        <w:t>测试用例需覆盖脚本路径与 ClawFlow 路径的分流规则、绑定身份隔离、Bridge Skill 参数整理、同步等待 ClawFlow 返回、超时失败、预期失败不重试、可重试失败重试、补偿成功与补偿失败。</w:t>
      </w:r>
    </w:p>
    <w:p>
      <w:r>
        <w:t>上线前至少完成 Console API 自动化、Runtime 配置应用回归、IM 绑定回归、ClawFlow Mock 回归，以及一个真实 ClawFlow SOP 的端到端验证。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9"/>
        <w:gridCol w:w="10259"/>
      </w:tblGrid>
      <w:tr>
        <w:trPr>
          <w:trHeight w:val="496" w:hRule="atLeast"/>
        </w:trPr>
        <w:tc>
          <w:tcPr>
            <w:tcW w:w="5009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能力</w:t>
            </w:r>
          </w:p>
        </w:tc>
        <w:tc>
          <w:tcPr>
            <w:tcW w:w="10259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方案</w:t>
            </w:r>
          </w:p>
        </w:tc>
      </w:tr>
      <w:tr>
        <w:trPr>
          <w:trHeight w:val="496" w:hRule="atLeast"/>
        </w:trPr>
        <w:tc>
          <w:tcPr>
            <w:tcW w:w="500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</w:p>
        </w:tc>
        <w:tc>
          <w:tcPr>
            <w:tcW w:w="1025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HTTP 自动化 + 模拟编排</w:t>
            </w:r>
          </w:p>
        </w:tc>
      </w:tr>
      <w:tr>
        <w:trPr>
          <w:trHeight w:val="496" w:hRule="atLeast"/>
        </w:trPr>
        <w:tc>
          <w:tcPr>
            <w:tcW w:w="500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脚本路径</w:t>
            </w:r>
          </w:p>
        </w:tc>
        <w:tc>
          <w:tcPr>
            <w:tcW w:w="1025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工具链单测、绑定/多 agent 实机清单</w:t>
            </w:r>
          </w:p>
        </w:tc>
      </w:tr>
      <w:tr>
        <w:trPr>
          <w:trHeight w:val="496" w:hRule="atLeast"/>
        </w:trPr>
        <w:tc>
          <w:tcPr>
            <w:tcW w:w="500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路径</w:t>
            </w:r>
          </w:p>
        </w:tc>
        <w:tc>
          <w:tcPr>
            <w:tcW w:w="10259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重试成功、预期失败不重试、补偿、Worker 重启续跑、Bridge 触发、接口超时与任务超时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可调试性设计</w:t>
      </w:r>
    </w:p>
    <w:p>
      <w:r>
        <w:t>每次用户请求应具备可关联的 request_id/session_id/task_id。脚本路径主要查看 Pod 执行记录、工具输出与门禁日志；ClawFlow 路径主要查看 ClawFlow 执行历史、Activity 失败原因、超时原因与执行存储。</w:t>
      </w:r>
    </w:p>
    <w:p>
      <w:r>
        <w:t>Agent 最终回复不得只返回“执行失败”，需要归因到参数校验失败、权限失败、ClawFlow 接口失败、任务超时、补偿失败或未知异常，便于服务经理定位问题。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4"/>
        <w:gridCol w:w="10304"/>
      </w:tblGrid>
      <w:tr>
        <w:trPr>
          <w:trHeight w:val="388" w:hRule="atLeast"/>
        </w:trPr>
        <w:tc>
          <w:tcPr>
            <w:tcW w:w="496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路径</w:t>
            </w:r>
          </w:p>
        </w:tc>
        <w:tc>
          <w:tcPr>
            <w:tcW w:w="10304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手段</w:t>
            </w:r>
          </w:p>
        </w:tc>
      </w:tr>
      <w:tr>
        <w:trPr>
          <w:trHeight w:val="388" w:hRule="atLeast"/>
        </w:trPr>
        <w:tc>
          <w:tcPr>
            <w:tcW w:w="49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共用</w:t>
            </w:r>
          </w:p>
        </w:tc>
        <w:tc>
          <w:tcPr>
            <w:tcW w:w="1030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apply 错误、门禁日志、审计</w:t>
            </w:r>
          </w:p>
        </w:tc>
      </w:tr>
      <w:tr>
        <w:trPr>
          <w:trHeight w:val="388" w:hRule="atLeast"/>
        </w:trPr>
        <w:tc>
          <w:tcPr>
            <w:tcW w:w="49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脚本型</w:t>
            </w:r>
          </w:p>
        </w:tc>
        <w:tc>
          <w:tcPr>
            <w:tcW w:w="1030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执行记录、脚本输出</w:t>
            </w:r>
          </w:p>
        </w:tc>
      </w:tr>
      <w:tr>
        <w:trPr>
          <w:trHeight w:val="388" w:hRule="atLeast"/>
        </w:trPr>
        <w:tc>
          <w:tcPr>
            <w:tcW w:w="496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路径</w:t>
            </w:r>
          </w:p>
        </w:tc>
        <w:tc>
          <w:tcPr>
            <w:tcW w:w="10304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UI/事件历史、Activity 失败原因、超时原因、执行存储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可运维性设计</w:t>
      </w:r>
    </w:p>
    <w:p>
      <w:r>
        <w:t>运维面按 Console、Runtime Pod、ClawFlow 微服务、能力中心/业务 Service 分层。Console 负责配置与下发；Runtime Pod 负责对话与轻量执行；ClawFlow 微服务负责生产 SOP 编排、执行状态和长任务治理。</w:t>
      </w:r>
    </w:p>
    <w:p>
      <w:r>
        <w:t>容量治理需分别设置 Pod 用户数上限、Skill/浏览器并发租约、ClawFlow Worker 并发、ClawFlow 任务队列长度和任务最大执行时长；任一资源触顶时应拒绝或排队，不允许无限制堆积。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目标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安装可文档化；Console 统一变更；脚本与 ClawFlow 组件可独立扩缩；日志与执行记录分路径可查。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方案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单一管理面 + 可选独立 ClawFlow 运维视图</w:t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配置集中下发；ClawFlow 微服务地址/令牌随 Pod 环境注入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spacing w:line="360" w:lineRule="auto"/>
        <w:ind w:left="420" w:hanging="210"/>
        <w:rPr/>
      </w:pPr>
      <w:r>
        <w:rPr>
          <w:rFonts w:ascii="Arial" w:hAnsi="Arial" w:eastAsia="宋体" w:cs="Arial"/>
        </w:rPr>
        <w:t>• 故障半径：对话 Pod 与 ClawFlow 任务分离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可扩展性设计</w:t>
      </w:r>
    </w:p>
    <w:p>
      <w:r>
        <w:t>新增 IM 通道应只扩展通道适配与身份映射，不影响 User/Identity/BindingCode 的核心模型。新增业务 SOP 时，快速验证阶段可新增脚本 Skill；稳定后迁入 ClawFlow 编排，并复用能力中心能力。</w:t>
      </w:r>
    </w:p>
    <w:p>
      <w:r>
        <w:t>ClawFlow 作为 MSSW 侧微服务后，后续业务扩展优先新增 ClawFlow 定义和能力中心接口，避免在 Skill 内堆积复杂业务流程。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11339"/>
      </w:tblGrid>
      <w:tr>
        <w:trPr>
          <w:trHeight w:val="388" w:hRule="atLeast"/>
        </w:trPr>
        <w:tc>
          <w:tcPr>
            <w:tcW w:w="392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扩展点</w:t>
            </w:r>
          </w:p>
        </w:tc>
        <w:tc>
          <w:tcPr>
            <w:tcW w:w="1133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方式</w:t>
            </w:r>
          </w:p>
        </w:tc>
      </w:tr>
      <w:tr>
        <w:trPr>
          <w:trHeight w:val="388" w:hRule="atLeast"/>
        </w:trPr>
        <w:tc>
          <w:tcPr>
            <w:tcW w:w="39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用户</w:t>
            </w:r>
          </w:p>
        </w:tc>
        <w:tc>
          <w:tcPr>
            <w:tcW w:w="1133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加 Runtime Pod</w:t>
            </w:r>
          </w:p>
        </w:tc>
      </w:tr>
      <w:tr>
        <w:trPr>
          <w:trHeight w:val="388" w:hRule="atLeast"/>
        </w:trPr>
        <w:tc>
          <w:tcPr>
            <w:tcW w:w="39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新业务试错</w:t>
            </w:r>
          </w:p>
        </w:tc>
        <w:tc>
          <w:tcPr>
            <w:tcW w:w="1133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新增/改脚本 Skill</w:t>
            </w:r>
          </w:p>
        </w:tc>
      </w:tr>
      <w:tr>
        <w:trPr>
          <w:trHeight w:val="388" w:hRule="atLeast"/>
        </w:trPr>
        <w:tc>
          <w:tcPr>
            <w:tcW w:w="39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定型生产 SOP</w:t>
            </w:r>
          </w:p>
        </w:tc>
        <w:tc>
          <w:tcPr>
            <w:tcW w:w="1133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新增 ClawFlow 编排 + 复用/扩展能力中心（目标多数 SOP 只加 ClawFlow 定义）</w:t>
            </w:r>
          </w:p>
        </w:tc>
      </w:tr>
      <w:tr>
        <w:trPr>
          <w:trHeight w:val="388" w:hRule="atLeast"/>
        </w:trPr>
        <w:tc>
          <w:tcPr>
            <w:tcW w:w="39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IM</w:t>
            </w:r>
          </w:p>
        </w:tc>
        <w:tc>
          <w:tcPr>
            <w:tcW w:w="1133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通道插件</w:t>
            </w:r>
          </w:p>
        </w:tc>
      </w:tr>
      <w:tr>
        <w:trPr>
          <w:trHeight w:val="388" w:hRule="atLeast"/>
        </w:trPr>
        <w:tc>
          <w:tcPr>
            <w:tcW w:w="39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运行时安全</w:t>
            </w:r>
          </w:p>
        </w:tc>
        <w:tc>
          <w:tcPr>
            <w:tcW w:w="1133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门禁保留；以对话 + ClawFlow 为主时可裁剪脚本工具链中非必要组件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可复用性设计</w:t>
      </w:r>
    </w:p>
    <w:p>
      <w:r>
        <w:t>可复用资产包括多用户控制面板、IM 绑定模型、Runtime 配置应用机制、Bridge Skill 契约、能力中心接口规范、ClawFlow 编排模板和 DFX 测试清单。</w:t>
      </w:r>
    </w:p>
    <w:p>
      <w:r>
        <w:t>复用边界需要保持清晰：Skill 复用意图识别、参数整理与结果解释模式；能力中心复用业务 API 封装；ClawFlow 复用 SOP 编排与可靠执行模板。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技术规范落地计划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遵守项目编码与密钥规范；公司基线附件 待填。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可采用的公用代码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OpenClaw 镜像；成熟 UI 库；成熟工作流引擎（作为 ClawFlow 内部实现可选）。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可产出的公用代码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多用户</w:t>
      </w:r>
      <w:r>
        <w:rPr>
          <w:rFonts w:ascii="Arial" w:hAnsi="Arial" w:eastAsia="宋体" w:cs="Arial"/>
        </w:rPr>
        <w:t>控制面板</w:t>
      </w:r>
      <w:r>
        <w:rPr>
          <w:rFonts w:ascii="Arial" w:hAnsi="Arial" w:eastAsia="宋体" w:cs="Arial"/>
        </w:rPr>
        <w:t>模式；脚本工具链模式；能力中心与 Bridge 契约模式。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设计文档更新约定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9"/>
        <w:gridCol w:w="4969"/>
        <w:gridCol w:w="6829"/>
      </w:tblGrid>
      <w:tr>
        <w:trPr>
          <w:trHeight w:val="388" w:hRule="atLeast"/>
        </w:trPr>
        <w:tc>
          <w:tcPr>
            <w:tcW w:w="346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文档/模块</w:t>
            </w:r>
          </w:p>
        </w:tc>
        <w:tc>
          <w:tcPr>
            <w:tcW w:w="496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更新触发</w:t>
            </w:r>
          </w:p>
        </w:tc>
        <w:tc>
          <w:tcPr>
            <w:tcW w:w="682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责任人</w:t>
            </w:r>
          </w:p>
        </w:tc>
      </w:tr>
      <w:tr>
        <w:trPr>
          <w:trHeight w:val="388" w:hRule="atLeast"/>
        </w:trPr>
        <w:tc>
          <w:tcPr>
            <w:tcW w:w="34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本总设</w:t>
            </w:r>
          </w:p>
        </w:tc>
        <w:tc>
          <w:tcPr>
            <w:tcW w:w="49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双路径边界、模块、流程变更</w:t>
            </w:r>
          </w:p>
        </w:tc>
        <w:tc>
          <w:tcPr>
            <w:tcW w:w="6829" w:type="dxa"/>
            <w:shd w:val="clear" w:color="auto" w:fill="FCE4D6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架构师 待填</w:t>
            </w:r>
          </w:p>
        </w:tc>
      </w:tr>
      <w:tr>
        <w:trPr>
          <w:trHeight w:val="388" w:hRule="atLeast"/>
        </w:trPr>
        <w:tc>
          <w:tcPr>
            <w:tcW w:w="34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脚本工具链说明</w:t>
            </w:r>
          </w:p>
        </w:tc>
        <w:tc>
          <w:tcPr>
            <w:tcW w:w="49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组件行为变更</w:t>
            </w:r>
          </w:p>
        </w:tc>
        <w:tc>
          <w:tcPr>
            <w:tcW w:w="68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模块 owner</w:t>
            </w:r>
          </w:p>
        </w:tc>
      </w:tr>
      <w:tr>
        <w:trPr>
          <w:trHeight w:val="388" w:hRule="atLeast"/>
        </w:trPr>
        <w:tc>
          <w:tcPr>
            <w:tcW w:w="34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可靠执行层说明</w:t>
            </w:r>
          </w:p>
        </w:tc>
        <w:tc>
          <w:tcPr>
            <w:tcW w:w="49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ClawFlow/能力边界变更</w:t>
            </w:r>
          </w:p>
        </w:tc>
        <w:tc>
          <w:tcPr>
            <w:tcW w:w="68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模块 owner</w:t>
            </w:r>
          </w:p>
        </w:tc>
      </w:tr>
      <w:tr>
        <w:trPr>
          <w:trHeight w:val="388" w:hRule="atLeast"/>
        </w:trPr>
        <w:tc>
          <w:tcPr>
            <w:tcW w:w="34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容量规划</w:t>
            </w:r>
          </w:p>
        </w:tc>
        <w:tc>
          <w:tcPr>
            <w:tcW w:w="496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资源模型变更</w:t>
            </w:r>
          </w:p>
        </w:tc>
        <w:tc>
          <w:tcPr>
            <w:tcW w:w="682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架构/运维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系统隐私设计</w:t>
      </w:r>
    </w:p>
    <w:p>
      <w:r>
        <w:t>隐私数据最小化采集，仅保存完成路由与审计所需的 IM external_id、external_id_type、channel、account、用户配置和必要执行元数据。不得保存 IM 私聊全文作为长期业务数据，除非业务合规要求另行声明。</w:t>
      </w:r>
    </w:p>
    <w:p>
      <w:r>
        <w:t>跨 IM 通道共享同一 Human User 时，需要确保身份合并由绑定码或管理员配置显式完成；不同用户的会话、记忆、凭证、ClawFlow 任务与执行记录不得串用。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每用户隔离；最小采集 IM 标识与平台凭证；传输与存储加密/脱敏；企业场景开通与合规文案 待法务确认。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软件质量及效能改进设计</w:t>
      </w:r>
    </w:p>
    <w:p>
      <w:r>
        <w:t>质量改进重点是把“快速验证”和“生产可靠”解耦。脚本路径提升试错效率；ClawFlow 路径沉淀定型 SOP 的可靠执行、可观测和可恢复能力。</w:t>
      </w:r>
    </w:p>
    <w:p>
      <w:r>
        <w:t>效能指标建议跟踪绑定成功率、配置应用成功率、Skill 平均执行时长、ClawFlow 任务成功率、超时率、补偿成功率、人工介入次数和用户可见失败率。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4"/>
        <w:gridCol w:w="11894"/>
      </w:tblGrid>
      <w:tr>
        <w:trPr>
          <w:trHeight w:val="388" w:hRule="atLeast"/>
        </w:trPr>
        <w:tc>
          <w:tcPr>
            <w:tcW w:w="337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举措</w:t>
            </w:r>
          </w:p>
        </w:tc>
        <w:tc>
          <w:tcPr>
            <w:tcW w:w="1189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影响</w:t>
            </w:r>
          </w:p>
        </w:tc>
      </w:tr>
      <w:tr>
        <w:trPr>
          <w:trHeight w:val="388" w:hRule="atLeast"/>
        </w:trPr>
        <w:tc>
          <w:tcPr>
            <w:tcW w:w="337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双路径策略</w:t>
            </w:r>
          </w:p>
        </w:tc>
        <w:tc>
          <w:tcPr>
            <w:tcW w:w="1189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验证效率与生产可靠性解耦，避免「全脚本」或「全 ClawFlow」极端</w:t>
            </w:r>
          </w:p>
        </w:tc>
      </w:tr>
      <w:tr>
        <w:trPr>
          <w:trHeight w:val="388" w:hRule="atLeast"/>
        </w:trPr>
        <w:tc>
          <w:tcPr>
            <w:tcW w:w="337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自动化测试</w:t>
            </w:r>
          </w:p>
        </w:tc>
        <w:tc>
          <w:tcPr>
            <w:tcW w:w="1189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控制面板与 ClawFlow 关键容错场景可回归</w:t>
            </w:r>
            <w:r>
              <w:rPr>
                <w:rFonts w:ascii="Arial" w:hAnsi="Arial" w:eastAsia="宋体" w:cs="Arial"/>
                <w:sz w:val="24"/>
                <w:szCs w:val="18"/>
              </w:rPr>
              <w:t/>
            </w:r>
          </w:p>
        </w:tc>
      </w:tr>
      <w:tr>
        <w:trPr>
          <w:trHeight w:val="388" w:hRule="atLeast"/>
        </w:trPr>
        <w:tc>
          <w:tcPr>
            <w:tcW w:w="337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 fork</w:t>
            </w:r>
          </w:p>
        </w:tc>
        <w:tc>
          <w:tcPr>
            <w:tcW w:w="1189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上游升级可控</w:t>
            </w:r>
          </w:p>
        </w:tc>
      </w:tr>
      <w:tr>
        <w:trPr>
          <w:trHeight w:val="388" w:hRule="atLeast"/>
        </w:trPr>
        <w:tc>
          <w:tcPr>
            <w:tcW w:w="337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能力中心复用</w:t>
            </w:r>
          </w:p>
        </w:tc>
        <w:tc>
          <w:tcPr>
            <w:tcW w:w="1189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降低重复 API 封装与缺陷面</w:t>
            </w:r>
          </w:p>
        </w:tc>
      </w:tr>
      <w:tr>
        <w:trPr>
          <w:trHeight w:val="388" w:hRule="atLeast"/>
        </w:trPr>
        <w:tc>
          <w:tcPr>
            <w:tcW w:w="337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日志脱敏</w:t>
            </w:r>
          </w:p>
        </w:tc>
        <w:tc>
          <w:tcPr>
            <w:tcW w:w="1189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审计安全</w:t>
            </w:r>
          </w:p>
        </w:tc>
      </w:tr>
    </w:tbl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总结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与上一个版本的设计变化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单 Pod 多用户 + Console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相对每用户一 Pod：成本可控，故障半径显式化，平台化治理。</w:t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外置扩展不 fork</w:t>
      </w:r>
    </w:p>
    <w:p>
      <w:pPr>
        <w:pStyle w:val="000031"/>
        <w:spacing w:line="360" w:lineRule="auto"/>
        <w:ind w:firstLine="420"/>
        <w:rPr/>
      </w:pPr>
      <w:r>
        <w:rPr>
          <w:rFonts w:ascii="Arial" w:hAnsi="Arial" w:eastAsia="宋体" w:cs="Arial"/>
        </w:rPr>
        <w:t>门禁与工具链/ClawFlow 微服务均在上游之外扩展；ClawFlow 作为 MSSW 侧微服务承接 Claw Pod 与 MSSW 业务平台的桥接。</w:t>
      </w:r>
      <w:r>
        <w:rPr>
          <w:rFonts w:ascii="Arial" w:hAnsi="Arial" w:eastAsia="宋体" w:cs="Arial"/>
        </w:rPr>
        <w:t/>
      </w:r>
      <w:r>
        <w:rPr>
          <w:rFonts w:ascii="Arial" w:hAnsi="Arial" w:eastAsia="宋体" w:cs="Arial"/>
        </w:rPr>
        <w:t/>
      </w:r>
    </w:p>
    <w:p>
      <w:pPr>
        <w:pStyle w:val="000004"/>
        <w:numPr>
          <w:ilvl w:val="2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脚本快速验证与 ClawFlow 可靠执行并存（本版关键）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4"/>
        <w:gridCol w:w="9824"/>
      </w:tblGrid>
      <w:tr>
        <w:trPr>
          <w:trHeight w:val="402" w:hRule="atLeast"/>
        </w:trPr>
        <w:tc>
          <w:tcPr>
            <w:tcW w:w="544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项</w:t>
            </w:r>
          </w:p>
        </w:tc>
        <w:tc>
          <w:tcPr>
            <w:tcW w:w="9824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内容</w:t>
            </w:r>
          </w:p>
        </w:tc>
      </w:tr>
      <w:tr>
        <w:trPr>
          <w:trHeight w:val="402" w:hRule="atLeast"/>
        </w:trPr>
        <w:tc>
          <w:tcPr>
            <w:tcW w:w="54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变化原因</w:t>
            </w:r>
          </w:p>
        </w:tc>
        <w:tc>
          <w:tcPr>
            <w:tcW w:w="982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仅脚本无法满足生产可靠；仅 ClawFlow 拖慢业务验证</w:t>
            </w:r>
          </w:p>
        </w:tc>
      </w:tr>
      <w:tr>
        <w:trPr>
          <w:trHeight w:val="402" w:hRule="atLeast"/>
        </w:trPr>
        <w:tc>
          <w:tcPr>
            <w:tcW w:w="54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变化描述</w:t>
            </w:r>
          </w:p>
        </w:tc>
        <w:tc>
          <w:tcPr>
            <w:tcW w:w="982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脚本路径保留并明确「快速验证」定位；ClawFlow 可靠执行层并列交付，长任务以最大执行时长约束终态</w:t>
            </w:r>
          </w:p>
        </w:tc>
      </w:tr>
      <w:tr>
        <w:trPr>
          <w:trHeight w:val="402" w:hRule="atLeast"/>
        </w:trPr>
        <w:tc>
          <w:tcPr>
            <w:tcW w:w="544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影响</w:t>
            </w:r>
          </w:p>
        </w:tc>
        <w:tc>
          <w:tcPr>
            <w:tcW w:w="9824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Skill 分类治理、双部署单元、可靠性指标分路径承诺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风险问题保证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9"/>
        <w:gridCol w:w="9689"/>
      </w:tblGrid>
      <w:tr>
        <w:trPr>
          <w:trHeight w:val="388" w:hRule="atLeast"/>
        </w:trPr>
        <w:tc>
          <w:tcPr>
            <w:tcW w:w="557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风险点</w:t>
            </w:r>
          </w:p>
        </w:tc>
        <w:tc>
          <w:tcPr>
            <w:tcW w:w="9689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规避措施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双路径认知混乱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总设与运营规范明确「何时用脚本/ClawFlow」；Skill 元数据标识类型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用脚本路径扛生产长任务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评审与上线清单：长链路强制 ClawFlow 路径，并定义最大执行时长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用 ClawFlow 做所有试错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允许脚本快速验证，避免 ClawFlow 编排爆炸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逻辑隔离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门禁 + 用户上限 + 验证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控制面板</w:t>
            </w:r>
            <w:r>
              <w:rPr>
                <w:rFonts w:ascii="Arial" w:hAnsi="Arial" w:eastAsia="宋体" w:cs="Arial"/>
                <w:sz w:val="24"/>
                <w:szCs w:val="18"/>
              </w:rPr>
              <w:t>单点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备份；规模再评估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微服务依赖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多副本、监控、降级策略（仅对话/脚本仍可用）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能力对接不齐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真实 API 收口清单</w:t>
            </w:r>
          </w:p>
        </w:tc>
      </w:tr>
      <w:tr>
        <w:trPr>
          <w:trHeight w:val="388" w:hRule="atLeast"/>
        </w:trPr>
        <w:tc>
          <w:tcPr>
            <w:tcW w:w="557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群聊/微信共享登录</w:t>
            </w:r>
          </w:p>
        </w:tc>
        <w:tc>
          <w:tcPr>
            <w:tcW w:w="9689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不做强承诺</w:t>
            </w:r>
          </w:p>
        </w:tc>
      </w:tr>
    </w:tbl>
    <w:p>
      <w:pPr>
        <w:spacing w:line="360" w:lineRule="auto"/>
        <w:rPr/>
      </w:pP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尚未解决的问题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2"/>
        <w:gridCol w:w="9562"/>
      </w:tblGrid>
      <w:tr>
        <w:trPr>
          <w:trHeight w:val="388" w:hRule="atLeast"/>
        </w:trPr>
        <w:tc>
          <w:tcPr>
            <w:tcW w:w="569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问题</w:t>
            </w:r>
          </w:p>
        </w:tc>
        <w:tc>
          <w:tcPr>
            <w:tcW w:w="9562" w:type="dxa"/>
            <w:shd w:val="clear" w:color="auto" w:fill="D9D9D9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计划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脚本→ClawFlow 迁移判据与清单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产品+架构固化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ClawFlow 真实 API / 浏览器能力收口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实现与联调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双路径统一审计视图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产品设计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压测基线（分路径资源）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性能测试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安全附件与 Mend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安全经理</w:t>
            </w:r>
          </w:p>
        </w:tc>
      </w:tr>
      <w:tr>
        <w:trPr>
          <w:trHeight w:val="388" w:hRule="atLeast"/>
        </w:trPr>
        <w:tc>
          <w:tcPr>
            <w:tcW w:w="569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型号代号、电子流</w:t>
            </w:r>
          </w:p>
        </w:tc>
        <w:tc>
          <w:tcPr>
            <w:tcW w:w="9562" w:type="dxa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项目管理</w:t>
            </w:r>
          </w:p>
        </w:tc>
      </w:tr>
    </w:tbl>
    <w:p>
      <w:pPr>
        <w:spacing w:line="360" w:lineRule="auto"/>
        <w:rPr/>
      </w:pPr>
    </w:p>
    <w:p>
      <w:pPr>
        <w:pStyle w:val="000002"/>
        <w:numPr>
          <w:ilvl w:val="0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变更控制</w:t>
      </w:r>
    </w:p>
    <w:p>
      <w:pPr>
        <w:pStyle w:val="000003"/>
        <w:numPr>
          <w:ilvl w:val="1"/>
          <w:numId w:val="1"/>
        </w:numPr>
        <w:spacing w:line="360" w:lineRule="auto"/>
        <w:rPr/>
      </w:pPr>
      <w:r>
        <w:rPr>
          <w:rFonts w:ascii="Arial" w:hAnsi="Arial" w:eastAsia="宋体" w:cs="Arial"/>
          <w:b/>
          <w:bCs/>
        </w:rPr>
        <w:t>变更列表</w:t>
      </w:r>
    </w:p>
    <w:tbl>
      <w:tblPr>
        <w:tblStyle w:val="0000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3"/>
        <w:gridCol w:w="3488"/>
        <w:gridCol w:w="3818"/>
        <w:gridCol w:w="3053"/>
        <w:gridCol w:w="3056"/>
      </w:tblGrid>
      <w:tr>
        <w:trPr>
          <w:trHeight w:val="388" w:hRule="atLeast"/>
        </w:trPr>
        <w:tc>
          <w:tcPr>
            <w:tcW w:w="1853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变更章节</w:t>
            </w:r>
          </w:p>
        </w:tc>
        <w:tc>
          <w:tcPr>
            <w:tcW w:w="3488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变更内容</w:t>
            </w:r>
          </w:p>
        </w:tc>
        <w:tc>
          <w:tcPr>
            <w:tcW w:w="3818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变更原因</w:t>
            </w:r>
          </w:p>
        </w:tc>
        <w:tc>
          <w:tcPr>
            <w:tcW w:w="3053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影响</w:t>
            </w:r>
          </w:p>
        </w:tc>
        <w:tc>
          <w:tcPr>
            <w:tcW w:w="3056" w:type="dxa"/>
            <w:shd w:val="clear" w:color="auto" w:fill="D9D9D9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b/>
                <w:bCs/>
                <w:sz w:val="24"/>
                <w:szCs w:val="18"/>
              </w:rPr>
              <w:t>确认人</w:t>
            </w:r>
          </w:p>
        </w:tc>
      </w:tr>
      <w:tr>
        <w:trPr>
          <w:trHeight w:val="388" w:hRule="atLeast"/>
        </w:trPr>
        <w:tc>
          <w:tcPr>
            <w:tcW w:w="1853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全文架构表述</w:t>
            </w:r>
          </w:p>
        </w:tc>
        <w:tc>
          <w:tcPr>
            <w:tcW w:w="348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双路径并存（无阶段编号）</w:t>
            </w:r>
          </w:p>
        </w:tc>
        <w:tc>
          <w:tcPr>
            <w:tcW w:w="3818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业务快速验证与可靠执行双目标</w:t>
            </w:r>
          </w:p>
        </w:tc>
        <w:tc>
          <w:tcPr>
            <w:tcW w:w="3053" w:type="dxa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模块/流程/DFX 分路径</w:t>
            </w:r>
          </w:p>
        </w:tc>
        <w:tc>
          <w:tcPr>
            <w:tcW w:w="3056" w:type="dxa"/>
            <w:shd w:val="clear" w:color="auto" w:fill="FCE4D6"/>
            <w:vAlign w:val="center"/>
          </w:tcPr>
          <w:p>
            <w:pPr>
              <w:spacing w:line="276" w:lineRule="auto"/>
              <w:rPr>
                <w:sz w:val="24"/>
              </w:rPr>
            </w:pPr>
            <w:r>
              <w:rPr>
                <w:rFonts w:ascii="Arial" w:hAnsi="Arial" w:eastAsia="宋体" w:cs="Arial"/>
                <w:sz w:val="24"/>
                <w:szCs w:val="18"/>
              </w:rPr>
              <w:t>待填</w:t>
            </w:r>
          </w:p>
        </w:tc>
      </w:tr>
    </w:tbl>
    <w:p>
      <w:pPr>
        <w:spacing w:line="360" w:lineRule="auto"/>
        <w:rPr/>
      </w:pPr>
    </w:p>
    <w:sectPr>
      <w:headerReference r:id="rId6" w:type="default"/>
      <w:headerReference r:id="rId5" w:type="even"/>
      <w:headerReference r:id="rId7" w:type="first"/>
      <w:footerReference r:id="rId9" w:type="even"/>
      <w:footerReference r:id="rId8" w:type="default"/>
      <w:pgSz w:w="11906" w:h="16832"/>
      <w:pgMar w:top="1440" w:right="1440" w:bottom="1440" w:left="1440" w:header="648" w:footer="648" w:gutter="0"/>
      <w:pgBorders w:offsetFrom="page">
        <w:top w:val="single" w:color="auto" w:sz="8" w:space="24"/>
        <w:left w:val="single" w:color="auto" w:sz="8" w:space="24"/>
        <w:bottom w:val="single" w:color="auto" w:sz="8" w:space="24"/>
        <w:right w:val="single" w:color="auto" w:sz="8" w:space="24"/>
      </w:pgBorders>
      <w:cols w:space="720" w:num="1"/>
      <w:titlePg/>
    </w:sectPr>
  </w:body>
</w:document>
</file>

<file path=word/fontTable.xml><?xml version="1.0" encoding="utf-8"?>
<w:fonts xmlns:w="http://schemas.openxmlformats.org/wordprocessingml/2006/main">
  <w:font w:name="Arial Unicode MS">
    <w:panose1 w:val="020B0604020202020204"/>
    <w:charset w:val="86" w:characterSet="ISO-8859-1"/>
    <w:family w:val="auto"/>
    <w:pitch w:val="default"/>
    <w:sig w:usb0="FFFFFFFF" w:usb1="E9FFFFFF" w:usb2="0000003F" w:usb3="00000000" w:csb0="603F01FF" w:csb1="FFFF0000"/>
  </w:font>
  <w:font w:name="Tahoma">
    <w:panose1 w:val="020B0604030504040204"/>
    <w:charset w:val="00" w:characterSet="ISO-8859-1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PMingLiU">
    <w:altName w:val="宋体-繁"/>
    <w:panose1 w:val="02020500000000000000"/>
    <w:charset w:val="88" w:characterSet="ISO-8859-1"/>
    <w:family w:val="roman"/>
    <w:pitch w:val="default"/>
    <w:sig w:usb0="00000000" w:usb1="00000000" w:usb2="00000016" w:usb3="00000000" w:csb0="00100001" w:csb1="00000000"/>
  </w:font>
  <w:font w:name="宋体">
    <w:altName w:val="宋体-简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黑体-简">
    <w:panose1 w:val="02000000000000000000"/>
    <w:charset w:val="86" w:characterSet="ISO-8859-1"/>
    <w:family w:val="auto"/>
    <w:pitch w:val="default"/>
    <w:sig w:usb0="8000002F" w:usb1="0800004A" w:usb2="00000000" w:usb3="00000000" w:csb0="203E0000" w:csb1="00000000"/>
  </w:font>
  <w:font w:name="Consolas">
    <w:altName w:val="苹方-简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 w:characterSet="ISO-8859-1"/>
    <w:family w:val="auto"/>
    <w:pitch w:val="default"/>
    <w:sig w:usb0="00000001" w:usb1="080F0000" w:usb2="00000000" w:usb3="00000000" w:csb0="00040000" w:csb1="00000000"/>
  </w:font>
  <w:font w:name="黑体">
    <w:altName w:val="黑体-简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Arial Black">
    <w:panose1 w:val="020B0A04020102020204"/>
    <w:charset w:val="00" w:characterSet="ISO-8859-1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="http://schemas.openxmlformats.org/wordprocessingml/2006/main">
  <w:p>
    <w:pPr>
      <w:pStyle w:val="000019"/>
      <w:ind w:right="360"/>
      <w:jc w:val="both"/>
      <w:rPr/>
    </w:pPr>
    <w:r>
      <w:rPr>
        <w:rFonts w:hint="eastAsia"/>
        <w:lang w:eastAsia="zh-CN"/>
      </w:rPr>
      <w:t>深信服科技股份有限公司版权所有</w:t>
    </w:r>
    <w:r>
      <w:rPr>
        <w:rFonts w:hint="eastAsia"/>
      </w:rPr>
      <w:t xml:space="preserve"> </w:t>
      <w:tab/>
      <w:t xml:space="preserve"> </w:t>
    </w:r>
  </w:p>
</w:ftr>
</file>

<file path=word/footer2.xml><?xml version="1.0" encoding="utf-8"?>
<w:ftr xmlns:w="http://schemas.openxmlformats.org/wordprocessingml/2006/main">
  <w:p>
    <w:pPr>
      <w:pStyle w:val="000019"/>
      <w:framePr w:wrap="around" w:hAnchor="margin" w:vAnchor="text" w:xAlign="right" w:y="1"/>
      <w:rPr>
        <w:rStyle w:val="29"/>
      </w:rPr>
    </w:pPr>
    <w:r>
      <w:rPr/>
      <w:fldChar w:fldCharType="begin"/>
    </w:r>
    <w:r>
      <w:rPr>
        <w:rStyle w:val="000024"/>
      </w:rPr>
      <w:instrText xml:space="preserve">PAGE  </w:instrText>
    </w:r>
    <w:r>
      <w:rPr/>
      <w:fldChar w:fldCharType="end"/>
    </w:r>
  </w:p>
  <w:p>
    <w:pPr>
      <w:pStyle w:val="000019"/>
      <w:ind w:right="360"/>
      <w:rPr/>
    </w:pPr>
  </w:p>
</w:ftr>
</file>

<file path=word/header1.xml><?xml version="1.0" encoding="utf-8"?>
<w:hdr xmlns:w="http://schemas.openxmlformats.org/wordprocessingml/2006/main">
  <w:p>
    <w:pPr>
      <w:pStyle w:val="00001a"/>
      <w:framePr w:wrap="around" w:hAnchor="margin" w:vAnchor="text" w:xAlign="right" w:y="1"/>
      <w:rPr>
        <w:rStyle w:val="29"/>
      </w:rPr>
    </w:pPr>
    <w:r>
      <w:rPr/>
      <w:fldChar w:fldCharType="begin"/>
    </w:r>
    <w:r>
      <w:rPr>
        <w:rStyle w:val="000024"/>
      </w:rPr>
      <w:instrText xml:space="preserve">PAGE  </w:instrText>
    </w:r>
    <w:r>
      <w:rPr/>
      <w:fldChar w:fldCharType="end"/>
    </w:r>
  </w:p>
  <w:p>
    <w:pPr>
      <w:pStyle w:val="00001a"/>
      <w:ind w:right="360"/>
      <w:rPr/>
    </w:pPr>
  </w:p>
</w:hdr>
</file>

<file path=word/header2.xml><?xml version="1.0" encoding="utf-8"?>
<w:hdr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tbl>
    <w:tblPr>
      <w:tblStyle w:val="000012"/>
      <w:tblW w:w="0" w:type="auto"/>
      <w:tblInd w:w="103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8"/>
      <w:gridCol w:w="3260"/>
      <w:gridCol w:w="1701"/>
      <w:gridCol w:w="1843"/>
    </w:tblGrid>
    <w:tr>
      <w:trPr>
        <w:trHeight w:val="270" w:hRule="atLeast"/>
      </w:trPr>
      <w:tc>
        <w:tcPr>
          <w:tcW w:w="1848" w:type="dxa"/>
          <w:vMerge w:val="restart"/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  <w:r>
            <w:rPr>
              <w:rFonts w:hint="eastAsia" w:ascii="宋体" w:hAnsi="宋体" w:cs="宋体"/>
              <w:color w:val="000000"/>
              <w:sz w:val="20"/>
            </w:rPr>
            <w:t>　</w:t>
          </w:r>
        </w:p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  <w:r>
            <w:rPr>
              <w:rFonts w:hint="eastAsia" w:ascii="宋体" w:hAnsi="宋体" w:cs="宋体"/>
              <w:color w:val="000000"/>
              <w:sz w:val="20"/>
            </w:rPr>
            <w:t>　</w:t>
          </w:r>
          <w:r>
            <w:rPr>
              <w:rFonts w:hint="eastAsia"/>
            </w:rPr>
            <w:drawing>
              <wp:inline distT="0" distB="0" distL="0" distR="0">
                <wp:extent cx="883920" cy="685800"/>
                <wp:effectExtent l="0" t="0" r="0" b="0"/>
                <wp:docPr id="29" name="图片 1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30" name="图片 1"/>
                        <pic:cNvPicPr>
                          <a:picLocks noChangeAspect="true" noChangeArrowheads="true"/>
                        </pic:cNvPicPr>
                      </pic:nvPicPr>
                      <pic:blipFill>
                        <a:blip r:embed="rId0">
                          <a:extLst>
                            <a:ext uri="{28A0092B-C50C-407E-A947-70E740481C1C}"/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8392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60" w:type="dxa"/>
          <w:vMerge w:val="restart"/>
          <w:tcBorders>
            <w:top w:val="single" w:color="auto" w:sz="4" w:space="0"/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宋体" w:cs="宋体"/>
              <w:color w:val="000000"/>
              <w:sz w:val="20"/>
              <w:lang w:eastAsia="zh-CN"/>
            </w:rPr>
          </w:pPr>
          <w:r>
            <w:rPr>
              <w:rFonts w:hint="eastAsia" w:ascii="黑体" w:eastAsia="黑体"/>
              <w:b/>
              <w:lang w:eastAsia="zh-CN"/>
            </w:rPr>
            <w:t>深信服科技股份有限公司</w:t>
          </w:r>
        </w:p>
      </w:tc>
      <w:tc>
        <w:tcPr>
          <w:tcW w:w="1701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文件模板编号</w:t>
          </w:r>
        </w:p>
      </w:tc>
      <w:tc>
        <w:tcPr>
          <w:tcW w:w="1843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val="en-US" w:eastAsia="zh-CN"/>
            </w:rPr>
          </w:pPr>
          <w:r>
            <w:rPr>
              <w:rFonts w:hint="eastAsia" w:ascii="黑体" w:hAnsi="宋体" w:eastAsia="黑体"/>
              <w:sz w:val="18"/>
              <w:szCs w:val="18"/>
              <w:lang w:eastAsia="zh-CN"/>
            </w:rPr>
            <w:t>SFRD-TS-01-3.2</w:t>
          </w:r>
        </w:p>
      </w:tc>
    </w:tr>
    <w:tr>
      <w:trPr>
        <w:trHeight w:val="135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密    级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hAnsi="宋体" w:eastAsia="黑体"/>
              <w:sz w:val="18"/>
              <w:szCs w:val="18"/>
            </w:rPr>
            <w:t>B级(项目组内公开)</w:t>
          </w:r>
        </w:p>
      </w:tc>
    </w:tr>
    <w:tr>
      <w:trPr>
        <w:trHeight w:val="180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发布生效日期</w:t>
          </w:r>
        </w:p>
      </w:tc>
      <w:tc>
        <w:tcPr>
          <w:tcW w:w="1843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val="en-US" w:eastAsia="zh-CN"/>
            </w:rPr>
          </w:pPr>
          <w:r>
            <w:rPr>
              <w:rFonts w:hint="eastAsia" w:ascii="黑体" w:hAnsi="宋体" w:eastAsia="黑体"/>
              <w:sz w:val="18"/>
              <w:szCs w:val="18"/>
              <w:lang w:eastAsia="zh-CN"/>
            </w:rPr>
            <w:t>2025-06-30</w:t>
          </w:r>
        </w:p>
      </w:tc>
    </w:tr>
    <w:tr>
      <w:trPr>
        <w:trHeight w:val="270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restart"/>
          <w:tcBorders>
            <w:top w:val="nil"/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黑体" w:hAnsi="宋体" w:eastAsia="黑体" w:cs="宋体"/>
              <w:b/>
              <w:color w:val="000000"/>
              <w:sz w:val="21"/>
              <w:szCs w:val="21"/>
            </w:rPr>
          </w:pP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</w:rPr>
            <w:t>版本</w:t>
          </w: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  <w:lang w:val="en-US" w:eastAsia="zh-CN"/>
            </w:rPr>
            <w:t>总体</w:t>
          </w: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</w:rPr>
            <w:t>设计说明书</w:t>
          </w: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模板现行版本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val="en-US" w:eastAsia="zh-CN"/>
            </w:rPr>
          </w:pPr>
          <w:r>
            <w:rPr>
              <w:rFonts w:hint="eastAsia" w:ascii="黑体" w:eastAsia="黑体"/>
              <w:sz w:val="18"/>
              <w:szCs w:val="18"/>
              <w:lang w:eastAsia="zh-CN"/>
            </w:rPr>
            <w:t>V3.2</w:t>
          </w:r>
        </w:p>
      </w:tc>
    </w:tr>
    <w:tr>
      <w:trPr>
        <w:trHeight w:val="173" w:hRule="atLeast"/>
      </w:trPr>
      <w:tc>
        <w:tcPr>
          <w:tcW w:w="1848" w:type="dxa"/>
          <w:vMerge w:val="continue"/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页    次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hAnsi="宋体" w:eastAsia="黑体"/>
              <w:sz w:val="18"/>
              <w:szCs w:val="18"/>
            </w:rPr>
            <w:t>第</w:t>
          </w:r>
          <w:r>
            <w:rPr>
              <w:rFonts w:ascii="黑体" w:hAnsi="宋体" w:eastAsia="黑体"/>
              <w:sz w:val="18"/>
              <w:szCs w:val="18"/>
            </w:rPr>
            <w:fldChar w:fldCharType="begin"/>
          </w:r>
          <w:r>
            <w:rPr>
              <w:rFonts w:ascii="黑体" w:hAnsi="宋体" w:eastAsia="黑体"/>
              <w:sz w:val="18"/>
              <w:szCs w:val="18"/>
            </w:rPr>
            <w:instrText xml:space="preserve"> PAGE </w:instrText>
          </w:r>
          <w:r>
            <w:rPr>
              <w:rFonts w:ascii="黑体" w:hAnsi="宋体" w:eastAsia="黑体"/>
              <w:sz w:val="18"/>
              <w:szCs w:val="18"/>
            </w:rPr>
            <w:fldChar w:fldCharType="separate"/>
          </w:r>
          <w:r>
            <w:rPr>
              <w:rFonts w:ascii="黑体" w:hAnsi="宋体" w:eastAsia="黑体"/>
              <w:sz w:val="18"/>
              <w:szCs w:val="18"/>
            </w:rPr>
            <w:t>4</w:t>
          </w:r>
          <w:r>
            <w:rPr>
              <w:rFonts w:ascii="黑体" w:hAnsi="宋体" w:eastAsia="黑体"/>
              <w:sz w:val="18"/>
              <w:szCs w:val="18"/>
            </w:rPr>
            <w:fldChar w:fldCharType="end"/>
          </w:r>
          <w:r>
            <w:rPr>
              <w:rFonts w:ascii="黑体" w:hAnsi="宋体" w:eastAsia="黑体"/>
              <w:sz w:val="18"/>
              <w:szCs w:val="18"/>
            </w:rPr>
            <w:t>/</w:t>
          </w:r>
          <w:r>
            <w:rPr>
              <w:rFonts w:hint="eastAsia" w:ascii="黑体" w:hAnsi="宋体" w:eastAsia="黑体"/>
              <w:sz w:val="18"/>
              <w:szCs w:val="18"/>
            </w:rPr>
            <w:t>共</w:t>
          </w:r>
          <w:r>
            <w:rPr>
              <w:rFonts w:ascii="黑体" w:hAnsi="宋体" w:eastAsia="黑体"/>
              <w:sz w:val="18"/>
              <w:szCs w:val="18"/>
            </w:rPr>
            <w:fldChar w:fldCharType="begin"/>
          </w:r>
          <w:r>
            <w:rPr>
              <w:rFonts w:ascii="黑体" w:hAnsi="宋体" w:eastAsia="黑体"/>
              <w:sz w:val="18"/>
              <w:szCs w:val="18"/>
            </w:rPr>
            <w:instrText xml:space="preserve"> NUMPAGES  </w:instrText>
          </w:r>
          <w:r>
            <w:rPr>
              <w:rFonts w:ascii="黑体" w:hAnsi="宋体" w:eastAsia="黑体"/>
              <w:sz w:val="18"/>
              <w:szCs w:val="18"/>
            </w:rPr>
            <w:fldChar w:fldCharType="separate"/>
          </w:r>
          <w:r>
            <w:rPr>
              <w:rFonts w:ascii="黑体" w:hAnsi="宋体" w:eastAsia="黑体"/>
              <w:sz w:val="18"/>
              <w:szCs w:val="18"/>
            </w:rPr>
            <w:t>16</w:t>
          </w:r>
          <w:r>
            <w:rPr>
              <w:rFonts w:ascii="黑体" w:hAnsi="宋体" w:eastAsia="黑体"/>
              <w:sz w:val="18"/>
              <w:szCs w:val="18"/>
            </w:rPr>
            <w:fldChar w:fldCharType="end"/>
          </w:r>
          <w:r>
            <w:rPr>
              <w:rFonts w:hint="eastAsia" w:ascii="黑体" w:hAnsi="宋体" w:eastAsia="黑体"/>
              <w:sz w:val="18"/>
              <w:szCs w:val="18"/>
            </w:rPr>
            <w:t>页</w:t>
          </w:r>
        </w:p>
      </w:tc>
    </w:tr>
  </w:tbl>
  <w:p>
    <w:pPr>
      <w:pStyle w:val="00001a"/>
      <w:rPr/>
    </w:pPr>
  </w:p>
</w:hdr>
</file>

<file path=word/header3.xml><?xml version="1.0" encoding="utf-8"?>
<w:hdr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tbl>
    <w:tblPr>
      <w:tblStyle w:val="000012"/>
      <w:tblW w:w="0" w:type="auto"/>
      <w:tblInd w:w="103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8"/>
      <w:gridCol w:w="3260"/>
      <w:gridCol w:w="1701"/>
      <w:gridCol w:w="1843"/>
    </w:tblGrid>
    <w:tr>
      <w:trPr>
        <w:trHeight w:val="270" w:hRule="atLeast"/>
      </w:trPr>
      <w:tc>
        <w:tcPr>
          <w:tcW w:w="1848" w:type="dxa"/>
          <w:vMerge w:val="restart"/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  <w:r>
            <w:rPr>
              <w:rFonts w:hint="eastAsia" w:ascii="宋体" w:hAnsi="宋体" w:cs="宋体"/>
              <w:color w:val="000000"/>
              <w:sz w:val="20"/>
            </w:rPr>
            <w:t>　</w:t>
          </w:r>
        </w:p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  <w:r>
            <w:rPr>
              <w:rFonts w:hint="eastAsia" w:ascii="宋体" w:hAnsi="宋体" w:cs="宋体"/>
              <w:color w:val="000000"/>
              <w:sz w:val="20"/>
            </w:rPr>
            <w:t>　</w:t>
          </w:r>
          <w:r>
            <w:rPr>
              <w:rFonts w:hint="eastAsia"/>
            </w:rPr>
            <w:drawing>
              <wp:inline distT="0" distB="0" distL="0" distR="0">
                <wp:extent cx="883920" cy="685800"/>
                <wp:effectExtent l="0" t="0" r="0" b="0"/>
                <wp:docPr id="32" name="图片 3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33" name="图片 3"/>
                        <pic:cNvPicPr>
                          <a:picLocks noChangeAspect="true" noChangeArrowheads="true"/>
                        </pic:cNvPicPr>
                      </pic:nvPicPr>
                      <pic:blipFill>
                        <a:blip r:embed="rId0">
                          <a:extLst>
                            <a:ext uri="{28A0092B-C50C-407E-A947-70E740481C1C}"/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8392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60" w:type="dxa"/>
          <w:vMerge w:val="restart"/>
          <w:tcBorders>
            <w:top w:val="single" w:color="auto" w:sz="4" w:space="0"/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宋体" w:cs="宋体"/>
              <w:color w:val="000000"/>
              <w:sz w:val="20"/>
              <w:lang w:eastAsia="zh-CN"/>
            </w:rPr>
          </w:pPr>
          <w:r>
            <w:rPr>
              <w:rFonts w:hint="eastAsia" w:ascii="黑体" w:eastAsia="黑体"/>
              <w:b/>
              <w:lang w:eastAsia="zh-CN"/>
            </w:rPr>
            <w:t>深信服科技股份有限公司</w:t>
          </w:r>
        </w:p>
      </w:tc>
      <w:tc>
        <w:tcPr>
          <w:tcW w:w="1701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文件模板编号</w:t>
          </w:r>
        </w:p>
      </w:tc>
      <w:tc>
        <w:tcPr>
          <w:tcW w:w="1843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eastAsia="zh-CN"/>
            </w:rPr>
          </w:pPr>
          <w:r>
            <w:rPr>
              <w:rFonts w:hint="eastAsia" w:ascii="黑体" w:hAnsi="宋体" w:eastAsia="黑体"/>
              <w:sz w:val="18"/>
              <w:szCs w:val="18"/>
              <w:lang w:eastAsia="zh-CN"/>
            </w:rPr>
            <w:t>SFRD-TS-01-3.2</w:t>
          </w:r>
        </w:p>
      </w:tc>
    </w:tr>
    <w:tr>
      <w:trPr>
        <w:trHeight w:val="135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密    级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hAnsi="宋体" w:eastAsia="黑体"/>
              <w:sz w:val="18"/>
              <w:szCs w:val="18"/>
            </w:rPr>
            <w:t>B级(产品线内公开)</w:t>
          </w:r>
        </w:p>
      </w:tc>
    </w:tr>
    <w:tr>
      <w:trPr>
        <w:trHeight w:val="180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发布生效日期</w:t>
          </w:r>
        </w:p>
      </w:tc>
      <w:tc>
        <w:tcPr>
          <w:tcW w:w="1843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val="en-US" w:eastAsia="zh-CN"/>
            </w:rPr>
          </w:pPr>
          <w:r>
            <w:rPr>
              <w:rFonts w:hint="eastAsia" w:ascii="黑体" w:hAnsi="宋体" w:eastAsia="黑体"/>
              <w:sz w:val="18"/>
              <w:szCs w:val="18"/>
              <w:lang w:eastAsia="zh-CN"/>
            </w:rPr>
            <w:t>2025-06-30</w:t>
          </w:r>
        </w:p>
      </w:tc>
    </w:tr>
    <w:tr>
      <w:trPr>
        <w:trHeight w:val="270" w:hRule="atLeast"/>
      </w:trPr>
      <w:tc>
        <w:tcPr>
          <w:tcW w:w="1848" w:type="dxa"/>
          <w:vMerge w:val="continue"/>
          <w:tcBorders>
            <w:left w:val="single" w:color="auto" w:sz="4" w:space="0"/>
            <w:right w:val="single" w:color="auto" w:sz="4" w:space="0"/>
          </w:tcBorders>
          <w:vAlign w:val="center"/>
        </w:tcPr>
        <w:p>
          <w:pPr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restart"/>
          <w:tcBorders>
            <w:top w:val="nil"/>
            <w:left w:val="nil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黑体" w:hAnsi="宋体" w:eastAsia="黑体" w:cs="宋体"/>
              <w:b/>
              <w:color w:val="000000"/>
              <w:sz w:val="21"/>
              <w:szCs w:val="21"/>
            </w:rPr>
          </w:pP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</w:rPr>
            <w:t>版本</w:t>
          </w: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  <w:lang w:val="en-US" w:eastAsia="zh-CN"/>
            </w:rPr>
            <w:t>总体</w:t>
          </w:r>
          <w:r>
            <w:rPr>
              <w:rFonts w:hint="eastAsia" w:ascii="黑体" w:hAnsi="宋体" w:eastAsia="黑体" w:cs="宋体"/>
              <w:b/>
              <w:color w:val="000000"/>
              <w:sz w:val="21"/>
              <w:szCs w:val="21"/>
            </w:rPr>
            <w:t>设计说明书</w:t>
          </w: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模板现行版本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hint="eastAsia" w:ascii="宋体" w:hAnsi="宋体" w:eastAsia="黑体" w:cs="宋体"/>
              <w:color w:val="000000"/>
              <w:sz w:val="18"/>
              <w:szCs w:val="18"/>
              <w:lang w:val="en-US" w:eastAsia="zh-CN"/>
            </w:rPr>
          </w:pPr>
          <w:r>
            <w:rPr>
              <w:rFonts w:hint="eastAsia" w:ascii="黑体" w:eastAsia="黑体"/>
              <w:sz w:val="18"/>
              <w:szCs w:val="18"/>
              <w:lang w:eastAsia="zh-CN"/>
            </w:rPr>
            <w:t>V3.2</w:t>
          </w:r>
        </w:p>
      </w:tc>
    </w:tr>
    <w:tr>
      <w:trPr>
        <w:trHeight w:val="173" w:hRule="atLeast"/>
      </w:trPr>
      <w:tc>
        <w:tcPr>
          <w:tcW w:w="1848" w:type="dxa"/>
          <w:vMerge w:val="continue"/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3260" w:type="dxa"/>
          <w:vMerge w:val="continue"/>
          <w:tcBorders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20"/>
            </w:rPr>
          </w:pPr>
        </w:p>
      </w:tc>
      <w:tc>
        <w:tcPr>
          <w:tcW w:w="1701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eastAsia="黑体"/>
              <w:sz w:val="18"/>
              <w:szCs w:val="18"/>
            </w:rPr>
            <w:t>页    次</w:t>
          </w:r>
        </w:p>
      </w:tc>
      <w:tc>
        <w:tcPr>
          <w:tcW w:w="1843" w:type="dxa"/>
          <w:tcBorders>
            <w:top w:val="nil"/>
            <w:left w:val="nil"/>
            <w:bottom w:val="single" w:color="auto" w:sz="4" w:space="0"/>
            <w:right w:val="single" w:color="auto" w:sz="4" w:space="0"/>
          </w:tcBorders>
          <w:vAlign w:val="center"/>
        </w:tcPr>
        <w:p>
          <w:pPr>
            <w:overflowPunct/>
            <w:autoSpaceDE/>
            <w:autoSpaceDN/>
            <w:adjustRightInd/>
            <w:textAlignment w:val="auto"/>
            <w:rPr>
              <w:rFonts w:ascii="宋体" w:hAnsi="宋体" w:cs="宋体"/>
              <w:color w:val="000000"/>
              <w:sz w:val="18"/>
              <w:szCs w:val="18"/>
            </w:rPr>
          </w:pPr>
          <w:r>
            <w:rPr>
              <w:rFonts w:hint="eastAsia" w:ascii="黑体" w:hAnsi="宋体" w:eastAsia="黑体"/>
              <w:sz w:val="18"/>
              <w:szCs w:val="18"/>
            </w:rPr>
            <w:t>第</w:t>
          </w:r>
          <w:r>
            <w:rPr>
              <w:rFonts w:ascii="黑体" w:hAnsi="宋体" w:eastAsia="黑体"/>
              <w:sz w:val="18"/>
              <w:szCs w:val="18"/>
            </w:rPr>
            <w:fldChar w:fldCharType="begin"/>
          </w:r>
          <w:r>
            <w:rPr>
              <w:rFonts w:ascii="黑体" w:hAnsi="宋体" w:eastAsia="黑体"/>
              <w:sz w:val="18"/>
              <w:szCs w:val="18"/>
            </w:rPr>
            <w:instrText xml:space="preserve"> PAGE </w:instrText>
          </w:r>
          <w:r>
            <w:rPr>
              <w:rFonts w:ascii="黑体" w:hAnsi="宋体" w:eastAsia="黑体"/>
              <w:sz w:val="18"/>
              <w:szCs w:val="18"/>
            </w:rPr>
            <w:fldChar w:fldCharType="separate"/>
          </w:r>
          <w:r>
            <w:rPr>
              <w:rFonts w:ascii="黑体" w:hAnsi="宋体" w:eastAsia="黑体"/>
              <w:sz w:val="18"/>
              <w:szCs w:val="18"/>
            </w:rPr>
            <w:t>1</w:t>
          </w:r>
          <w:r>
            <w:rPr>
              <w:rFonts w:ascii="黑体" w:hAnsi="宋体" w:eastAsia="黑体"/>
              <w:sz w:val="18"/>
              <w:szCs w:val="18"/>
            </w:rPr>
            <w:fldChar w:fldCharType="end"/>
          </w:r>
          <w:r>
            <w:rPr>
              <w:rFonts w:ascii="黑体" w:hAnsi="宋体" w:eastAsia="黑体"/>
              <w:sz w:val="18"/>
              <w:szCs w:val="18"/>
            </w:rPr>
            <w:t>/</w:t>
          </w:r>
          <w:r>
            <w:rPr>
              <w:rFonts w:hint="eastAsia" w:ascii="黑体" w:hAnsi="宋体" w:eastAsia="黑体"/>
              <w:sz w:val="18"/>
              <w:szCs w:val="18"/>
            </w:rPr>
            <w:t>共</w:t>
          </w:r>
          <w:r>
            <w:rPr>
              <w:rFonts w:ascii="黑体" w:hAnsi="宋体" w:eastAsia="黑体"/>
              <w:sz w:val="18"/>
              <w:szCs w:val="18"/>
            </w:rPr>
            <w:fldChar w:fldCharType="begin"/>
          </w:r>
          <w:r>
            <w:rPr>
              <w:rFonts w:ascii="黑体" w:hAnsi="宋体" w:eastAsia="黑体"/>
              <w:sz w:val="18"/>
              <w:szCs w:val="18"/>
            </w:rPr>
            <w:instrText xml:space="preserve"> NUMPAGES  </w:instrText>
          </w:r>
          <w:r>
            <w:rPr>
              <w:rFonts w:ascii="黑体" w:hAnsi="宋体" w:eastAsia="黑体"/>
              <w:sz w:val="18"/>
              <w:szCs w:val="18"/>
            </w:rPr>
            <w:fldChar w:fldCharType="separate"/>
          </w:r>
          <w:r>
            <w:rPr>
              <w:rFonts w:ascii="黑体" w:hAnsi="宋体" w:eastAsia="黑体"/>
              <w:sz w:val="18"/>
              <w:szCs w:val="18"/>
            </w:rPr>
            <w:t>16</w:t>
          </w:r>
          <w:r>
            <w:rPr>
              <w:rFonts w:ascii="黑体" w:hAnsi="宋体" w:eastAsia="黑体"/>
              <w:sz w:val="18"/>
              <w:szCs w:val="18"/>
            </w:rPr>
            <w:fldChar w:fldCharType="end"/>
          </w:r>
          <w:r>
            <w:rPr>
              <w:rFonts w:hint="eastAsia" w:ascii="黑体" w:hAnsi="宋体" w:eastAsia="黑体"/>
              <w:sz w:val="18"/>
              <w:szCs w:val="18"/>
            </w:rPr>
            <w:t>页</w:t>
          </w:r>
        </w:p>
      </w:tc>
    </w:tr>
  </w:tbl>
  <w:p>
    <w:pPr>
      <w:pStyle w:val="00001a"/>
      <w:tabs>
        <w:tab w:val="center" w:pos="4513"/>
        <w:tab w:val="right" w:pos="9026"/>
        <w:tab w:val="clear" w:pos="4153"/>
        <w:tab w:val="clear" w:pos="8306"/>
      </w:tabs>
      <w:jc w:val="left"/>
      <w:rPr/>
    </w:pPr>
    <w:r>
      <w:rPr>
        <w:rFonts w:hint="eastAsia"/>
      </w:rPr>
      <w:tab/>
      <w:t xml:space="preserve">                                                                                             </w:t>
    </w:r>
  </w:p>
</w:hdr>
</file>

<file path=word/numbering.xml><?xml version="1.0" encoding="utf-8"?>
<w:numbering xmlns:w="http://schemas.openxmlformats.org/wordprocessingml/2006/main">
  <w:abstractNum w:abstractNumId="1"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</w:abstractNum>
  <w:abstractNum w:abstractNumId="2">
    <w:nsid w:val="0000000A"/>
    <w:multiLevelType w:val="multilevel"/>
    <w:tmpl w:val="0000000A"/>
    <w:lvl w:ilvl="7" w:tentative="false">
      <w:start w:val="1"/>
      <w:numFmt w:val="decimal"/>
      <w:pStyle w:val="00000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false">
      <w:start w:val="1"/>
      <w:numFmt w:val="decimal"/>
      <w:pStyle w:val="00000a"/>
      <w:lvlText w:val="%1.%2.%3.%4.%5.%6.%7.%8.%9"/>
      <w:lvlJc w:val="left"/>
      <w:pPr>
        <w:tabs>
          <w:tab w:val="left" w:pos="1584"/>
        </w:tabs>
        <w:ind w:left="1584" w:hanging="1584"/>
      </w:pPr>
    </w:lvl>
    <w:lvl w:ilvl="1" w:tentative="false">
      <w:start w:val="1"/>
      <w:numFmt w:val="decimal"/>
      <w:pStyle w:val="000003"/>
      <w:lvlText w:val="%1.%2"/>
      <w:lvlJc w:val="left"/>
      <w:pPr>
        <w:tabs>
          <w:tab w:val="left" w:pos="576"/>
        </w:tabs>
        <w:ind w:left="576" w:hanging="576"/>
      </w:pPr>
    </w:lvl>
    <w:lvl w:ilvl="5" w:tentative="false">
      <w:start w:val="1"/>
      <w:numFmt w:val="decimal"/>
      <w:pStyle w:val="000007"/>
      <w:lvlText w:val="%1.%2.%3.%4.%5.%6"/>
      <w:lvlJc w:val="left"/>
      <w:pPr>
        <w:tabs>
          <w:tab w:val="left" w:pos="1152"/>
        </w:tabs>
        <w:ind w:left="1152" w:hanging="1152"/>
      </w:pPr>
    </w:lvl>
    <w:lvl w:ilvl="0" w:tentative="false">
      <w:start w:val="1"/>
      <w:numFmt w:val="decimal"/>
      <w:pStyle w:val="000002"/>
      <w:lvlText w:val="%1"/>
      <w:lvlJc w:val="left"/>
      <w:pPr>
        <w:tabs>
          <w:tab w:val="left" w:pos="432"/>
        </w:tabs>
        <w:ind w:left="432" w:hanging="432"/>
      </w:pPr>
    </w:lvl>
    <w:lvl w:ilvl="4" w:tentative="false">
      <w:start w:val="1"/>
      <w:numFmt w:val="decimal"/>
      <w:pStyle w:val="000006"/>
      <w:lvlText w:val="%1.%2.%3.%4.%5"/>
      <w:lvlJc w:val="left"/>
      <w:pPr>
        <w:tabs>
          <w:tab w:val="left" w:pos="1008"/>
        </w:tabs>
        <w:ind w:left="1008" w:hanging="1008"/>
      </w:pPr>
    </w:lvl>
    <w:lvl w:ilvl="3" w:tentative="false">
      <w:start w:val="1"/>
      <w:numFmt w:val="decimal"/>
      <w:pStyle w:val="000005"/>
      <w:lvlText w:val="%1.%2.%3.%4"/>
      <w:lvlJc w:val="left"/>
      <w:pPr>
        <w:tabs>
          <w:tab w:val="left" w:pos="864"/>
        </w:tabs>
        <w:ind w:left="864" w:hanging="864"/>
      </w:pPr>
    </w:lvl>
    <w:lvl w:ilvl="2" w:tentative="false">
      <w:start w:val="1"/>
      <w:numFmt w:val="decimal"/>
      <w:pStyle w:val="000004"/>
      <w:lvlText w:val="%1.%2.%3"/>
      <w:lvlJc w:val="left"/>
      <w:pPr>
        <w:tabs>
          <w:tab w:val="left" w:pos="720"/>
        </w:tabs>
        <w:ind w:left="720" w:hanging="720"/>
      </w:pPr>
    </w:lvl>
    <w:lvl w:ilvl="6" w:tentative="false">
      <w:start w:val="1"/>
      <w:numFmt w:val="decimal"/>
      <w:pStyle w:val="000008"/>
      <w:lvlText w:val="%1.%2.%3.%4.%5.%6.%7"/>
      <w:lvlJc w:val="left"/>
      <w:pPr>
        <w:tabs>
          <w:tab w:val="left" w:pos="1296"/>
        </w:tabs>
        <w:ind w:left="1296" w:hanging="1296"/>
      </w:pPr>
    </w:lvl>
  </w:abstractNum>
  <w:abstractNum w:abstractNumId="3"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</w:abstractNum>
  <w:abstractNum w:abstractNumId="4"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</w:abstractNum>
  <w:abstractNum w:abstractNumId="5"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</w:abstractNum>
  <w:abstractNum w:abstractNumId="6"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</w:abstractNum>
  <w:abstractNum w:abstractNumId="7"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</w:abstractNum>
  <w:abstractNum w:abstractNumId="8"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</w:abstractNum>
  <w:abstractNum w:abstractNumId="9"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</w:abstractNum>
  <w:abstractNum w:abstractNumId="10"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</w:abstractNum>
  <w:abstractNum w:abstractNumId="11"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</w:abstractNum>
  <w:abstractNum w:abstractNumId="12"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</w:abstractNum>
  <w:abstractNum w:abstractNumId="13"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</w:abstractNum>
  <w:abstractNum w:abstractNumId="14"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</w:abstractNum>
  <w:num w:numId="8">
    <w:abstractNumId w:val="1"/>
  </w:num>
  <w:num w:numId="5">
    <w:abstractNumId w:val="3"/>
  </w:num>
  <w:num w:numId="7">
    <w:abstractNumId w:val="7"/>
  </w:num>
  <w:num w:numId="2">
    <w:abstractNumId w:val="13"/>
  </w:num>
  <w:num w:numId="13">
    <w:abstractNumId w:val="12"/>
  </w:num>
  <w:num w:numId="6">
    <w:abstractNumId w:val="10"/>
  </w:num>
  <w:num w:numId="1">
    <w:abstractNumId w:val="2"/>
  </w:num>
  <w:num w:numId="12">
    <w:abstractNumId w:val="14"/>
  </w:num>
  <w:num w:numId="3">
    <w:abstractNumId w:val="6"/>
  </w:num>
  <w:num w:numId="11">
    <w:abstractNumId w:val="11"/>
  </w:num>
  <w:num w:numId="14">
    <w:abstractNumId w:val="9"/>
  </w:num>
  <w:num w:numId="10">
    <w:abstractNumId w:val="4"/>
  </w:num>
  <w:num w:numId="9">
    <w:abstractNumId w:val="8"/>
  </w:num>
  <w:num w:numId="4">
    <w:abstractNumId w:val="5"/>
  </w:num>
</w:numbering>
</file>

<file path=word/settings.xml><?xml version="1.0" encoding="utf-8"?>
<w:settings xmlns:w="http://schemas.openxmlformats.org/wordprocessingml/2006/main">
  <w:zoom w:percent="161"/>
  <w:bordersDoNotSurroundHeader w:val="false"/>
  <w:bordersDoNotSurroundFooter w:val="false"/>
  <w:stylePaneFormatFilter w:allStyles="true" w:customStyles="false" w:latentStyles="false" w:stylesInUse="false" w:headingStyles="false" w:numberingStyles="false" w:tableStyles="false" w:directFormattingOnRuns="true" w:directFormattingOnParagraphs="true" w:directFormattingOnNumbering="true" w:directFormattingOnTables="true" w:clearFormatting="true" w:top3HeadingStyles="true" w:visibleStyles="false" w:alternateStyleNames="false"/>
  <w:documentProtection w:enforcement="false"/>
  <w:defaultTabStop w:val="720"/>
  <w:drawingGridHorizontalSpacing w:val="120"/>
  <w:drawingGridVerticalSpacing w:val="104"/>
  <w:displayHorizontalDrawingGridEvery w:val="1"/>
  <w:displayVerticalDrawingGridEvery w:val="1"/>
  <w:doNotUseMarginsForDrawingGridOrigin/>
  <w:drawingGridHorizontalOrigin w:val="1800"/>
  <w:drawingGridVerticalOrigin w:val="1440"/>
  <w:doNotShadeFormData/>
  <w:noPunctuationKerning/>
  <w:characterSpacingControl w:val="doNotCompress"/>
  <w:doNotValidateAgainstSchema/>
  <w:doNotDemarcateInvalidXml/>
  <w:compat>
    <w:spaceForUL/>
    <w:doNotLeaveBackslashAlone/>
    <w:doNotExpandShiftReturn/>
    <w:doNotWrapTextWithPunct/>
    <w:doNotUseEastAsianBreakRules/>
    <w:useFELayout/>
    <w:doNotUseIndentAsNumberingTabStop/>
    <w:useAltKinsokuLineBreakRules/>
    <w:compatSetting w:name="overrideTableStyleFontSizeAndJustification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docVars>
    <w:docVar w:name="commondata" w:val="eyJoZGlkIjoiNWM4OTNjZjFmNTUzY2IxNGQyYjYzNTM3NDY0ZGM3MGMifQ=="/>
  </w:docVars>
  <w:rsids>
    <w:rsidRoot w:val="00172A27"/>
    <w:rsid w:val="00060CED"/>
    <w:rsid w:val="00097AC7"/>
    <w:rsid w:val="000E3A0C"/>
    <w:rsid w:val="00103E11"/>
    <w:rsid w:val="00150561"/>
    <w:rsid w:val="001705C8"/>
    <w:rsid w:val="00172A27"/>
    <w:rsid w:val="001806C8"/>
    <w:rsid w:val="001D01A1"/>
    <w:rsid w:val="001E59D4"/>
    <w:rsid w:val="00253A4F"/>
    <w:rsid w:val="002B3E7F"/>
    <w:rsid w:val="003332F3"/>
    <w:rsid w:val="00433000"/>
    <w:rsid w:val="00436AD2"/>
    <w:rsid w:val="004E1895"/>
    <w:rsid w:val="004E5D7A"/>
    <w:rsid w:val="0050222C"/>
    <w:rsid w:val="00530BBE"/>
    <w:rsid w:val="00617259"/>
    <w:rsid w:val="0066751B"/>
    <w:rsid w:val="0067198B"/>
    <w:rsid w:val="006C7FA4"/>
    <w:rsid w:val="007A3D68"/>
    <w:rsid w:val="008253A1"/>
    <w:rsid w:val="00A05C39"/>
    <w:rsid w:val="00A26D8B"/>
    <w:rsid w:val="00A542FE"/>
    <w:rsid w:val="00A55AFD"/>
    <w:rsid w:val="00AC0228"/>
    <w:rsid w:val="00AF62AE"/>
    <w:rsid w:val="00B076B8"/>
    <w:rsid w:val="00B34FA0"/>
    <w:rsid w:val="00CD4D10"/>
    <w:rsid w:val="00D44AF8"/>
    <w:rsid w:val="00D559EE"/>
    <w:rsid w:val="00DB6BC4"/>
    <w:rsid w:val="00DE2C80"/>
    <w:rsid w:val="00E43059"/>
    <w:rsid w:val="00E7240D"/>
    <w:rsid w:val="00E93523"/>
    <w:rsid w:val="00EE3BBD"/>
    <w:rsid w:val="00F254B3"/>
    <w:rsid w:val="00F70062"/>
    <w:rsid w:val="00F726C9"/>
    <w:rsid w:val="00FF3616"/>
    <w:rsid w:val="017F4831"/>
    <w:rsid w:val="01B62769"/>
    <w:rsid w:val="02D908B8"/>
    <w:rsid w:val="03914CEF"/>
    <w:rsid w:val="039E11BA"/>
    <w:rsid w:val="062D1094"/>
    <w:rsid w:val="074314FC"/>
    <w:rsid w:val="07C07FA5"/>
    <w:rsid w:val="0A2D49CE"/>
    <w:rsid w:val="0A6842D0"/>
    <w:rsid w:val="0BF53703"/>
    <w:rsid w:val="0F4F79A6"/>
    <w:rsid w:val="1192733C"/>
    <w:rsid w:val="14DF6B32"/>
    <w:rsid w:val="156D2299"/>
    <w:rsid w:val="15B74785"/>
    <w:rsid w:val="16C302DA"/>
    <w:rsid w:val="180B1B4C"/>
    <w:rsid w:val="183C5025"/>
    <w:rsid w:val="19E74BB9"/>
    <w:rsid w:val="1A342659"/>
    <w:rsid w:val="1B56010D"/>
    <w:rsid w:val="1BB167A6"/>
    <w:rsid w:val="1D255E69"/>
    <w:rsid w:val="20101356"/>
    <w:rsid w:val="2289727C"/>
    <w:rsid w:val="239C752B"/>
    <w:rsid w:val="23D66D2F"/>
    <w:rsid w:val="24465B7F"/>
    <w:rsid w:val="250550E5"/>
    <w:rsid w:val="258B7D8A"/>
    <w:rsid w:val="2719685B"/>
    <w:rsid w:val="27520641"/>
    <w:rsid w:val="2859536A"/>
    <w:rsid w:val="287738F4"/>
    <w:rsid w:val="28840E2F"/>
    <w:rsid w:val="29EF3C6E"/>
    <w:rsid w:val="2A965A03"/>
    <w:rsid w:val="2CFC6DCE"/>
    <w:rsid w:val="2D384EE3"/>
    <w:rsid w:val="2DD37B2E"/>
    <w:rsid w:val="2E773E5D"/>
    <w:rsid w:val="30A54CEA"/>
    <w:rsid w:val="31F22447"/>
    <w:rsid w:val="33B31A1B"/>
    <w:rsid w:val="33F13B21"/>
    <w:rsid w:val="34AA0577"/>
    <w:rsid w:val="35132F06"/>
    <w:rsid w:val="36812335"/>
    <w:rsid w:val="392D001C"/>
    <w:rsid w:val="3971644D"/>
    <w:rsid w:val="3DC96858"/>
    <w:rsid w:val="3E8579D1"/>
    <w:rsid w:val="3EBA7F31"/>
    <w:rsid w:val="401516F1"/>
    <w:rsid w:val="404A7F59"/>
    <w:rsid w:val="411B0CF6"/>
    <w:rsid w:val="41EE0435"/>
    <w:rsid w:val="43421015"/>
    <w:rsid w:val="44C442DF"/>
    <w:rsid w:val="45ED6ED7"/>
    <w:rsid w:val="478326A6"/>
    <w:rsid w:val="486103DE"/>
    <w:rsid w:val="48C1143E"/>
    <w:rsid w:val="49051EE8"/>
    <w:rsid w:val="490C388F"/>
    <w:rsid w:val="49694F2A"/>
    <w:rsid w:val="498B355B"/>
    <w:rsid w:val="4B9245B3"/>
    <w:rsid w:val="4BE4128D"/>
    <w:rsid w:val="4C1F3EFD"/>
    <w:rsid w:val="4D956214"/>
    <w:rsid w:val="4D9C4476"/>
    <w:rsid w:val="4FF63DBE"/>
    <w:rsid w:val="504A5D42"/>
    <w:rsid w:val="51D05FAF"/>
    <w:rsid w:val="546331F7"/>
    <w:rsid w:val="54DE75F5"/>
    <w:rsid w:val="56DB4F46"/>
    <w:rsid w:val="56FA6803"/>
    <w:rsid w:val="57385400"/>
    <w:rsid w:val="5A903FA6"/>
    <w:rsid w:val="5AD74747"/>
    <w:rsid w:val="5C0558E7"/>
    <w:rsid w:val="5E4C2002"/>
    <w:rsid w:val="5F0B2741"/>
    <w:rsid w:val="627B5736"/>
    <w:rsid w:val="636D60FB"/>
    <w:rsid w:val="65625996"/>
    <w:rsid w:val="65A43FD2"/>
    <w:rsid w:val="661362C5"/>
    <w:rsid w:val="674F48A9"/>
    <w:rsid w:val="6779459B"/>
    <w:rsid w:val="68883068"/>
    <w:rsid w:val="69E1725E"/>
    <w:rsid w:val="6AEC0355"/>
    <w:rsid w:val="6B693515"/>
    <w:rsid w:val="6DE74D15"/>
    <w:rsid w:val="6EC06194"/>
    <w:rsid w:val="724A4A5D"/>
    <w:rsid w:val="76674F2A"/>
    <w:rsid w:val="7A5D135A"/>
    <w:rsid w:val="7BB67580"/>
    <w:rsid w:val="7BE0565E"/>
    <w:rsid w:val="7BED0C40"/>
    <w:rsid w:val="ECEF16A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</w:rPr>
    </w:rPrDefault>
    <w:pPrDefault/>
  </w:docDefaults>
  <w:latentStyles w:defLockedState="false" w:defUIPriority="99" w:defSemiHidden="true" w:defUnhideWhenUsed="true" w:defQFormat="false" w:count="260">
    <w:lsdException w:name="Table 3D effects 3" w:uiPriority="99"/>
    <w:lsdException w:name="Colorful List Accent 2" w:uiPriority="72" w:semiHidden="false" w:unhideWhenUsed="false"/>
    <w:lsdException w:name="Dark List" w:uiPriority="70" w:semiHidden="false" w:unhideWhenUsed="false"/>
    <w:lsdException w:name="Light List Accent 5" w:uiPriority="61" w:semiHidden="false" w:unhideWhenUsed="false"/>
    <w:lsdException w:name="Light Grid" w:uiPriority="62" w:semiHidden="false" w:unhideWhenUsed="false"/>
    <w:lsdException w:name="Medium List 1 Accent 3" w:uiPriority="65" w:semiHidden="false" w:unhideWhenUsed="false"/>
    <w:lsdException w:name="HTML Preformatted" w:uiPriority="99"/>
    <w:lsdException w:name="Colorful List Accent 5" w:uiPriority="72" w:semiHidden="false" w:unhideWhenUsed="false"/>
    <w:lsdException w:name="Medium Grid 2 Accent 4" w:uiPriority="68" w:semiHidden="false" w:unhideWhenUsed="false"/>
    <w:lsdException w:name="Light Grid Accent 5" w:uiPriority="62" w:semiHidden="false" w:unhideWhenUsed="false"/>
    <w:lsdException w:name="Colorful Grid Accent 2" w:uiPriority="73" w:semiHidden="false" w:unhideWhenUsed="false"/>
    <w:lsdException w:name="Medium Grid 1" w:uiPriority="67" w:semiHidden="false" w:unhideWhenUsed="false"/>
    <w:lsdException w:name="Date" w:uiPriority="0" w:semiHidden="false" w:unhideWhenUsed="false" w:qFormat="true"/>
    <w:lsdException w:name="envelope address" w:uiPriority="99"/>
    <w:lsdException w:name="HTML Code" w:uiPriority="99"/>
    <w:lsdException w:name="Table 3D effects 1" w:uiPriority="99"/>
    <w:lsdException w:name="Colorful Shading" w:uiPriority="71" w:semiHidden="false" w:unhideWhenUsed="false"/>
    <w:lsdException w:name="index 3" w:uiPriority="99"/>
    <w:lsdException w:name="Colorful Grid Accent 4" w:uiPriority="73" w:semiHidden="false" w:unhideWhenUsed="false"/>
    <w:lsdException w:name="Medium Shading 1 Accent 1" w:uiPriority="63" w:semiHidden="false" w:unhideWhenUsed="false"/>
    <w:lsdException w:name="HTML Cite" w:uiPriority="99"/>
    <w:lsdException w:name="Colorful Shading Accent 4" w:uiPriority="71" w:semiHidden="false" w:unhideWhenUsed="false"/>
    <w:lsdException w:name="Medium List 1 Accent 1" w:uiPriority="65" w:semiHidden="false" w:unhideWhenUsed="false"/>
    <w:lsdException w:name="Body Text Indent 2" w:uiPriority="99"/>
    <w:lsdException w:name="Light Grid Accent 6" w:uiPriority="62" w:semiHidden="false" w:unhideWhenUsed="false"/>
    <w:lsdException w:name="Colorful List Accent 4" w:uiPriority="72" w:semiHidden="false" w:unhideWhenUsed="false"/>
    <w:lsdException w:name="Medium Grid 3" w:uiPriority="69" w:semiHidden="false" w:unhideWhenUsed="false"/>
    <w:lsdException w:name="Colorful List Accent 1" w:uiPriority="72" w:semiHidden="false" w:unhideWhenUsed="false"/>
    <w:lsdException w:name="List 4" w:uiPriority="99"/>
    <w:lsdException w:name="Dark List Accent 6" w:uiPriority="70" w:semiHidden="false" w:unhideWhenUsed="false"/>
    <w:lsdException w:name="Table List 3" w:uiPriority="99"/>
    <w:lsdException w:name="Emphasis" w:uiPriority="20" w:semiHidden="false" w:unhideWhenUsed="false" w:qFormat="true"/>
    <w:lsdException w:name="endnote reference" w:uiPriority="99"/>
    <w:lsdException w:name="heading 8" w:uiPriority="0" w:semiHidden="false" w:unhideWhenUsed="false" w:qFormat="true"/>
    <w:lsdException w:name="Light Shading Accent 5" w:uiPriority="60" w:semiHidden="false" w:unhideWhenUsed="false"/>
    <w:lsdException w:name="Body Text 3" w:uiPriority="99"/>
    <w:lsdException w:name="annotation reference" w:uiPriority="99"/>
    <w:lsdException w:name="index heading" w:uiPriority="99"/>
    <w:lsdException w:name="List" w:uiPriority="99"/>
    <w:lsdException w:name="Table Subtle 1" w:uiPriority="99"/>
    <w:lsdException w:name="Medium Shading 2 Accent 6" w:uiPriority="64" w:semiHidden="false" w:unhideWhenUsed="false"/>
    <w:lsdException w:name="Table Grid 8" w:uiPriority="99"/>
    <w:lsdException w:name="Table Classic 2" w:uiPriority="99"/>
    <w:lsdException w:name="List Continue" w:uiPriority="99"/>
    <w:lsdException w:name="List Bullet" w:uiPriority="99"/>
    <w:lsdException w:name="Table Subtle 2" w:uiPriority="99"/>
    <w:lsdException w:name="toc 4" w:uiPriority="0" w:semiHidden="false" w:unhideWhenUsed="false" w:qFormat="true"/>
    <w:lsdException w:name="index 2" w:uiPriority="99"/>
    <w:lsdException w:name="annotation text" w:uiPriority="99"/>
    <w:lsdException w:name="Message Header" w:uiPriority="99"/>
    <w:lsdException w:name="Normal Table" w:uiPriority="99" w:qFormat="true"/>
    <w:lsdException w:name="Table Elegant" w:uiPriority="99"/>
    <w:lsdException w:name="macro" w:uiPriority="99"/>
    <w:lsdException w:name="Medium Grid 1 Accent 1" w:uiPriority="67" w:semiHidden="false" w:unhideWhenUsed="false"/>
    <w:lsdException w:name="Table List 8" w:uiPriority="99"/>
    <w:lsdException w:name="List Bullet 4" w:uiPriority="99"/>
    <w:lsdException w:name="Medium Shading 1 Accent 5" w:uiPriority="63" w:semiHidden="false" w:unhideWhenUsed="false"/>
    <w:lsdException w:name="footnote reference" w:uiPriority="99"/>
    <w:lsdException w:name="Medium Grid 2 Accent 3" w:uiPriority="68" w:semiHidden="false" w:unhideWhenUsed="false"/>
    <w:lsdException w:name="toc 5" w:uiPriority="0" w:semiHidden="false" w:unhideWhenUsed="false" w:qFormat="true"/>
    <w:lsdException w:name="Table Columns 4" w:uiPriority="99"/>
    <w:lsdException w:name="toc 3" w:uiPriority="39" w:semiHidden="false" w:unhideWhenUsed="false" w:qFormat="true"/>
    <w:lsdException w:name="Table List 4" w:uiPriority="99"/>
    <w:lsdException w:name="heading 1" w:uiPriority="0" w:semiHidden="false" w:unhideWhenUsed="false" w:qFormat="true"/>
    <w:lsdException w:name="Medium Shading 1 Accent 2" w:uiPriority="63" w:semiHidden="false" w:unhideWhenUsed="false"/>
    <w:lsdException w:name="List Number 2" w:uiPriority="99"/>
    <w:lsdException w:name="caption" w:uiPriority="35" w:qFormat="true"/>
    <w:lsdException w:name="page number" w:uiPriority="0" w:semiHidden="false" w:unhideWhenUsed="false" w:qFormat="true"/>
    <w:lsdException w:name="Light List Accent 6" w:uiPriority="61" w:semiHidden="false" w:unhideWhenUsed="false"/>
    <w:lsdException w:name="Medium Shading 1 Accent 3" w:uiPriority="63" w:semiHidden="false" w:unhideWhenUsed="false"/>
    <w:lsdException w:name="Colorful Grid Accent 6" w:uiPriority="73" w:semiHidden="false" w:unhideWhenUsed="false"/>
    <w:lsdException w:name="header" w:uiPriority="0" w:semiHidden="false" w:unhideWhenUsed="false" w:qFormat="true"/>
    <w:lsdException w:name="endnote text" w:uiPriority="99"/>
    <w:lsdException w:name="Medium List 2" w:uiPriority="66" w:semiHidden="false" w:unhideWhenUsed="false"/>
    <w:lsdException w:name="index 6" w:uiPriority="99"/>
    <w:lsdException w:name="Table Web 2" w:uiPriority="99"/>
    <w:lsdException w:name="Light Grid Accent 3" w:uiPriority="62" w:semiHidden="false" w:unhideWhenUsed="false"/>
    <w:lsdException w:name="envelope return" w:uiPriority="99"/>
    <w:lsdException w:name="Medium List 2 Accent 4" w:uiPriority="66" w:semiHidden="false" w:unhideWhenUsed="false"/>
    <w:lsdException w:name="List Bullet 5" w:uiPriority="99"/>
    <w:lsdException w:name="Closing" w:uiPriority="99"/>
    <w:lsdException w:name="line number" w:uiPriority="99"/>
    <w:lsdException w:name="Body Text First Indent 2" w:uiPriority="99"/>
    <w:lsdException w:name="Light List Accent 2" w:uiPriority="61" w:semiHidden="false" w:unhideWhenUsed="false"/>
    <w:lsdException w:name="Medium Grid 1 Accent 4" w:uiPriority="67" w:semiHidden="false" w:unhideWhenUsed="false"/>
    <w:lsdException w:name="HTML Acronym" w:uiPriority="99"/>
    <w:lsdException w:name="toc 1" w:uiPriority="39" w:semiHidden="false" w:unhideWhenUsed="false" w:qFormat="true"/>
    <w:lsdException w:name="heading 2" w:uiPriority="0" w:semiHidden="false" w:unhideWhenUsed="false" w:qFormat="true"/>
    <w:lsdException w:name="Signature" w:uiPriority="99"/>
    <w:lsdException w:name="Table List 5" w:uiPriority="99"/>
    <w:lsdException w:name="heading 5" w:uiPriority="0" w:semiHidden="false" w:unhideWhenUsed="false" w:qFormat="true"/>
    <w:lsdException w:name="Medium Grid 3 Accent 6" w:uiPriority="69" w:semiHidden="false" w:unhideWhenUsed="false"/>
    <w:lsdException w:name="Table Web 1" w:uiPriority="99"/>
    <w:lsdException w:name="Medium Grid 3 Accent 1" w:uiPriority="69" w:semiHidden="false" w:unhideWhenUsed="false"/>
    <w:lsdException w:name="Table 3D effects 2" w:uiPriority="99"/>
    <w:lsdException w:name="toc 7" w:uiPriority="0" w:semiHidden="false" w:unhideWhenUsed="false" w:qFormat="true"/>
    <w:lsdException w:name="Medium Grid 1 Accent 3" w:uiPriority="67" w:semiHidden="false" w:unhideWhenUsed="false"/>
    <w:lsdException w:name="Colorful Grid Accent 1" w:uiPriority="73" w:semiHidden="false" w:unhideWhenUsed="false"/>
    <w:lsdException w:name="Table Columns 1" w:uiPriority="99"/>
    <w:lsdException w:name="toa heading" w:uiPriority="99"/>
    <w:lsdException w:name="index 7" w:uiPriority="99"/>
    <w:lsdException w:name="Medium Grid 3 Accent 5" w:uiPriority="69" w:semiHidden="false" w:unhideWhenUsed="false"/>
    <w:lsdException w:name="List Continue 3" w:uiPriority="99"/>
    <w:lsdException w:name="index 9" w:uiPriority="99"/>
    <w:lsdException w:name="Medium Grid 1 Accent 5" w:uiPriority="67" w:semiHidden="false" w:unhideWhenUsed="false"/>
    <w:lsdException w:name="HTML Keyboard" w:uiPriority="99"/>
    <w:lsdException w:name="heading 4" w:uiPriority="0" w:semiHidden="false" w:unhideWhenUsed="false" w:qFormat="true"/>
    <w:lsdException w:name="Default Paragraph Font" w:uiPriority="1" w:semiHidden="false" w:qFormat="true"/>
    <w:lsdException w:name="Dark List Accent 4" w:uiPriority="70" w:semiHidden="false" w:unhideWhenUsed="false"/>
    <w:lsdException w:name="Colorful Shading Accent 2" w:uiPriority="71" w:semiHidden="false" w:unhideWhenUsed="false"/>
    <w:lsdException w:name="Medium List 2 Accent 1" w:uiPriority="66" w:semiHidden="false" w:unhideWhenUsed="false"/>
    <w:lsdException w:name="HTML Definition" w:uiPriority="99"/>
    <w:lsdException w:name="HTML Sample" w:uiPriority="99"/>
    <w:lsdException w:name="index 4" w:uiPriority="99"/>
    <w:lsdException w:name="Table Theme" w:uiPriority="99"/>
    <w:lsdException w:name="Medium Shading 2 Accent 5" w:uiPriority="64" w:semiHidden="false" w:unhideWhenUsed="false"/>
    <w:lsdException w:name="heading 7" w:uiPriority="0" w:semiHidden="false" w:unhideWhenUsed="false" w:qFormat="true"/>
    <w:lsdException w:name="Table Colorful 1" w:uiPriority="99"/>
    <w:lsdException w:name="List Number 5" w:uiPriority="99"/>
    <w:lsdException w:name="Table List 7" w:uiPriority="99"/>
    <w:lsdException w:name="Table Colorful 2" w:uiPriority="99"/>
    <w:lsdException w:name="Light Shading" w:uiPriority="60" w:semiHidden="false" w:unhideWhenUsed="false"/>
    <w:lsdException w:name="Dark List Accent 2" w:uiPriority="70" w:semiHidden="false" w:unhideWhenUsed="false"/>
    <w:lsdException w:name="Plain Text" w:uiPriority="99"/>
    <w:lsdException w:name="Colorful Grid Accent 5" w:uiPriority="73" w:semiHidden="false" w:unhideWhenUsed="false"/>
    <w:lsdException w:name="Table Grid 6" w:uiPriority="99"/>
    <w:lsdException w:name="index 8" w:uiPriority="99"/>
    <w:lsdException w:name="Light Shading Accent 3" w:uiPriority="60" w:semiHidden="false" w:unhideWhenUsed="false"/>
    <w:lsdException w:name="Colorful List" w:uiPriority="72" w:semiHidden="false" w:unhideWhenUsed="false"/>
    <w:lsdException w:name="Medium Shading 1 Accent 4" w:uiPriority="63" w:semiHidden="false" w:unhideWhenUsed="false"/>
    <w:lsdException w:name="Table Columns 3" w:uiPriority="99"/>
    <w:lsdException w:name="Medium List 1 Accent 6" w:uiPriority="65" w:semiHidden="false" w:unhideWhenUsed="false"/>
    <w:lsdException w:name="Light List" w:uiPriority="61" w:semiHidden="false" w:unhideWhenUsed="false"/>
    <w:lsdException w:name="Table Classic 1" w:uiPriority="99"/>
    <w:lsdException w:name="Light List Accent 3" w:uiPriority="61" w:semiHidden="false" w:unhideWhenUsed="false"/>
    <w:lsdException w:name="Table Grid 4" w:uiPriority="99"/>
    <w:lsdException w:name="Medium Grid 2" w:uiPriority="68" w:semiHidden="false" w:unhideWhenUsed="false"/>
    <w:lsdException w:name="Light List Accent 1" w:uiPriority="61" w:semiHidden="false" w:unhideWhenUsed="false"/>
    <w:lsdException w:name="Medium List 2 Accent 5" w:uiPriority="66" w:semiHidden="false" w:unhideWhenUsed="false"/>
    <w:lsdException w:name="Light List Accent 4" w:uiPriority="61" w:semiHidden="false" w:unhideWhenUsed="false"/>
    <w:lsdException w:name="Table Grid 1" w:uiPriority="99"/>
    <w:lsdException w:name="footnote text" w:uiPriority="99"/>
    <w:lsdException w:name="Medium Shading 2 Accent 1" w:uiPriority="64" w:semiHidden="false" w:unhideWhenUsed="false"/>
    <w:lsdException w:name="Medium Shading 2 Accent 2" w:uiPriority="64" w:semiHidden="false" w:unhideWhenUsed="false"/>
    <w:lsdException w:name="heading 9" w:uiPriority="0" w:semiHidden="false" w:unhideWhenUsed="false" w:qFormat="true"/>
    <w:lsdException w:name="Table Grid" w:uiPriority="39" w:semiHidden="false" w:unhideWhenUsed="false" w:qFormat="true"/>
    <w:lsdException w:name="Title" w:uiPriority="10" w:semiHidden="false" w:unhideWhenUsed="false" w:qFormat="true"/>
    <w:lsdException w:name="Colorful Shading Accent 3" w:uiPriority="71" w:semiHidden="false" w:unhideWhenUsed="false"/>
    <w:lsdException w:name="Colorful List Accent 3" w:uiPriority="72" w:semiHidden="false" w:unhideWhenUsed="false"/>
    <w:lsdException w:name="Balloon Text" w:uiPriority="99"/>
    <w:lsdException w:name="Subtitle" w:uiPriority="11" w:semiHidden="false" w:unhideWhenUsed="false" w:qFormat="true"/>
    <w:lsdException w:name="Medium List 1 Accent 2" w:uiPriority="65" w:semiHidden="false" w:unhideWhenUsed="false"/>
    <w:lsdException w:name="Note Heading" w:uiPriority="99"/>
    <w:lsdException w:name="Medium Grid 2 Accent 5" w:uiPriority="68" w:semiHidden="false" w:unhideWhenUsed="false"/>
    <w:lsdException w:name="Medium Grid 3 Accent 3" w:uiPriority="69" w:semiHidden="false" w:unhideWhenUsed="false"/>
    <w:lsdException w:name="Normal" w:uiPriority="0" w:semiHidden="false" w:unhideWhenUsed="false" w:qFormat="true"/>
    <w:lsdException w:name="Light Shading Accent 6" w:uiPriority="60" w:semiHidden="false" w:unhideWhenUsed="false"/>
    <w:lsdException w:name="Table Web 3" w:uiPriority="99"/>
    <w:lsdException w:name="Table Classic 4" w:uiPriority="99"/>
    <w:lsdException w:name="Colorful Shading Accent 1" w:uiPriority="71" w:semiHidden="false" w:unhideWhenUsed="false"/>
    <w:lsdException w:name="List Number 3" w:uiPriority="99"/>
    <w:lsdException w:name="Light Shading Accent 2" w:uiPriority="60" w:semiHidden="false" w:unhideWhenUsed="false"/>
    <w:lsdException w:name="Medium Shading 1 Accent 6" w:uiPriority="63" w:semiHidden="false" w:unhideWhenUsed="false"/>
    <w:lsdException w:name="HTML Variable" w:uiPriority="99"/>
    <w:lsdException w:name="Block Text" w:uiPriority="99"/>
    <w:lsdException w:name="E-mail Signature" w:uiPriority="99"/>
    <w:lsdException w:name="toc 8" w:uiPriority="0" w:semiHidden="false" w:unhideWhenUsed="false" w:qFormat="true"/>
    <w:lsdException w:name="heading 6" w:uiPriority="0" w:semiHidden="false" w:unhideWhenUsed="false" w:qFormat="true"/>
    <w:lsdException w:name="Light Grid Accent 1" w:uiPriority="62" w:semiHidden="false" w:unhideWhenUsed="false"/>
    <w:lsdException w:name="Table Grid 5" w:uiPriority="99"/>
    <w:lsdException w:name="index 5" w:uiPriority="99"/>
    <w:lsdException w:name="Colorful Grid Accent 3" w:uiPriority="73" w:semiHidden="false" w:unhideWhenUsed="false"/>
    <w:lsdException w:name="Medium List 2 Accent 3" w:uiPriority="66" w:semiHidden="false" w:unhideWhenUsed="false"/>
    <w:lsdException w:name="toc 9" w:uiPriority="0" w:semiHidden="false" w:unhideWhenUsed="false" w:qFormat="true"/>
    <w:lsdException w:name="Medium Grid 3 Accent 2" w:uiPriority="69" w:semiHidden="false" w:unhideWhenUsed="false"/>
    <w:lsdException w:name="Table List 1" w:uiPriority="99"/>
    <w:lsdException w:name="List 2" w:uiPriority="99"/>
    <w:lsdException w:name="Medium List 1 Accent 4" w:uiPriority="65" w:semiHidden="false" w:unhideWhenUsed="false"/>
    <w:lsdException w:name="HTML Typewriter" w:uiPriority="99"/>
    <w:lsdException w:name="List 3" w:uiPriority="99"/>
    <w:lsdException w:name="heading 3" w:uiPriority="0" w:semiHidden="false" w:unhideWhenUsed="false" w:qFormat="true"/>
    <w:lsdException w:name="Medium List 2 Accent 2" w:uiPriority="66" w:semiHidden="false" w:unhideWhenUsed="false"/>
    <w:lsdException w:name="toc 6" w:uiPriority="0" w:semiHidden="false" w:unhideWhenUsed="false" w:qFormat="true"/>
    <w:lsdException w:name="Table Simple 1" w:uiPriority="99"/>
    <w:lsdException w:name="Normal Indent" w:uiPriority="99"/>
    <w:lsdException w:name="footer" w:uiPriority="0" w:semiHidden="false" w:unhideWhenUsed="false" w:qFormat="true"/>
    <w:lsdException w:name="List Continue 5" w:uiPriority="99"/>
    <w:lsdException w:name="Body Text First Indent" w:uiPriority="99"/>
    <w:lsdException w:name="Medium Grid 1 Accent 6" w:uiPriority="67" w:semiHidden="false" w:unhideWhenUsed="false"/>
    <w:lsdException w:name="Document Map" w:uiPriority="0" w:semiHidden="false" w:unhideWhenUsed="false" w:qFormat="true"/>
    <w:lsdException w:name="annotation subject" w:uiPriority="99"/>
    <w:lsdException w:name="Table List 6" w:uiPriority="99"/>
    <w:lsdException w:name="Table Classic 3" w:uiPriority="99"/>
    <w:lsdException w:name="Table Grid 7" w:uiPriority="99"/>
    <w:lsdException w:name="Table Professional" w:uiPriority="99"/>
    <w:lsdException w:name="Medium Grid 2 Accent 2" w:uiPriority="68" w:semiHidden="false" w:unhideWhenUsed="false"/>
    <w:lsdException w:name="Dark List Accent 5" w:uiPriority="70" w:semiHidden="false" w:unhideWhenUsed="false"/>
    <w:lsdException w:name="HTML Address" w:uiPriority="99"/>
    <w:lsdException w:name="Table Simple 2" w:uiPriority="99"/>
    <w:lsdException w:name="Colorful Shading Accent 5" w:uiPriority="71" w:semiHidden="false" w:unhideWhenUsed="false"/>
    <w:lsdException w:name="Light Shading Accent 1" w:uiPriority="60" w:semiHidden="false" w:unhideWhenUsed="false"/>
    <w:lsdException w:name="Strong" w:uiPriority="0" w:semiHidden="false" w:unhideWhenUsed="false" w:qFormat="true"/>
    <w:lsdException w:name="Medium Grid 2 Accent 1" w:uiPriority="68" w:semiHidden="false" w:unhideWhenUsed="false"/>
    <w:lsdException w:name="Medium Grid 3 Accent 4" w:uiPriority="69" w:semiHidden="false" w:unhideWhenUsed="false"/>
    <w:lsdException w:name="Colorful List Accent 6" w:uiPriority="72" w:semiHidden="false" w:unhideWhenUsed="false"/>
    <w:lsdException w:name="Medium Shading 1" w:uiPriority="63" w:semiHidden="false" w:unhideWhenUsed="false"/>
    <w:lsdException w:name="index 1" w:uiPriority="99"/>
    <w:lsdException w:name="List Number" w:uiPriority="99"/>
    <w:lsdException w:name="Medium Shading 2 Accent 4" w:uiPriority="64" w:semiHidden="false" w:unhideWhenUsed="false"/>
    <w:lsdException w:name="table of figures" w:uiPriority="99"/>
    <w:lsdException w:name="Medium Shading 2 Accent 3" w:uiPriority="64" w:semiHidden="false" w:unhideWhenUsed="false"/>
    <w:lsdException w:name="Body Text 2" w:uiPriority="99"/>
    <w:lsdException w:name="Body Text Indent" w:uiPriority="99"/>
    <w:lsdException w:name="Medium List 1 Accent 5" w:uiPriority="65" w:semiHidden="false" w:unhideWhenUsed="false"/>
    <w:lsdException w:name="Medium Grid 1 Accent 2" w:uiPriority="67" w:semiHidden="false" w:unhideWhenUsed="false"/>
    <w:lsdException w:name="Normal (Web)" w:uiPriority="0" w:semiHidden="false" w:unhideWhenUsed="false" w:qFormat="true"/>
    <w:lsdException w:name="Light Grid Accent 4" w:uiPriority="62" w:semiHidden="false" w:unhideWhenUsed="false"/>
    <w:lsdException w:name="Dark List Accent 1" w:uiPriority="70" w:semiHidden="false" w:unhideWhenUsed="false"/>
    <w:lsdException w:name="Body Text" w:uiPriority="99"/>
    <w:lsdException w:name="Table Colorful 3" w:uiPriority="99"/>
    <w:lsdException w:name="Table Grid 2" w:uiPriority="99"/>
    <w:lsdException w:name="List Continue 4" w:uiPriority="99"/>
    <w:lsdException w:name="Medium List 2 Accent 6" w:uiPriority="66" w:semiHidden="false" w:unhideWhenUsed="false"/>
    <w:lsdException w:name="Table Grid 3" w:uiPriority="99"/>
    <w:lsdException w:name="Table Contemporary" w:uiPriority="99"/>
    <w:lsdException w:name="Salutation" w:uiPriority="99"/>
    <w:lsdException w:name="Body Text Indent 3" w:uiPriority="99"/>
    <w:lsdException w:name="Dark List Accent 3" w:uiPriority="70" w:semiHidden="false" w:unhideWhenUsed="false"/>
    <w:lsdException w:name="table of authorities" w:uiPriority="99"/>
    <w:lsdException w:name="Light Shading Accent 4" w:uiPriority="60" w:semiHidden="false" w:unhideWhenUsed="false"/>
    <w:lsdException w:name="FollowedHyperlink" w:uiPriority="0" w:semiHidden="false" w:unhideWhenUsed="false" w:qFormat="true"/>
    <w:lsdException w:name="Medium List 1" w:uiPriority="65" w:semiHidden="false" w:unhideWhenUsed="false"/>
    <w:lsdException w:name="List 5" w:uiPriority="99"/>
    <w:lsdException w:name="Table List 2" w:uiPriority="99"/>
    <w:lsdException w:name="Table Columns 5" w:uiPriority="99"/>
    <w:lsdException w:name="Medium Grid 2 Accent 6" w:uiPriority="68" w:semiHidden="false" w:unhideWhenUsed="false"/>
    <w:lsdException w:name="Colorful Grid" w:uiPriority="73" w:semiHidden="false" w:unhideWhenUsed="false"/>
    <w:lsdException w:name="Colorful Shading Accent 6" w:uiPriority="71" w:semiHidden="false" w:unhideWhenUsed="false"/>
    <w:lsdException w:name="List Bullet 2" w:uiPriority="99"/>
    <w:lsdException w:name="Light Grid Accent 2" w:uiPriority="62" w:semiHidden="false" w:unhideWhenUsed="false"/>
    <w:lsdException w:name="Table Simple 3" w:uiPriority="99"/>
    <w:lsdException w:name="List Number 4" w:uiPriority="99"/>
    <w:lsdException w:name="List Continue 2" w:uiPriority="99"/>
    <w:lsdException w:name="List Bullet 3" w:uiPriority="99"/>
    <w:lsdException w:name="Table Columns 2" w:uiPriority="99"/>
    <w:lsdException w:name="Hyperlink" w:uiPriority="99" w:semiHidden="false" w:unhideWhenUsed="false" w:qFormat="true"/>
    <w:lsdException w:name="Medium Shading 2" w:uiPriority="64" w:semiHidden="false" w:unhideWhenUsed="false"/>
    <w:lsdException w:name="toc 2" w:uiPriority="39" w:semiHidden="false" w:unhideWhenUsed="false" w:qFormat="true"/>
  </w:latentStyles>
  <w:style w:type="paragraph" w:styleId="00002c" w:customStyle="true">
    <w:name w:val="注释"/>
    <w:basedOn w:val="00000c"/>
    <w:uiPriority w:val="0"/>
    <w:qFormat/>
    <w:rPr>
      <w:i/>
      <w:iCs/>
      <w:color w:val="333399"/>
    </w:rPr>
  </w:style>
  <w:style w:type="character" w:styleId="000024">
    <w:name w:val="page number"/>
    <w:basedOn w:val="000011"/>
    <w:uiPriority w:val="0"/>
    <w:qFormat/>
  </w:style>
  <w:style w:type="paragraph" w:styleId="000015">
    <w:name w:val="toc 5"/>
    <w:basedOn w:val="00000c"/>
    <w:next w:val="00000c"/>
    <w:uiPriority w:val="0"/>
    <w:qFormat/>
    <w:pPr>
      <w:ind w:left="800"/>
    </w:pPr>
    <w:rPr>
      <w:szCs w:val="21"/>
    </w:rPr>
  </w:style>
  <w:style w:type="character" w:styleId="000023">
    <w:name w:val="Strong"/>
    <w:uiPriority w:val="0"/>
    <w:qFormat/>
    <w:rPr>
      <w:b/>
      <w:bCs/>
    </w:rPr>
  </w:style>
  <w:style w:type="paragraph" w:styleId="00003e" w:customStyle="true">
    <w:name w:val="Default Text"/>
    <w:basedOn w:val="00000c"/>
    <w:uiPriority w:val="0"/>
    <w:qFormat/>
  </w:style>
  <w:style w:type="paragraph" w:styleId="000036" w:customStyle="true">
    <w:name w:val="正文序列号（1）"/>
    <w:basedOn w:val="00000c"/>
    <w:uiPriority w:val="0"/>
    <w:qFormat/>
    <w:pPr>
      <w:widowControl w:val="false"/>
      <w:tabs>
        <w:tab w:val="left" w:pos="1026"/>
      </w:tabs>
      <w:overflowPunct/>
      <w:autoSpaceDE/>
      <w:autoSpaceDN/>
      <w:adjustRightInd/>
      <w:spacing w:line="300" w:lineRule="auto"/>
      <w:ind w:firstLine="329"/>
      <w:textAlignment w:val="auto"/>
    </w:pPr>
    <w:rPr>
      <w:kern w:val="2"/>
      <w:sz w:val="22"/>
      <w:szCs w:val="24"/>
    </w:rPr>
  </w:style>
  <w:style w:type="paragraph" w:styleId="00002a" w:customStyle="true">
    <w:name w:val="´ó¸Ù(Ëõ½ø)"/>
    <w:basedOn w:val="00000c"/>
    <w:uiPriority w:val="0"/>
    <w:qFormat/>
  </w:style>
  <w:style w:type="paragraph" w:styleId="000018">
    <w:name w:val="Date"/>
    <w:basedOn w:val="00000c"/>
    <w:next w:val="00000c"/>
    <w:uiPriority w:val="0"/>
    <w:qFormat/>
    <w:pPr>
      <w:ind w:left="100" w:leftChars="2500"/>
    </w:pPr>
  </w:style>
  <w:style w:type="paragraph" w:styleId="000019">
    <w:name w:val="footer"/>
    <w:basedOn w:val="00000c"/>
    <w:uiPriority w:val="0"/>
    <w:qFormat/>
    <w:pPr>
      <w:tabs>
        <w:tab w:val="center" w:pos="4153"/>
        <w:tab w:val="right" w:pos="8306"/>
      </w:tabs>
      <w:snapToGrid w:val="false"/>
    </w:pPr>
    <w:rPr>
      <w:sz w:val="18"/>
      <w:szCs w:val="18"/>
    </w:rPr>
  </w:style>
  <w:style w:type="character" w:styleId="000010" w:customStyle="true">
    <w:name w:val="标题 5 字符"/>
    <w:basedOn w:val="000011"/>
    <w:link w:val="000006"/>
    <w:uiPriority w:val="0"/>
    <w:qFormat/>
    <w:rPr>
      <w:bCs/>
      <w:sz w:val="21"/>
      <w:szCs w:val="28"/>
    </w:rPr>
  </w:style>
  <w:style w:type="paragraph" w:styleId="000038" w:customStyle="true">
    <w:name w:val="ÏîÄ¿·ûºÅ 2"/>
    <w:basedOn w:val="00000c"/>
    <w:uiPriority w:val="0"/>
    <w:qFormat/>
  </w:style>
  <w:style w:type="paragraph" w:styleId="000007">
    <w:name w:val="heading 6"/>
    <w:basedOn w:val="00000c"/>
    <w:next w:val="00000c"/>
    <w:uiPriority w:val="0"/>
    <w:qFormat/>
    <w:pPr>
      <w:keepNext/>
      <w:keepLines/>
      <w:numPr>
        <w:ilvl w:val="5"/>
        <w:numId w:val="1"/>
      </w:numPr>
      <w:spacing w:line="319" w:lineRule="auto"/>
      <w:outlineLvl w:val="5"/>
    </w:pPr>
    <w:rPr>
      <w:rFonts w:ascii="Arial" w:hAnsi="Arial"/>
      <w:bCs/>
      <w:sz w:val="18"/>
      <w:szCs w:val="24"/>
    </w:rPr>
  </w:style>
  <w:style w:type="paragraph" w:styleId="000002">
    <w:name w:val="heading 1"/>
    <w:basedOn w:val="00000c"/>
    <w:next w:val="00000c"/>
    <w:uiPriority w:val="0"/>
    <w:qFormat/>
    <w:pPr>
      <w:numPr>
        <w:ilvl w:val="0"/>
        <w:numId w:val="1"/>
      </w:numPr>
      <w:spacing w:before="280"/>
      <w:outlineLvl w:val="0"/>
    </w:pPr>
    <w:rPr>
      <w:rFonts w:ascii="Arial" w:hAnsi="Arial"/>
      <w:b/>
      <w:sz w:val="44"/>
    </w:rPr>
  </w:style>
  <w:style w:type="paragraph" w:styleId="000037" w:customStyle="true">
    <w:name w:val="ÏîÄ¿·ûºÅ 1"/>
    <w:basedOn w:val="00000c"/>
    <w:uiPriority w:val="0"/>
    <w:qFormat/>
  </w:style>
  <w:style w:type="paragraph" w:styleId="000003">
    <w:name w:val="heading 2"/>
    <w:basedOn w:val="00000c"/>
    <w:next w:val="00000c"/>
    <w:link w:val="00000d"/>
    <w:uiPriority w:val="0"/>
    <w:qFormat/>
    <w:pPr>
      <w:numPr>
        <w:ilvl w:val="1"/>
        <w:numId w:val="1"/>
      </w:numPr>
      <w:spacing w:before="120"/>
      <w:outlineLvl w:val="1"/>
    </w:pPr>
    <w:rPr>
      <w:rFonts w:ascii="Arial" w:hAnsi="Arial"/>
      <w:b/>
      <w:sz w:val="32"/>
    </w:rPr>
  </w:style>
  <w:style w:type="paragraph" w:styleId="000031" w:customStyle="true">
    <w:name w:val="Comment"/>
    <w:basedOn w:val="00000c"/>
    <w:uiPriority w:val="0"/>
    <w:qFormat/>
    <w:pPr>
      <w:overflowPunct/>
      <w:autoSpaceDE/>
      <w:autoSpaceDN/>
      <w:adjustRightInd/>
      <w:spacing w:after="120"/>
      <w:textAlignment w:val="auto"/>
    </w:pPr>
    <w:rPr>
      <w:i/>
      <w:color w:val="000080"/>
      <w:sz w:val="22"/>
    </w:rPr>
  </w:style>
  <w:style w:type="character" w:styleId="000029" w:customStyle="true">
    <w:name w:val="font11"/>
    <w:uiPriority w:val="0"/>
    <w:qFormat/>
    <w:rPr>
      <w:rFonts w:ascii="PMingLiU" w:hAnsi="PMingLiU" w:eastAsia="PMingLiU" w:cs="PMingLiU"/>
      <w:color w:val="000000"/>
      <w:sz w:val="20"/>
      <w:szCs w:val="20"/>
      <w:u w:val="none"/>
    </w:rPr>
  </w:style>
  <w:style w:type="character" w:styleId="00000e" w:customStyle="true">
    <w:name w:val="标题 3 字符"/>
    <w:basedOn w:val="000011"/>
    <w:link w:val="000004"/>
    <w:uiPriority w:val="0"/>
    <w:qFormat/>
    <w:rPr>
      <w:rFonts w:ascii="Arial" w:hAnsi="Arial"/>
      <w:b/>
      <w:sz w:val="28"/>
    </w:rPr>
  </w:style>
  <w:style w:type="paragraph" w:styleId="00003c" w:customStyle="true">
    <w:name w:val="Ä¿Â¼Ò³±àºÅÎÄ±¾ÑùÊ½"/>
    <w:basedOn w:val="00000c"/>
    <w:uiPriority w:val="0"/>
    <w:qFormat/>
    <w:pPr>
      <w:jc w:val="right"/>
    </w:pPr>
  </w:style>
  <w:style w:type="character" w:styleId="00000d" w:customStyle="true">
    <w:name w:val="标题 2 字符"/>
    <w:basedOn w:val="000011"/>
    <w:link w:val="000003"/>
    <w:uiPriority w:val="0"/>
    <w:qFormat/>
    <w:rPr>
      <w:rFonts w:ascii="Arial" w:hAnsi="Arial"/>
      <w:b/>
      <w:sz w:val="32"/>
    </w:rPr>
  </w:style>
  <w:style w:type="character" w:styleId="000028" w:customStyle="true">
    <w:name w:val="font21"/>
    <w:uiPriority w:val="0"/>
    <w:qFormat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styleId="00003f" w:customStyle="true">
    <w:name w:val="未处理的提及1"/>
    <w:basedOn w:val="000011"/>
    <w:uiPriority w:val="99"/>
    <w:semiHidden/>
    <w:unhideWhenUsed/>
    <w:qFormat/>
    <w:rPr>
      <w:color w:val="605E5C"/>
      <w:shd w:val="clear" w:color="auto" w:fill="E1DFDD"/>
    </w:rPr>
  </w:style>
  <w:style w:type="paragraph" w:styleId="00001e">
    <w:name w:val="toc 6"/>
    <w:basedOn w:val="00000c"/>
    <w:next w:val="00000c"/>
    <w:uiPriority w:val="0"/>
    <w:qFormat/>
    <w:pPr>
      <w:ind w:left="1000"/>
    </w:pPr>
    <w:rPr>
      <w:szCs w:val="21"/>
    </w:rPr>
  </w:style>
  <w:style w:type="paragraph" w:styleId="000034" w:customStyle="true">
    <w:name w:val="正文1"/>
    <w:basedOn w:val="00000c"/>
    <w:uiPriority w:val="0"/>
    <w:qFormat/>
  </w:style>
  <w:style w:type="paragraph" w:styleId="00002d" w:customStyle="true">
    <w:name w:val="Ê×ÐÐËõ½ø"/>
    <w:basedOn w:val="00000c"/>
    <w:uiPriority w:val="0"/>
    <w:qFormat/>
    <w:pPr>
      <w:ind w:firstLine="720"/>
    </w:pPr>
  </w:style>
  <w:style w:type="paragraph" w:styleId="000030" w:customStyle="true">
    <w:name w:val="Summary Item List"/>
    <w:basedOn w:val="00000c"/>
    <w:uiPriority w:val="0"/>
    <w:qFormat/>
    <w:pPr>
      <w:keepNext/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tabs>
        <w:tab w:val="left" w:pos="720"/>
        <w:tab w:val="left" w:pos="1080"/>
      </w:tabs>
      <w:ind w:left="360" w:hanging="360"/>
    </w:pPr>
  </w:style>
  <w:style w:type="paragraph" w:styleId="00003b" w:customStyle="true">
    <w:name w:val="±àºÅÁÐ±í"/>
    <w:basedOn w:val="00000c"/>
    <w:uiPriority w:val="0"/>
    <w:qFormat/>
  </w:style>
  <w:style w:type="paragraph" w:styleId="00002e" w:customStyle="true">
    <w:name w:val="正文序列号a."/>
    <w:basedOn w:val="00000c"/>
    <w:uiPriority w:val="0"/>
    <w:qFormat/>
    <w:pPr>
      <w:widowControl w:val="false"/>
      <w:tabs>
        <w:tab w:val="left" w:pos="1083"/>
      </w:tabs>
      <w:overflowPunct/>
      <w:autoSpaceDE/>
      <w:autoSpaceDN/>
      <w:adjustRightInd/>
      <w:spacing w:line="300" w:lineRule="auto"/>
      <w:ind w:left="629"/>
      <w:textAlignment w:val="auto"/>
    </w:pPr>
    <w:rPr>
      <w:kern w:val="2"/>
      <w:sz w:val="22"/>
      <w:szCs w:val="24"/>
    </w:rPr>
  </w:style>
  <w:style w:type="paragraph" w:styleId="000006">
    <w:name w:val="heading 5"/>
    <w:basedOn w:val="00000c"/>
    <w:next w:val="00000c"/>
    <w:link w:val="000010"/>
    <w:uiPriority w:val="0"/>
    <w:qFormat/>
    <w:pPr>
      <w:keepNext/>
      <w:keepLines/>
      <w:numPr>
        <w:ilvl w:val="4"/>
        <w:numId w:val="1"/>
      </w:numPr>
      <w:spacing w:line="377" w:lineRule="auto"/>
      <w:outlineLvl w:val="4"/>
    </w:pPr>
    <w:rPr>
      <w:bCs/>
      <w:sz w:val="21"/>
      <w:szCs w:val="28"/>
    </w:rPr>
  </w:style>
  <w:style w:type="table" w:styleId="n3bpsm">
    <w:name w:val="Doc Table Band 1st"/>
    <w:basedOn w:val="000022"/>
    <w:next w:val=""/>
    <w:uiPriority w:val="49"/>
    <w:rsid w:val="00186440"/>
    <w:tblPr>
      <w:tblStyleRowBandSize w:val="1"/>
      <w:tblStyleColBandSize w:val="1"/>
    </w:tblPr>
    <w:tblStylePr w:type="band2Horz">
      <w:tblPr/>
      <w:tcPr>
        <w:shd w:val="clear" w:color="auto" w:fill="F3F5F7"/>
      </w:tcPr>
    </w:tblStylePr>
    <w:tblStylePr w:type="firstRow">
      <w:rPr>
        <w:b/>
        <w:bCs/>
        <w:color w:val="FFFFFF"/>
      </w:rPr>
      <w:tcPr>
        <w:shd w:val="clear" w:color="auto" w:fill="485368"/>
      </w:tcPr>
    </w:tblStylePr>
  </w:style>
  <w:style w:type="character" w:styleId="000026">
    <w:name w:val="Emphasis"/>
    <w:basedOn w:val="000011"/>
    <w:uiPriority w:val="20"/>
    <w:qFormat/>
    <w:rPr>
      <w:i/>
    </w:rPr>
  </w:style>
  <w:style w:type="paragraph" w:styleId="000035" w:customStyle="true">
    <w:name w:val="´ó¸Ù(ÎÞËõ½ø)"/>
    <w:basedOn w:val="00000c"/>
    <w:uiPriority w:val="0"/>
    <w:qFormat/>
  </w:style>
  <w:style w:type="table" w:styleId="000012" w:default="true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39" w:customStyle="true">
    <w:name w:val="µ¥ÐÐÖ÷ÌåÎÄ±¾"/>
    <w:basedOn w:val="00000c"/>
    <w:uiPriority w:val="0"/>
    <w:qFormat/>
  </w:style>
  <w:style w:type="paragraph" w:styleId="000008">
    <w:name w:val="heading 7"/>
    <w:basedOn w:val="00000c"/>
    <w:next w:val="00000c"/>
    <w:uiPriority w:val="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Cs w:val="24"/>
    </w:rPr>
  </w:style>
  <w:style w:type="paragraph" w:styleId="000017">
    <w:name w:val="toc 8"/>
    <w:basedOn w:val="00000c"/>
    <w:next w:val="00000c"/>
    <w:uiPriority w:val="0"/>
    <w:qFormat/>
    <w:pPr>
      <w:ind w:left="1400"/>
    </w:pPr>
    <w:rPr>
      <w:szCs w:val="21"/>
    </w:rPr>
  </w:style>
  <w:style w:type="paragraph" w:styleId="000005">
    <w:name w:val="heading 4"/>
    <w:basedOn w:val="00000c"/>
    <w:next w:val="00000c"/>
    <w:link w:val="00000f"/>
    <w:uiPriority w:val="0"/>
    <w:qFormat/>
    <w:pPr>
      <w:keepNext/>
      <w:keepLines/>
      <w:numPr>
        <w:ilvl w:val="3"/>
        <w:numId w:val="1"/>
      </w:numPr>
      <w:spacing w:line="377" w:lineRule="auto"/>
      <w:outlineLvl w:val="3"/>
    </w:pPr>
    <w:rPr>
      <w:rFonts w:ascii="Arial" w:hAnsi="Arial"/>
      <w:bCs/>
      <w:szCs w:val="28"/>
    </w:rPr>
  </w:style>
  <w:style w:type="character" w:styleId="000011" w:default="true">
    <w:name w:val="Default Paragraph Font"/>
    <w:uiPriority w:val="1"/>
    <w:unhideWhenUsed/>
    <w:qFormat/>
  </w:style>
  <w:style w:type="character" w:styleId="000027">
    <w:name w:val="Hyperlink"/>
    <w:uiPriority w:val="99"/>
    <w:qFormat/>
    <w:rPr>
      <w:color w:val="0000FF"/>
      <w:u w:val="single"/>
    </w:rPr>
  </w:style>
  <w:style w:type="paragraph" w:styleId="000013">
    <w:name w:val="toc 7"/>
    <w:basedOn w:val="00000c"/>
    <w:next w:val="00000c"/>
    <w:uiPriority w:val="0"/>
    <w:qFormat/>
    <w:pPr>
      <w:ind w:left="1200"/>
    </w:pPr>
    <w:rPr>
      <w:szCs w:val="21"/>
    </w:rPr>
  </w:style>
  <w:style w:type="paragraph" w:styleId="000009">
    <w:name w:val="heading 8"/>
    <w:basedOn w:val="00000c"/>
    <w:next w:val="00000c"/>
    <w:uiPriority w:val="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Cs w:val="24"/>
    </w:rPr>
  </w:style>
  <w:style w:type="paragraph" w:styleId="00001d">
    <w:name w:val="toc 4"/>
    <w:basedOn w:val="00000c"/>
    <w:next w:val="00000c"/>
    <w:uiPriority w:val="0"/>
    <w:qFormat/>
    <w:pPr>
      <w:ind w:left="600"/>
    </w:pPr>
    <w:rPr>
      <w:szCs w:val="21"/>
    </w:rPr>
  </w:style>
  <w:style w:type="paragraph" w:styleId="000020">
    <w:name w:val="toc 9"/>
    <w:basedOn w:val="00000c"/>
    <w:next w:val="00000c"/>
    <w:uiPriority w:val="0"/>
    <w:qFormat/>
    <w:pPr>
      <w:ind w:left="1600"/>
    </w:pPr>
    <w:rPr>
      <w:szCs w:val="21"/>
    </w:rPr>
  </w:style>
  <w:style w:type="paragraph" w:styleId="00003d" w:customStyle="true">
    <w:name w:val="WW-正文（首行缩进两字）"/>
    <w:basedOn w:val="00000c"/>
    <w:uiPriority w:val="0"/>
    <w:qFormat/>
    <w:pPr>
      <w:widowControl w:val="false"/>
      <w:suppressAutoHyphens/>
      <w:overflowPunct/>
      <w:autoSpaceDE/>
      <w:autoSpaceDN/>
      <w:adjustRightInd/>
      <w:spacing w:line="277" w:lineRule="atLeast"/>
      <w:ind w:firstLine="420"/>
      <w:jc w:val="both"/>
    </w:pPr>
    <w:rPr>
      <w:kern w:val="1"/>
      <w:sz w:val="21"/>
    </w:rPr>
  </w:style>
  <w:style w:type="paragraph" w:styleId="00000c" w:default="true">
    <w:name w:val="Normal"/>
    <w:uiPriority w:val="0"/>
    <w:qFormat/>
    <w:pPr>
      <w:overflowPunct w:val="false"/>
      <w:autoSpaceDE w:val="false"/>
      <w:autoSpaceDN w:val="false"/>
      <w:adjustRightInd w:val="false"/>
      <w:textAlignment w:val="baseline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styleId="00001a">
    <w:name w:val="header"/>
    <w:basedOn w:val="00000c"/>
    <w:link w:val="00001b"/>
    <w:uiPriority w:val="0"/>
    <w:qFormat/>
    <w:pPr>
      <w:pBdr>
        <w:bottom w:val="single" w:color="auto" w:sz="6" w:space="1"/>
      </w:pBd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paragraph" w:styleId="000021">
    <w:name w:val="Normal (Web)"/>
    <w:basedOn w:val="00000c"/>
    <w:uiPriority w:val="0"/>
    <w:qFormat/>
    <w:pPr>
      <w:overflowPunct/>
      <w:autoSpaceDE/>
      <w:autoSpaceDN/>
      <w:adjustRightInd/>
      <w:spacing w:before="100" w:beforeAutospacing="true" w:after="100" w:afterAutospacing="true"/>
      <w:textAlignment w:val="auto"/>
    </w:pPr>
    <w:rPr>
      <w:rFonts w:ascii="宋体" w:hAnsi="宋体" w:cs="宋体"/>
      <w:sz w:val="22"/>
      <w:szCs w:val="22"/>
    </w:rPr>
  </w:style>
  <w:style w:type="paragraph" w:styleId="000016">
    <w:name w:val="toc 3"/>
    <w:basedOn w:val="00000c"/>
    <w:next w:val="00000c"/>
    <w:uiPriority w:val="39"/>
    <w:qFormat/>
    <w:pPr>
      <w:ind w:left="400"/>
    </w:pPr>
    <w:rPr>
      <w:i/>
      <w:iCs/>
      <w:szCs w:val="24"/>
    </w:rPr>
  </w:style>
  <w:style w:type="paragraph" w:styleId="000032" w:customStyle="true">
    <w:name w:val="È±Ê¡ÎÄ±¾"/>
    <w:basedOn w:val="00000c"/>
    <w:uiPriority w:val="0"/>
    <w:qFormat/>
  </w:style>
  <w:style w:type="paragraph" w:styleId="00000a">
    <w:name w:val="heading 9"/>
    <w:basedOn w:val="00000c"/>
    <w:next w:val="00000c"/>
    <w:uiPriority w:val="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styleId="00001b" w:customStyle="true">
    <w:name w:val="页眉 字符"/>
    <w:link w:val="00001a"/>
    <w:uiPriority w:val="0"/>
    <w:qFormat/>
    <w:rPr>
      <w:sz w:val="18"/>
      <w:szCs w:val="18"/>
    </w:rPr>
  </w:style>
  <w:style w:type="paragraph" w:styleId="00002f" w:customStyle="true">
    <w:name w:val="±í¸ñÎÄ±¾"/>
    <w:basedOn w:val="00000c"/>
    <w:uiPriority w:val="0"/>
    <w:qFormat/>
    <w:pPr>
      <w:tabs>
        <w:tab w:val="decimal" w:pos="0"/>
      </w:tabs>
    </w:pPr>
  </w:style>
  <w:style w:type="table" w:styleId="000022">
    <w:name w:val="Table Grid"/>
    <w:basedOn w:val="000012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3a" w:customStyle="true">
    <w:name w:val="Normal2"/>
    <w:basedOn w:val="00000c"/>
    <w:uiPriority w:val="0"/>
    <w:qFormat/>
    <w:pPr>
      <w:overflowPunct/>
      <w:autoSpaceDE/>
      <w:autoSpaceDN/>
      <w:adjustRightInd/>
      <w:ind w:left="220" w:leftChars="100" w:right="220" w:rightChars="100"/>
      <w:textAlignment w:val="auto"/>
    </w:pPr>
    <w:rPr>
      <w:rFonts w:ascii="Arial" w:hAnsi="Arial" w:cs="Arial"/>
      <w:sz w:val="20"/>
      <w:lang w:eastAsia="en-US"/>
    </w:rPr>
  </w:style>
  <w:style w:type="character" w:styleId="00000f" w:customStyle="true">
    <w:name w:val="标题 4 字符"/>
    <w:basedOn w:val="000011"/>
    <w:link w:val="000005"/>
    <w:uiPriority w:val="0"/>
    <w:qFormat/>
    <w:rPr>
      <w:rFonts w:ascii="Arial" w:hAnsi="Arial"/>
      <w:bCs/>
      <w:sz w:val="24"/>
      <w:szCs w:val="28"/>
    </w:rPr>
  </w:style>
  <w:style w:type="paragraph" w:styleId="000033" w:customStyle="true">
    <w:name w:val="提示文字"/>
    <w:basedOn w:val="00000c"/>
    <w:next w:val="00000c"/>
    <w:uiPriority w:val="0"/>
    <w:qFormat/>
    <w:pPr>
      <w:widowControl w:val="false"/>
      <w:overflowPunct/>
      <w:autoSpaceDE/>
      <w:autoSpaceDN/>
      <w:adjustRightInd/>
      <w:spacing w:line="300" w:lineRule="auto"/>
      <w:ind w:firstLine="440" w:firstLineChars="200"/>
      <w:jc w:val="both"/>
      <w:textAlignment w:val="auto"/>
    </w:pPr>
    <w:rPr>
      <w:i/>
      <w:color w:val="0000FF"/>
      <w:kern w:val="2"/>
      <w:sz w:val="22"/>
      <w:szCs w:val="24"/>
    </w:rPr>
  </w:style>
  <w:style w:type="paragraph" w:styleId="00002b" w:customStyle="true">
    <w:name w:val="ÎÄ¼þ±êÌâ"/>
    <w:basedOn w:val="00000c"/>
    <w:uiPriority w:val="0"/>
    <w:qFormat/>
    <w:pPr>
      <w:spacing w:after="240"/>
      <w:jc w:val="center"/>
    </w:pPr>
    <w:rPr>
      <w:rFonts w:ascii="Arial Black" w:hAnsi="Arial Black"/>
      <w:sz w:val="48"/>
    </w:rPr>
  </w:style>
  <w:style w:type="paragraph" w:styleId="000014">
    <w:name w:val="Document Map"/>
    <w:basedOn w:val="00000c"/>
    <w:uiPriority w:val="0"/>
    <w:qFormat/>
    <w:pPr>
      <w:shd w:val="clear" w:color="auto" w:fill="000080"/>
    </w:pPr>
  </w:style>
  <w:style w:type="paragraph" w:styleId="000004">
    <w:name w:val="heading 3"/>
    <w:basedOn w:val="00000c"/>
    <w:next w:val="00000c"/>
    <w:link w:val="00000e"/>
    <w:uiPriority w:val="0"/>
    <w:qFormat/>
    <w:pPr>
      <w:numPr>
        <w:ilvl w:val="2"/>
        <w:numId w:val="1"/>
      </w:numPr>
      <w:spacing w:before="120"/>
      <w:outlineLvl w:val="2"/>
    </w:pPr>
    <w:rPr>
      <w:rFonts w:ascii="Arial" w:hAnsi="Arial"/>
      <w:b/>
      <w:sz w:val="28"/>
    </w:rPr>
  </w:style>
  <w:style w:type="paragraph" w:styleId="00001c">
    <w:name w:val="toc 1"/>
    <w:basedOn w:val="00000c"/>
    <w:next w:val="00000c"/>
    <w:uiPriority w:val="39"/>
    <w:qFormat/>
    <w:pPr>
      <w:spacing w:before="120" w:after="120"/>
    </w:pPr>
    <w:rPr>
      <w:b/>
      <w:bCs/>
      <w:caps/>
      <w:szCs w:val="24"/>
    </w:rPr>
  </w:style>
  <w:style w:type="paragraph" w:styleId="00001f">
    <w:name w:val="toc 2"/>
    <w:basedOn w:val="00000c"/>
    <w:next w:val="00000c"/>
    <w:uiPriority w:val="39"/>
    <w:qFormat/>
    <w:pPr>
      <w:ind w:left="200"/>
    </w:pPr>
    <w:rPr>
      <w:smallCaps/>
      <w:szCs w:val="24"/>
    </w:rPr>
  </w:style>
  <w:style w:type="character" w:styleId="000025">
    <w:name w:val="FollowedHyperlink"/>
    <w:uiPriority w:val="0"/>
    <w:qFormat/>
    <w:rPr>
      <w:color w:val="80008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footer" Target="footer2.xml" /><Relationship Id="rId15" Type="http://schemas.openxmlformats.org/officeDocument/2006/relationships/image" Target="media/image6.png" /><Relationship Id="rId13" Type="http://schemas.openxmlformats.org/officeDocument/2006/relationships/image" Target="media/image4.png" /><Relationship Id="rId11" Type="http://schemas.openxmlformats.org/officeDocument/2006/relationships/image" Target="media/image2.png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10" Type="http://schemas.openxmlformats.org/officeDocument/2006/relationships/image" Target="media/image1.png" /><Relationship Id="rId14" Type="http://schemas.openxmlformats.org/officeDocument/2006/relationships/image" Target="media/image5.png" /><Relationship Id="rId17" Type="http://schemas.openxmlformats.org/officeDocument/2006/relationships/image" Target="media/image8.png" /><Relationship Id="rId5" Type="http://schemas.openxmlformats.org/officeDocument/2006/relationships/header" Target="header1.xml" /><Relationship Id="rId8" Type="http://schemas.openxmlformats.org/officeDocument/2006/relationships/footer" Target="footer1.xml" /><Relationship Id="rId0" Type="http://schemas.openxmlformats.org/officeDocument/2006/relationships/styles" Target="styles.xml" /><Relationship Id="rId16" Type="http://schemas.openxmlformats.org/officeDocument/2006/relationships/image" Target="media/image7.png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12" Type="http://schemas.openxmlformats.org/officeDocument/2006/relationships/image" Target="media/image3.png" /><Relationship Id="rId6" Type="http://schemas.openxmlformats.org/officeDocument/2006/relationships/header" Target="header2.xml" /><Relationship Id="rId7" Type="http://schemas.openxmlformats.org/officeDocument/2006/relationships/header" Target="header3.xml" /></Relationships>
</file>

<file path=word/_rels/header2.xml.rels><?xml version="1.0" encoding="UTF-8" standalone="yes"?><Relationships xmlns="http://schemas.openxmlformats.org/package/2006/relationships"><Relationship Id="rId0" Type="http://schemas.openxmlformats.org/officeDocument/2006/relationships/image" Target="media/image9.png" /></Relationships>
</file>

<file path=word/_rels/header3.xml.rels><?xml version="1.0" encoding="UTF-8" standalone="yes"?><Relationships xmlns="http://schemas.openxmlformats.org/package/2006/relationships"><Relationship Id="rId0" Type="http://schemas.openxmlformats.org/officeDocument/2006/relationships/image" Target="media/image9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2026-07-26T20:23:02Z</dcterms:created>
  <dcterms:modified xsi:type="dcterms:W3CDTF">2026-07-26T20:23:02Z</dcterms:modified>
</cp:coreProperties>
</file>