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&lt;title&gt;CANNAsucre&lt;/title&gt;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background-color: #f0f0f0;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background-color: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padding: 20px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padding: 50px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footer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background-color: #333;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color: white;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padding: 10px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position: fixed;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bottom: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width: 100%;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color: #0066cc;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text-decoration: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a:hover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text-decoration: underline;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&lt;header&gt;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&lt;h1&gt;CANNAsucre&lt;/h1&gt;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&lt;main&gt;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&lt;h2&gt;Bienvenue sur CANNAsucre&lt;/h2&gt;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&lt;p&gt;Boutique officiel de CANNAsucre en FRANCE !.&lt;/p&gt;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&lt;p&gt;&lt;a href="https://www.example.com" target="_blank"&gt;Voir le catalogue&lt;/a&gt;&lt;/p&gt;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&lt;/main&gt;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&lt;footer&gt;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&lt;p&gt;&amp;copy; 2024 CANNAsucre&lt;/p&gt;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&lt;/footer&gt;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