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04AFC" w:rsidRPr="003F2838" w:rsidRDefault="00000000" w:rsidP="003F2838">
      <w:pPr>
        <w:spacing w:after="120"/>
        <w:jc w:val="center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color w:val="01696F"/>
          <w:sz w:val="36"/>
          <w:szCs w:val="36"/>
          <w:lang w:val="en-US"/>
        </w:rPr>
        <w:t>PetConnect</w:t>
      </w:r>
      <w:proofErr w:type="spellEnd"/>
      <w:r w:rsidRPr="003F2838">
        <w:rPr>
          <w:rFonts w:ascii="Times New Roman" w:hAnsi="Times New Roman" w:cs="Times New Roman"/>
          <w:b/>
          <w:bCs/>
          <w:color w:val="01696F"/>
          <w:sz w:val="36"/>
          <w:szCs w:val="36"/>
          <w:lang w:val="en-US"/>
        </w:rPr>
        <w:t xml:space="preserve"> — Platform Conversion and Efficiency</w:t>
      </w:r>
    </w:p>
    <w:p w:rsidR="00104AFC" w:rsidRPr="002C14DD" w:rsidRDefault="00000000">
      <w:pPr>
        <w:spacing w:after="80"/>
        <w:jc w:val="center"/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</w:pPr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>Assignment 2: Business Intelligence Dashboard</w:t>
      </w:r>
    </w:p>
    <w:p w:rsidR="003F2838" w:rsidRPr="003F2838" w:rsidRDefault="003F2838">
      <w:pPr>
        <w:spacing w:after="80"/>
        <w:jc w:val="center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 xml:space="preserve">Team: </w:t>
      </w:r>
      <w:proofErr w:type="spellStart"/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>Serchenko</w:t>
      </w:r>
      <w:proofErr w:type="spellEnd"/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 xml:space="preserve"> Nikita, </w:t>
      </w:r>
      <w:proofErr w:type="spellStart"/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>Gomon</w:t>
      </w:r>
      <w:proofErr w:type="spellEnd"/>
      <w:r w:rsidRPr="003F2838">
        <w:rPr>
          <w:rFonts w:ascii="Times New Roman" w:hAnsi="Times New Roman" w:cs="Times New Roman"/>
          <w:i/>
          <w:iCs/>
          <w:color w:val="666666"/>
          <w:sz w:val="24"/>
          <w:szCs w:val="24"/>
          <w:lang w:val="en-US"/>
        </w:rPr>
        <w:t xml:space="preserve"> Mark, Denisova Daria</w:t>
      </w:r>
    </w:p>
    <w:p w:rsidR="002C14DD" w:rsidRPr="002C14DD" w:rsidRDefault="00000000" w:rsidP="002C14DD">
      <w:pPr>
        <w:spacing w:after="200"/>
        <w:jc w:val="center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color w:val="888888"/>
          <w:sz w:val="20"/>
          <w:szCs w:val="20"/>
          <w:lang w:val="en-US"/>
        </w:rPr>
        <w:t xml:space="preserve">Tool: Yandex </w:t>
      </w:r>
      <w:proofErr w:type="spellStart"/>
      <w:r w:rsidRPr="003F2838">
        <w:rPr>
          <w:rFonts w:ascii="Times New Roman" w:hAnsi="Times New Roman" w:cs="Times New Roman"/>
          <w:color w:val="888888"/>
          <w:sz w:val="20"/>
          <w:szCs w:val="20"/>
          <w:lang w:val="en-US"/>
        </w:rPr>
        <w:t>DataLens</w:t>
      </w:r>
      <w:proofErr w:type="spellEnd"/>
      <w:r w:rsidRPr="003F2838">
        <w:rPr>
          <w:rFonts w:ascii="Times New Roman" w:hAnsi="Times New Roman" w:cs="Times New Roman"/>
          <w:color w:val="888888"/>
          <w:sz w:val="20"/>
          <w:szCs w:val="20"/>
          <w:lang w:val="en-US"/>
        </w:rPr>
        <w:t xml:space="preserve">  |  March 2026</w:t>
      </w:r>
      <w:r w:rsidR="002C14DD">
        <w:rPr>
          <w:rFonts w:ascii="Times New Roman" w:hAnsi="Times New Roman" w:cs="Times New Roman"/>
          <w:color w:val="888888"/>
          <w:sz w:val="20"/>
          <w:szCs w:val="20"/>
          <w:lang w:val="en-US"/>
        </w:rPr>
        <w:br/>
      </w:r>
      <w:r w:rsidR="002C14DD" w:rsidRPr="002C14DD">
        <w:rPr>
          <w:rFonts w:ascii="Times New Roman" w:hAnsi="Times New Roman" w:cs="Times New Roman"/>
          <w:i/>
          <w:iCs/>
          <w:color w:val="747474" w:themeColor="background2" w:themeShade="80"/>
          <w:lang w:val="en-US"/>
        </w:rPr>
        <w:t xml:space="preserve">Public </w:t>
      </w:r>
      <w:proofErr w:type="spellStart"/>
      <w:r w:rsidR="002C14DD" w:rsidRPr="002C14DD">
        <w:rPr>
          <w:rFonts w:ascii="Times New Roman" w:hAnsi="Times New Roman" w:cs="Times New Roman"/>
          <w:i/>
          <w:iCs/>
          <w:color w:val="747474" w:themeColor="background2" w:themeShade="80"/>
          <w:lang w:val="en-US"/>
        </w:rPr>
        <w:t>DataLens</w:t>
      </w:r>
      <w:proofErr w:type="spellEnd"/>
      <w:r w:rsidR="002C14DD" w:rsidRPr="002C14DD">
        <w:rPr>
          <w:rFonts w:ascii="Times New Roman" w:hAnsi="Times New Roman" w:cs="Times New Roman"/>
          <w:i/>
          <w:iCs/>
          <w:color w:val="747474" w:themeColor="background2" w:themeShade="80"/>
          <w:lang w:val="en-US"/>
        </w:rPr>
        <w:t xml:space="preserve"> link:</w:t>
      </w:r>
      <w:r w:rsidR="002C14DD" w:rsidRPr="002C14DD">
        <w:rPr>
          <w:rFonts w:ascii="Times New Roman" w:hAnsi="Times New Roman" w:cs="Times New Roman"/>
          <w:b/>
          <w:bCs/>
          <w:color w:val="747474" w:themeColor="background2" w:themeShade="80"/>
          <w:lang w:val="en-US"/>
        </w:rPr>
        <w:t xml:space="preserve"> </w:t>
      </w:r>
      <w:hyperlink r:id="rId7" w:history="1">
        <w:r w:rsidR="002C14DD" w:rsidRPr="002C14DD">
          <w:rPr>
            <w:rStyle w:val="a5"/>
            <w:rFonts w:ascii="Times New Roman" w:hAnsi="Times New Roman" w:cs="Times New Roman"/>
            <w:b/>
            <w:bCs/>
            <w:lang w:val="en-US"/>
          </w:rPr>
          <w:t>https://datalens.yandex/58r6ygh21cw6p</w:t>
        </w:r>
      </w:hyperlink>
    </w:p>
    <w:p w:rsidR="00104AFC" w:rsidRPr="003F2838" w:rsidRDefault="00104AFC" w:rsidP="003F2838">
      <w:pPr>
        <w:spacing w:after="200"/>
        <w:jc w:val="center"/>
        <w:rPr>
          <w:rFonts w:ascii="Times New Roman" w:hAnsi="Times New Roman" w:cs="Times New Roman"/>
          <w:lang w:val="en-US"/>
        </w:rPr>
      </w:pP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  <w:lang w:val="en-US"/>
        </w:rPr>
        <w:t>PART 1 — BUSINESS REQUIREMENTS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1.1 Business Problem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3F2838">
        <w:rPr>
          <w:rFonts w:ascii="Times New Roman" w:hAnsi="Times New Roman" w:cs="Times New Roman"/>
          <w:lang w:val="en-US"/>
        </w:rPr>
        <w:t>PetConnect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is a pet marketplace operating in Moscow, Saint Petersburg, and Kazan. </w:t>
      </w:r>
      <w:proofErr w:type="spellStart"/>
      <w:r w:rsidRPr="003F2838">
        <w:rPr>
          <w:rFonts w:ascii="Times New Roman" w:hAnsi="Times New Roman" w:cs="Times New Roman"/>
        </w:rPr>
        <w:t>Despite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growing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registrations</w:t>
      </w:r>
      <w:proofErr w:type="spellEnd"/>
      <w:r w:rsidRPr="003F2838">
        <w:rPr>
          <w:rFonts w:ascii="Times New Roman" w:hAnsi="Times New Roman" w:cs="Times New Roman"/>
        </w:rPr>
        <w:t xml:space="preserve">, </w:t>
      </w:r>
      <w:proofErr w:type="spellStart"/>
      <w:r w:rsidRPr="003F2838">
        <w:rPr>
          <w:rFonts w:ascii="Times New Roman" w:hAnsi="Times New Roman" w:cs="Times New Roman"/>
        </w:rPr>
        <w:t>the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team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lacks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visibility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into</w:t>
      </w:r>
      <w:proofErr w:type="spellEnd"/>
      <w:r w:rsidRPr="003F2838">
        <w:rPr>
          <w:rFonts w:ascii="Times New Roman" w:hAnsi="Times New Roman" w:cs="Times New Roman"/>
        </w:rPr>
        <w:t>: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How users convert from page view to purchase (and where they drop off)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Whether breeder verification and rating actually influence buyer </w:t>
      </w:r>
      <w:proofErr w:type="spellStart"/>
      <w:r w:rsidRPr="003F2838">
        <w:rPr>
          <w:rFonts w:ascii="Times New Roman" w:hAnsi="Times New Roman" w:cs="Times New Roman"/>
          <w:lang w:val="en-US"/>
        </w:rPr>
        <w:t>behaviour</w:t>
      </w:r>
      <w:proofErr w:type="spellEnd"/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Which content formats drive engagement and lead to sales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How much it costs to acquire a registered user per paid channel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Which breed categories are in highest demand by city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What share of buyers ever returns for a second purchase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How often pets fail to meet buyer expectations, and why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 xml:space="preserve">1.2 Business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Goals</w:t>
      </w:r>
      <w:proofErr w:type="spellEnd"/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Monitor the full conversion funnel from Page View to Pet Purchase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Evaluate breeder quality signals (verification, rating, response rate) as trust drivers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Identify the most effective content format for driving purchases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Measure CAC per paid channel and </w:t>
      </w:r>
      <w:proofErr w:type="spellStart"/>
      <w:r w:rsidRPr="003F2838">
        <w:rPr>
          <w:rFonts w:ascii="Times New Roman" w:hAnsi="Times New Roman" w:cs="Times New Roman"/>
          <w:lang w:val="en-US"/>
        </w:rPr>
        <w:t>optimise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budget allocation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Map breed demand by city to guide breeder recruitment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Track repeat purchase rate as a retention health metric</w:t>
      </w:r>
    </w:p>
    <w:p w:rsidR="00104AFC" w:rsidRPr="003F2838" w:rsidRDefault="00000000">
      <w:pPr>
        <w:pStyle w:val="a4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Reduce returns by monitoring pet-match scores and return reasons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 xml:space="preserve">1.3 Key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Dashboard</w:t>
      </w:r>
      <w:proofErr w:type="spellEnd"/>
      <w:r w:rsidRPr="003F2838">
        <w:rPr>
          <w:rFonts w:ascii="Times New Roman" w:hAnsi="Times New Roman" w:cs="Times New Roman"/>
          <w:b/>
          <w:bCs/>
          <w:color w:val="1B474D"/>
        </w:rPr>
        <w:t xml:space="preserve">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Questions</w:t>
      </w:r>
      <w:proofErr w:type="spellEnd"/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At which funnel step do most users drop off, and does it differ by city?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Do Premium Verified breeders get meaningfully better ratings and response rates?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Which content type (Video, Webinar, Blog, etc.) generates the longest engagement and most purchases?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What is the CAC for Google Ads, Telegram Ads, and Yandex Direct?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Which city shows the highest demand for Luxury/Designer and Working breed categories?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What share of buyers made more than one purchase?</w:t>
      </w:r>
    </w:p>
    <w:p w:rsidR="00104AFC" w:rsidRPr="003F2838" w:rsidRDefault="00000000">
      <w:pPr>
        <w:pStyle w:val="a4"/>
        <w:numPr>
          <w:ilvl w:val="0"/>
          <w:numId w:val="4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What is the average pet-expectation match score, and what are the top return reasons?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1.4 Target Audience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Primary: </w:t>
      </w:r>
      <w:r w:rsidRPr="003F2838">
        <w:rPr>
          <w:rFonts w:ascii="Times New Roman" w:hAnsi="Times New Roman" w:cs="Times New Roman"/>
          <w:lang w:val="en-US"/>
        </w:rPr>
        <w:t>CMO and Head of Product — weekly KPI review, channel budget decisions.</w:t>
      </w:r>
    </w:p>
    <w:p w:rsidR="00104AFC" w:rsidRPr="003F2838" w:rsidRDefault="00000000" w:rsidP="003F2838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lastRenderedPageBreak/>
        <w:t xml:space="preserve">Secondary: </w:t>
      </w:r>
      <w:r w:rsidRPr="003F2838">
        <w:rPr>
          <w:rFonts w:ascii="Times New Roman" w:hAnsi="Times New Roman" w:cs="Times New Roman"/>
          <w:lang w:val="en-US"/>
        </w:rPr>
        <w:t>City managers — city-level breed demand for breeder recruitment.</w:t>
      </w: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</w:rPr>
        <w:t>PART 2 — DATA PREPARATION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 xml:space="preserve">2.1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Datasets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071"/>
      </w:tblGrid>
      <w:tr w:rsidR="00104AFC" w:rsidRPr="003F2838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5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</w:t>
            </w:r>
            <w:proofErr w:type="spellEnd"/>
          </w:p>
        </w:tc>
      </w:tr>
      <w:tr w:rsidR="00104AFC" w:rsidRPr="002C14D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pet_platform_transactions.csv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8,543</w:t>
            </w:r>
          </w:p>
        </w:tc>
        <w:tc>
          <w:tcPr>
            <w:tcW w:w="5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Event-level: 11 event types, traffic, breeder data, content, purchases</w:t>
            </w:r>
          </w:p>
        </w:tc>
      </w:tr>
      <w:tr w:rsidR="00104AFC" w:rsidRPr="002C14D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user_profiles.csv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2,800</w:t>
            </w:r>
          </w:p>
        </w:tc>
        <w:tc>
          <w:tcPr>
            <w:tcW w:w="5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User-level: demographics, purchase history, LTV, churn risk</w:t>
            </w:r>
          </w:p>
        </w:tc>
      </w:tr>
    </w:tbl>
    <w:p w:rsidR="00104AFC" w:rsidRPr="003F2838" w:rsidRDefault="00000000">
      <w:pPr>
        <w:spacing w:before="120"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Period: January 2023 – June 2024 (18 months).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2.2 Key Statistics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Most frequent events: Registration (18%), Pet View (22%), Page View (31%)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Paid channel share: ~28% of events (</w:t>
      </w:r>
      <w:proofErr w:type="spellStart"/>
      <w:r w:rsidRPr="003F2838">
        <w:rPr>
          <w:rFonts w:ascii="Times New Roman" w:hAnsi="Times New Roman" w:cs="Times New Roman"/>
          <w:lang w:val="en-US"/>
        </w:rPr>
        <w:t>traffic_medium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F2838">
        <w:rPr>
          <w:rFonts w:ascii="Times New Roman" w:hAnsi="Times New Roman" w:cs="Times New Roman"/>
          <w:lang w:val="en-US"/>
        </w:rPr>
        <w:t>cpc</w:t>
      </w:r>
      <w:proofErr w:type="spellEnd"/>
      <w:r w:rsidRPr="003F2838">
        <w:rPr>
          <w:rFonts w:ascii="Times New Roman" w:hAnsi="Times New Roman" w:cs="Times New Roman"/>
          <w:lang w:val="en-US"/>
        </w:rPr>
        <w:t>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</w:rPr>
      </w:pPr>
      <w:proofErr w:type="spellStart"/>
      <w:r w:rsidRPr="003F2838">
        <w:rPr>
          <w:rFonts w:ascii="Times New Roman" w:hAnsi="Times New Roman" w:cs="Times New Roman"/>
        </w:rPr>
        <w:t>pet_price</w:t>
      </w:r>
      <w:proofErr w:type="spellEnd"/>
      <w:r w:rsidRPr="003F2838">
        <w:rPr>
          <w:rFonts w:ascii="Times New Roman" w:hAnsi="Times New Roman" w:cs="Times New Roman"/>
        </w:rPr>
        <w:t xml:space="preserve">: 2,500–180,000 RUB, </w:t>
      </w:r>
      <w:proofErr w:type="spellStart"/>
      <w:r w:rsidRPr="003F2838">
        <w:rPr>
          <w:rFonts w:ascii="Times New Roman" w:hAnsi="Times New Roman" w:cs="Times New Roman"/>
        </w:rPr>
        <w:t>median</w:t>
      </w:r>
      <w:proofErr w:type="spellEnd"/>
      <w:r w:rsidRPr="003F2838">
        <w:rPr>
          <w:rFonts w:ascii="Times New Roman" w:hAnsi="Times New Roman" w:cs="Times New Roman"/>
        </w:rPr>
        <w:t xml:space="preserve"> ~38,000 RUB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</w:rPr>
      </w:pPr>
      <w:proofErr w:type="spellStart"/>
      <w:r w:rsidRPr="003F2838">
        <w:rPr>
          <w:rFonts w:ascii="Times New Roman" w:hAnsi="Times New Roman" w:cs="Times New Roman"/>
        </w:rPr>
        <w:t>platform_commission</w:t>
      </w:r>
      <w:proofErr w:type="spellEnd"/>
      <w:r w:rsidRPr="003F2838">
        <w:rPr>
          <w:rFonts w:ascii="Times New Roman" w:hAnsi="Times New Roman" w:cs="Times New Roman"/>
        </w:rPr>
        <w:t xml:space="preserve">: ~9.5–10% </w:t>
      </w:r>
      <w:proofErr w:type="spellStart"/>
      <w:r w:rsidRPr="003F2838">
        <w:rPr>
          <w:rFonts w:ascii="Times New Roman" w:hAnsi="Times New Roman" w:cs="Times New Roman"/>
        </w:rPr>
        <w:t>of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pet_price</w:t>
      </w:r>
      <w:proofErr w:type="spellEnd"/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</w:rPr>
      </w:pPr>
      <w:proofErr w:type="spellStart"/>
      <w:r w:rsidRPr="003F2838">
        <w:rPr>
          <w:rFonts w:ascii="Times New Roman" w:hAnsi="Times New Roman" w:cs="Times New Roman"/>
        </w:rPr>
        <w:t>breeder_rating</w:t>
      </w:r>
      <w:proofErr w:type="spellEnd"/>
      <w:r w:rsidRPr="003F2838">
        <w:rPr>
          <w:rFonts w:ascii="Times New Roman" w:hAnsi="Times New Roman" w:cs="Times New Roman"/>
        </w:rPr>
        <w:t xml:space="preserve">: </w:t>
      </w:r>
      <w:proofErr w:type="spellStart"/>
      <w:r w:rsidRPr="003F2838">
        <w:rPr>
          <w:rFonts w:ascii="Times New Roman" w:hAnsi="Times New Roman" w:cs="Times New Roman"/>
        </w:rPr>
        <w:t>mean</w:t>
      </w:r>
      <w:proofErr w:type="spellEnd"/>
      <w:r w:rsidRPr="003F2838">
        <w:rPr>
          <w:rFonts w:ascii="Times New Roman" w:hAnsi="Times New Roman" w:cs="Times New Roman"/>
        </w:rPr>
        <w:t xml:space="preserve"> 4.1 / 5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lang w:val="en-US"/>
        </w:rPr>
        <w:t>pet_matched_expectations</w:t>
      </w:r>
      <w:proofErr w:type="spellEnd"/>
      <w:r w:rsidRPr="003F2838">
        <w:rPr>
          <w:rFonts w:ascii="Times New Roman" w:hAnsi="Times New Roman" w:cs="Times New Roman"/>
          <w:lang w:val="en-US"/>
        </w:rPr>
        <w:t>: mean 3.9 / 5 (purchase events only)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lang w:val="en-US"/>
        </w:rPr>
        <w:t>is_repeat_buyer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TRUE: ~18% of registered users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lang w:val="en-US"/>
        </w:rPr>
        <w:t>predicted_churn_risk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&gt; 0.7 (high risk): ~12% of users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2.3 Data Cleaning &amp; Transformations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Structural NULLs</w:t>
      </w:r>
      <w:r w:rsidRPr="003F2838">
        <w:rPr>
          <w:rFonts w:ascii="Times New Roman" w:hAnsi="Times New Roman" w:cs="Times New Roman"/>
          <w:lang w:val="en-US"/>
        </w:rPr>
        <w:t xml:space="preserve"> — many columns are empty by design (breeder fields only fill on Pet View/Inquiry/Purchase events; content fields only on Content View). Handled via chart-level IS NOT NULL filters.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Calculated fields added in </w:t>
      </w: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transactions_ds</w:t>
      </w:r>
      <w:proofErr w:type="spellEnd"/>
      <w:r w:rsidRPr="003F2838">
        <w:rPr>
          <w:rFonts w:ascii="Times New Roman" w:hAnsi="Times New Roman" w:cs="Times New Roman"/>
          <w:b/>
          <w:bCs/>
          <w:lang w:val="en-US"/>
        </w:rPr>
        <w:t>: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is_purchase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F2838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event_type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"Pet Purchase", 1, 0)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is_registration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F2838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event_type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"Registration", 1, 0)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has_content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IF(</w:t>
      </w:r>
      <w:proofErr w:type="gramStart"/>
      <w:r w:rsidRPr="003F2838">
        <w:rPr>
          <w:rFonts w:ascii="Times New Roman" w:hAnsi="Times New Roman" w:cs="Times New Roman"/>
          <w:lang w:val="en-US"/>
        </w:rPr>
        <w:t>ISNULL(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content_id</w:t>
      </w:r>
      <w:proofErr w:type="spellEnd"/>
      <w:r w:rsidRPr="003F2838">
        <w:rPr>
          <w:rFonts w:ascii="Times New Roman" w:hAnsi="Times New Roman" w:cs="Times New Roman"/>
          <w:lang w:val="en-US"/>
        </w:rPr>
        <w:t>), 0, 1)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funnel_order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IF chain assigning 1–5 to funnel stages for sorting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event_date</w:t>
      </w:r>
      <w:proofErr w:type="spellEnd"/>
      <w:r w:rsidRPr="003F2838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event_month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F2838">
        <w:rPr>
          <w:rFonts w:ascii="Times New Roman" w:hAnsi="Times New Roman" w:cs="Times New Roman"/>
          <w:lang w:val="en-US"/>
        </w:rPr>
        <w:t>DATETRUNC(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event_timestamp</w:t>
      </w:r>
      <w:proofErr w:type="spellEnd"/>
      <w:r w:rsidRPr="003F2838">
        <w:rPr>
          <w:rFonts w:ascii="Times New Roman" w:hAnsi="Times New Roman" w:cs="Times New Roman"/>
          <w:lang w:val="en-US"/>
        </w:rPr>
        <w:t>, "day"/"month")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Calculated fields added in </w:t>
      </w: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users_ds</w:t>
      </w:r>
      <w:proofErr w:type="spellEnd"/>
      <w:r w:rsidRPr="003F2838">
        <w:rPr>
          <w:rFonts w:ascii="Times New Roman" w:hAnsi="Times New Roman" w:cs="Times New Roman"/>
          <w:b/>
          <w:bCs/>
          <w:lang w:val="en-US"/>
        </w:rPr>
        <w:t>: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is_buyer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F2838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pets_purchased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&gt; 0, 1, 0)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ltv_segment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High/Mid/Low LTV based on lifetime_value_12mo thresholds</w:t>
      </w:r>
    </w:p>
    <w:p w:rsidR="00104AFC" w:rsidRPr="003F2838" w:rsidRDefault="00000000">
      <w:pPr>
        <w:pStyle w:val="a4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lang w:val="en-US"/>
        </w:rPr>
      </w:pP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churn_risk_label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High/Medium/Low Risk based on </w:t>
      </w:r>
      <w:proofErr w:type="spellStart"/>
      <w:r w:rsidRPr="003F2838">
        <w:rPr>
          <w:rFonts w:ascii="Times New Roman" w:hAnsi="Times New Roman" w:cs="Times New Roman"/>
          <w:lang w:val="en-US"/>
        </w:rPr>
        <w:t>predicted_churn_risk</w:t>
      </w:r>
      <w:proofErr w:type="spellEnd"/>
    </w:p>
    <w:p w:rsidR="00104AFC" w:rsidRPr="003F2838" w:rsidRDefault="00000000" w:rsidP="003F2838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No duplicate </w:t>
      </w:r>
      <w:proofErr w:type="spellStart"/>
      <w:r w:rsidRPr="003F2838">
        <w:rPr>
          <w:rFonts w:ascii="Times New Roman" w:hAnsi="Times New Roman" w:cs="Times New Roman"/>
          <w:lang w:val="en-US"/>
        </w:rPr>
        <w:t>event_id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values found. </w:t>
      </w:r>
      <w:proofErr w:type="spellStart"/>
      <w:r w:rsidRPr="003F2838">
        <w:rPr>
          <w:rFonts w:ascii="Times New Roman" w:hAnsi="Times New Roman" w:cs="Times New Roman"/>
          <w:lang w:val="en-US"/>
        </w:rPr>
        <w:t>event_timestamp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converted from String to Date &amp; time in connection settings.</w:t>
      </w:r>
      <w:r w:rsidRPr="003F2838">
        <w:rPr>
          <w:rFonts w:ascii="Times New Roman" w:hAnsi="Times New Roman" w:cs="Times New Roman"/>
          <w:lang w:val="en-US"/>
        </w:rPr>
        <w:br w:type="page"/>
      </w: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  <w:lang w:val="en-US"/>
        </w:rPr>
        <w:lastRenderedPageBreak/>
        <w:t>PART 3 — DASHBOARD DESCRIPTION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3.1 Overview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Title: </w:t>
      </w:r>
      <w:proofErr w:type="spellStart"/>
      <w:r w:rsidRPr="003F2838">
        <w:rPr>
          <w:rFonts w:ascii="Times New Roman" w:hAnsi="Times New Roman" w:cs="Times New Roman"/>
          <w:lang w:val="en-US"/>
        </w:rPr>
        <w:t>PetConnect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— Platform Conversion and Efficiency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Tool: </w:t>
      </w:r>
      <w:r w:rsidRPr="003F2838">
        <w:rPr>
          <w:rFonts w:ascii="Times New Roman" w:hAnsi="Times New Roman" w:cs="Times New Roman"/>
          <w:lang w:val="en-US"/>
        </w:rPr>
        <w:t xml:space="preserve">Yandex </w:t>
      </w:r>
      <w:proofErr w:type="spellStart"/>
      <w:r w:rsidRPr="003F2838">
        <w:rPr>
          <w:rFonts w:ascii="Times New Roman" w:hAnsi="Times New Roman" w:cs="Times New Roman"/>
          <w:lang w:val="en-US"/>
        </w:rPr>
        <w:t>DataLens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(cloud)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Layout: </w:t>
      </w:r>
      <w:r w:rsidRPr="003F2838">
        <w:rPr>
          <w:rFonts w:ascii="Times New Roman" w:hAnsi="Times New Roman" w:cs="Times New Roman"/>
          <w:lang w:val="en-US"/>
        </w:rPr>
        <w:t>Single-screen desktop grid. Filter selectors at the top, a row of 4 KPI cards, then charts arranged in a two-column layout below.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Public link: </w:t>
      </w:r>
      <w:hyperlink r:id="rId8" w:history="1">
        <w:r w:rsidR="00104AFC" w:rsidRPr="003F2838">
          <w:rPr>
            <w:rStyle w:val="a5"/>
            <w:rFonts w:ascii="Times New Roman" w:hAnsi="Times New Roman" w:cs="Times New Roman"/>
            <w:lang w:val="en-US"/>
          </w:rPr>
          <w:t>https://datalens.yandex/58r6ygh21cw6p</w:t>
        </w:r>
      </w:hyperlink>
    </w:p>
    <w:p w:rsidR="00104AFC" w:rsidRPr="003F2838" w:rsidRDefault="00000000">
      <w:pPr>
        <w:spacing w:before="280" w:after="12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1B474D"/>
          <w:lang w:val="en-US"/>
        </w:rPr>
        <w:t>3.2 KPI Cards (Top Row)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Four indicator widgets provide an at-a-glance platform health summary. They are the first element a manager sees and answer the question "is the platform operating at expected volume?"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3271"/>
      </w:tblGrid>
      <w:tr w:rsidR="00104AFC" w:rsidRPr="003F283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Aggregation</w:t>
            </w:r>
            <w:proofErr w:type="spellEnd"/>
          </w:p>
        </w:tc>
        <w:tc>
          <w:tcPr>
            <w:tcW w:w="3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Business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</w:tr>
      <w:tr w:rsidR="00104AFC" w:rsidRPr="003F28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Total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COUNT</w:t>
            </w:r>
          </w:p>
        </w:tc>
        <w:tc>
          <w:tcPr>
            <w:tcW w:w="3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Overall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platform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activity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volume</w:t>
            </w:r>
            <w:proofErr w:type="spellEnd"/>
          </w:p>
        </w:tc>
      </w:tr>
      <w:tr w:rsidR="00104AFC" w:rsidRPr="003F28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Registered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is_registration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3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Top-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funnel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size</w:t>
            </w:r>
            <w:proofErr w:type="spellEnd"/>
          </w:p>
        </w:tc>
      </w:tr>
      <w:tr w:rsidR="00104AFC" w:rsidRPr="002C14D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Completed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Purchases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is_purchase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3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Primary revenue-generating action count</w:t>
            </w:r>
          </w:p>
        </w:tc>
      </w:tr>
      <w:tr w:rsidR="00104AFC" w:rsidRPr="003F28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Platform Commission (RUB)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platform_commission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</w:tc>
        <w:tc>
          <w:tcPr>
            <w:tcW w:w="3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Direct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platform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revenue</w:t>
            </w:r>
            <w:proofErr w:type="spellEnd"/>
          </w:p>
        </w:tc>
      </w:tr>
    </w:tbl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 xml:space="preserve">3.3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Charts</w:t>
      </w:r>
      <w:proofErr w:type="spellEnd"/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1 — Conversion Funnel by City (Horizontal Bar)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Shows how many unique events occur at each stage of the purchase funnel: Page View → Registration → Breeder Search → Inquiry → Pet Purchase. Bars are </w:t>
      </w:r>
      <w:proofErr w:type="spellStart"/>
      <w:r w:rsidRPr="003F2838">
        <w:rPr>
          <w:rFonts w:ascii="Times New Roman" w:hAnsi="Times New Roman" w:cs="Times New Roman"/>
          <w:lang w:val="en-US"/>
        </w:rPr>
        <w:t>coloured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by city. The chart reveals where the biggest drop-off occurs and whether it differs across Moscow, Saint Petersburg, and Kazan. Dimension: </w:t>
      </w:r>
      <w:proofErr w:type="spellStart"/>
      <w:r w:rsidRPr="003F2838">
        <w:rPr>
          <w:rFonts w:ascii="Times New Roman" w:hAnsi="Times New Roman" w:cs="Times New Roman"/>
          <w:lang w:val="en-US"/>
        </w:rPr>
        <w:t>event_type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(sorted by </w:t>
      </w:r>
      <w:proofErr w:type="spellStart"/>
      <w:r w:rsidRPr="003F2838">
        <w:rPr>
          <w:rFonts w:ascii="Times New Roman" w:hAnsi="Times New Roman" w:cs="Times New Roman"/>
          <w:lang w:val="en-US"/>
        </w:rPr>
        <w:t>funnel_order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field); Measure: </w:t>
      </w:r>
      <w:proofErr w:type="gramStart"/>
      <w:r w:rsidRPr="003F2838">
        <w:rPr>
          <w:rFonts w:ascii="Times New Roman" w:hAnsi="Times New Roman" w:cs="Times New Roman"/>
          <w:lang w:val="en-US"/>
        </w:rPr>
        <w:t>COUNTD(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event_id</w:t>
      </w:r>
      <w:proofErr w:type="spellEnd"/>
      <w:r w:rsidRPr="003F2838">
        <w:rPr>
          <w:rFonts w:ascii="Times New Roman" w:hAnsi="Times New Roman" w:cs="Times New Roman"/>
          <w:lang w:val="en-US"/>
        </w:rPr>
        <w:t>); Color: city.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2 — Breeder Rating and Response Rate by Verification Level (Scatter)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Each point represents a verification tier (Basic, Verified, Premium Verified, Unverified). X-axis: average breeder rating; Y-axis: average response rate within 24h; point size: volume of interactions. Answers whether higher verification correlates with better quality signals. Filter: </w:t>
      </w:r>
      <w:proofErr w:type="spellStart"/>
      <w:r w:rsidRPr="003F2838">
        <w:rPr>
          <w:rFonts w:ascii="Times New Roman" w:hAnsi="Times New Roman" w:cs="Times New Roman"/>
          <w:lang w:val="en-US"/>
        </w:rPr>
        <w:t>breeder_id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IS NOT NULL.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3 — Content Engagement and Purchases by Content Type (Combined Chart)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Bars show average time on page (seconds) per content type; the overlaid line shows total linked purchases (SUM of </w:t>
      </w:r>
      <w:proofErr w:type="spellStart"/>
      <w:r w:rsidRPr="003F2838">
        <w:rPr>
          <w:rFonts w:ascii="Times New Roman" w:hAnsi="Times New Roman" w:cs="Times New Roman"/>
          <w:lang w:val="en-US"/>
        </w:rPr>
        <w:t>is_purchase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). Dual Y-axis separates the two scales. Identifies which format (Blog, Video, Webinar, Care Guide, etc.) both retains attention and converts to sales. Filter: </w:t>
      </w:r>
      <w:proofErr w:type="spellStart"/>
      <w:r w:rsidRPr="003F2838">
        <w:rPr>
          <w:rFonts w:ascii="Times New Roman" w:hAnsi="Times New Roman" w:cs="Times New Roman"/>
          <w:lang w:val="en-US"/>
        </w:rPr>
        <w:t>content_type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IS NOT NULL.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4 — CAC by Paid Channel (Bar Chart)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Calculates Customer Acquisition Cost as </w:t>
      </w:r>
      <w:proofErr w:type="gramStart"/>
      <w:r w:rsidRPr="003F2838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ad_cost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) / COUNTD(registrations) for each paid traffic source. Shows the cost of acquiring one registered user via Google Ads, Telegram Ads, and Yandex Direct. Filter: </w:t>
      </w:r>
      <w:proofErr w:type="spellStart"/>
      <w:r w:rsidRPr="003F2838">
        <w:rPr>
          <w:rFonts w:ascii="Times New Roman" w:hAnsi="Times New Roman" w:cs="Times New Roman"/>
          <w:lang w:val="en-US"/>
        </w:rPr>
        <w:t>traffic_medium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"</w:t>
      </w:r>
      <w:proofErr w:type="spellStart"/>
      <w:r w:rsidRPr="003F2838">
        <w:rPr>
          <w:rFonts w:ascii="Times New Roman" w:hAnsi="Times New Roman" w:cs="Times New Roman"/>
          <w:lang w:val="en-US"/>
        </w:rPr>
        <w:t>cpc</w:t>
      </w:r>
      <w:proofErr w:type="spellEnd"/>
      <w:r w:rsidRPr="003F2838">
        <w:rPr>
          <w:rFonts w:ascii="Times New Roman" w:hAnsi="Times New Roman" w:cs="Times New Roman"/>
          <w:lang w:val="en-US"/>
        </w:rPr>
        <w:t>". Enables direct budget reallocation decisions.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5 — Breed Demand by City (Pivot Table / Heatmap)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lastRenderedPageBreak/>
        <w:t xml:space="preserve">A matrix of cities (rows) × breed categories (columns) with cell values = </w:t>
      </w:r>
      <w:proofErr w:type="gramStart"/>
      <w:r w:rsidRPr="003F2838">
        <w:rPr>
          <w:rFonts w:ascii="Times New Roman" w:hAnsi="Times New Roman" w:cs="Times New Roman"/>
          <w:lang w:val="en-US"/>
        </w:rPr>
        <w:t>COUNTD(</w:t>
      </w:r>
      <w:proofErr w:type="spellStart"/>
      <w:proofErr w:type="gramEnd"/>
      <w:r w:rsidRPr="003F2838">
        <w:rPr>
          <w:rFonts w:ascii="Times New Roman" w:hAnsi="Times New Roman" w:cs="Times New Roman"/>
          <w:lang w:val="en-US"/>
        </w:rPr>
        <w:t>event_id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). Cell </w:t>
      </w:r>
      <w:proofErr w:type="spellStart"/>
      <w:r w:rsidRPr="003F2838">
        <w:rPr>
          <w:rFonts w:ascii="Times New Roman" w:hAnsi="Times New Roman" w:cs="Times New Roman"/>
          <w:lang w:val="en-US"/>
        </w:rPr>
        <w:t>colour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intensity increases with demand volume, creating a heatmap effect. Filters: </w:t>
      </w:r>
      <w:proofErr w:type="spellStart"/>
      <w:r w:rsidRPr="003F2838">
        <w:rPr>
          <w:rFonts w:ascii="Times New Roman" w:hAnsi="Times New Roman" w:cs="Times New Roman"/>
          <w:lang w:val="en-US"/>
        </w:rPr>
        <w:t>event_type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IN (Pet View, Pet Purchase); </w:t>
      </w:r>
      <w:proofErr w:type="spellStart"/>
      <w:r w:rsidRPr="003F2838">
        <w:rPr>
          <w:rFonts w:ascii="Times New Roman" w:hAnsi="Times New Roman" w:cs="Times New Roman"/>
          <w:lang w:val="en-US"/>
        </w:rPr>
        <w:t>breed_category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IS NOT NULL. Guides breeder recruitment by showing which categories are undersupplied relative to demand.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6A — Repeat Customer Rate (Donut)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Shows the share of registered users who made more than one purchase (</w:t>
      </w:r>
      <w:proofErr w:type="spellStart"/>
      <w:r w:rsidRPr="003F2838">
        <w:rPr>
          <w:rFonts w:ascii="Times New Roman" w:hAnsi="Times New Roman" w:cs="Times New Roman"/>
          <w:lang w:val="en-US"/>
        </w:rPr>
        <w:t>is_repeat_buyer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= TRUE vs FALSE). Provides an immediate read on platform loyalty and the health of the retention funnel. Dataset: </w:t>
      </w:r>
      <w:proofErr w:type="spellStart"/>
      <w:r w:rsidRPr="003F2838">
        <w:rPr>
          <w:rFonts w:ascii="Times New Roman" w:hAnsi="Times New Roman" w:cs="Times New Roman"/>
          <w:lang w:val="en-US"/>
        </w:rPr>
        <w:t>users_ds</w:t>
      </w:r>
      <w:proofErr w:type="spellEnd"/>
      <w:r w:rsidRPr="003F2838">
        <w:rPr>
          <w:rFonts w:ascii="Times New Roman" w:hAnsi="Times New Roman" w:cs="Times New Roman"/>
          <w:lang w:val="en-US"/>
        </w:rPr>
        <w:t>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6B — Repeat Customers by City (Stacked Bar)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Breaks down repeat vs. first-time buyers by city. Reveals whether retention is a platform-wide issue or concentrated in specific geographies. Dataset: </w:t>
      </w:r>
      <w:proofErr w:type="spellStart"/>
      <w:r w:rsidRPr="003F2838">
        <w:rPr>
          <w:rFonts w:ascii="Times New Roman" w:hAnsi="Times New Roman" w:cs="Times New Roman"/>
          <w:lang w:val="en-US"/>
        </w:rPr>
        <w:t>users_ds</w:t>
      </w:r>
      <w:proofErr w:type="spellEnd"/>
      <w:r w:rsidRPr="003F2838">
        <w:rPr>
          <w:rFonts w:ascii="Times New Roman" w:hAnsi="Times New Roman" w:cs="Times New Roman"/>
          <w:lang w:val="en-US"/>
        </w:rPr>
        <w:t>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7A — Average Match with Expectations (KPI Indicator)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Displays the mean of </w:t>
      </w:r>
      <w:proofErr w:type="spellStart"/>
      <w:r w:rsidRPr="003F2838">
        <w:rPr>
          <w:rFonts w:ascii="Times New Roman" w:hAnsi="Times New Roman" w:cs="Times New Roman"/>
          <w:lang w:val="en-US"/>
        </w:rPr>
        <w:t>pet_matched_expectations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(1–5 scale, collected via post-purchase survey). Sourced from </w:t>
      </w:r>
      <w:proofErr w:type="spellStart"/>
      <w:r w:rsidRPr="003F2838">
        <w:rPr>
          <w:rFonts w:ascii="Times New Roman" w:hAnsi="Times New Roman" w:cs="Times New Roman"/>
          <w:lang w:val="en-US"/>
        </w:rPr>
        <w:t>transactions_ds</w:t>
      </w:r>
      <w:proofErr w:type="spellEnd"/>
      <w:r w:rsidRPr="003F2838">
        <w:rPr>
          <w:rFonts w:ascii="Times New Roman" w:hAnsi="Times New Roman" w:cs="Times New Roman"/>
          <w:lang w:val="en-US"/>
        </w:rPr>
        <w:t>, filtered to Pet Purchase events only. A score below 3.5 is the alarm trigger for matching algorithm review.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>Chart 7B — Pet Return Reasons by City (Bar Chart)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Shows the count of return events grouped by </w:t>
      </w:r>
      <w:proofErr w:type="spellStart"/>
      <w:r w:rsidRPr="003F2838">
        <w:rPr>
          <w:rFonts w:ascii="Times New Roman" w:hAnsi="Times New Roman" w:cs="Times New Roman"/>
          <w:lang w:val="en-US"/>
        </w:rPr>
        <w:t>return_reason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3F2838">
        <w:rPr>
          <w:rFonts w:ascii="Times New Roman" w:hAnsi="Times New Roman" w:cs="Times New Roman"/>
          <w:lang w:val="en-US"/>
        </w:rPr>
        <w:t>coloured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by city. Filter: </w:t>
      </w:r>
      <w:proofErr w:type="spellStart"/>
      <w:r w:rsidRPr="003F2838">
        <w:rPr>
          <w:rFonts w:ascii="Times New Roman" w:hAnsi="Times New Roman" w:cs="Times New Roman"/>
          <w:lang w:val="en-US"/>
        </w:rPr>
        <w:t>return_reason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IS NOT NULL. Diagnoses the root causes of returns (Breed Mismatch, Health Issue, Buyer Remorse, etc.) and their geographic distribution.</w:t>
      </w:r>
    </w:p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 xml:space="preserve">3.4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Filters</w:t>
      </w:r>
      <w:proofErr w:type="spellEnd"/>
      <w:r w:rsidRPr="003F2838">
        <w:rPr>
          <w:rFonts w:ascii="Times New Roman" w:hAnsi="Times New Roman" w:cs="Times New Roman"/>
          <w:b/>
          <w:bCs/>
          <w:color w:val="1B474D"/>
        </w:rPr>
        <w:t xml:space="preserve"> (5 </w:t>
      </w:r>
      <w:proofErr w:type="spellStart"/>
      <w:r w:rsidRPr="003F2838">
        <w:rPr>
          <w:rFonts w:ascii="Times New Roman" w:hAnsi="Times New Roman" w:cs="Times New Roman"/>
          <w:b/>
          <w:bCs/>
          <w:color w:val="1B474D"/>
        </w:rPr>
        <w:t>Selectors</w:t>
      </w:r>
      <w:proofErr w:type="spellEnd"/>
      <w:r w:rsidRPr="003F2838">
        <w:rPr>
          <w:rFonts w:ascii="Times New Roman" w:hAnsi="Times New Roman" w:cs="Times New Roman"/>
          <w:b/>
          <w:bCs/>
          <w:color w:val="1B474D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3071"/>
      </w:tblGrid>
      <w:tr w:rsidR="00104AFC" w:rsidRPr="003F2838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Applied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</w:t>
            </w:r>
            <w:proofErr w:type="spellEnd"/>
          </w:p>
        </w:tc>
      </w:tr>
      <w:tr w:rsidR="00104AFC" w:rsidRPr="002C14D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event_timestamp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calendar</w:t>
            </w:r>
            <w:proofErr w:type="spellEnd"/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charts on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transactions_ds</w:t>
            </w:r>
            <w:proofErr w:type="spellEnd"/>
          </w:p>
        </w:tc>
      </w:tr>
      <w:tr w:rsidR="00104AFC" w:rsidRPr="003F283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Multi-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All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charts</w:t>
            </w:r>
            <w:proofErr w:type="spellEnd"/>
          </w:p>
        </w:tc>
      </w:tr>
      <w:tr w:rsidR="00104AFC" w:rsidRPr="002C14D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Device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device_type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Multi-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charts on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transactions_ds</w:t>
            </w:r>
            <w:proofErr w:type="spellEnd"/>
          </w:p>
        </w:tc>
      </w:tr>
      <w:tr w:rsidR="00104AFC" w:rsidRPr="002C14D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Traffic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traffic_source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Multi-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All charts on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transactions_ds</w:t>
            </w:r>
            <w:proofErr w:type="spellEnd"/>
          </w:p>
        </w:tc>
      </w:tr>
      <w:tr w:rsidR="00104AFC" w:rsidRPr="003F283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Breed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breed_category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Multi-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3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only</w:t>
            </w:r>
            <w:proofErr w:type="spellEnd"/>
          </w:p>
        </w:tc>
      </w:tr>
    </w:tbl>
    <w:p w:rsidR="00104AFC" w:rsidRPr="003F2838" w:rsidRDefault="00000000">
      <w:pPr>
        <w:spacing w:before="280" w:after="12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1B474D"/>
        </w:rPr>
        <w:t>3.5 Update Frequency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The dashboard currently uses static CSV files. Data is refreshed manually when a new CSV export is uploaded to the </w:t>
      </w:r>
      <w:proofErr w:type="spellStart"/>
      <w:r w:rsidRPr="003F2838">
        <w:rPr>
          <w:rFonts w:ascii="Times New Roman" w:hAnsi="Times New Roman" w:cs="Times New Roman"/>
          <w:lang w:val="en-US"/>
        </w:rPr>
        <w:t>DataLens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connection. In a production environment this would be replaced by a live database connection with a nightly automated refresh (every 24 hours).</w:t>
      </w:r>
    </w:p>
    <w:p w:rsidR="00104AFC" w:rsidRPr="003F2838" w:rsidRDefault="00000000">
      <w:pPr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br w:type="page"/>
      </w: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</w:rPr>
        <w:lastRenderedPageBreak/>
        <w:t>PART 4 — DASHBOARD SCREENSHOT</w:t>
      </w:r>
    </w:p>
    <w:p w:rsidR="00104AFC" w:rsidRPr="003F2838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noProof/>
        </w:rPr>
        <w:drawing>
          <wp:inline distT="0" distB="0" distL="0" distR="0">
            <wp:extent cx="4586663" cy="2733675"/>
            <wp:effectExtent l="0" t="0" r="0" b="0"/>
            <wp:docPr id="1" name="petconnect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tconnect-dashboar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6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C" w:rsidRPr="003F2838" w:rsidRDefault="00000000">
      <w:pPr>
        <w:spacing w:before="80" w:after="160"/>
        <w:jc w:val="center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 xml:space="preserve">Fig. 1 — </w:t>
      </w:r>
      <w:proofErr w:type="spellStart"/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>PetConnect</w:t>
      </w:r>
      <w:proofErr w:type="spellEnd"/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 xml:space="preserve"> Dashboard, Yandex </w:t>
      </w:r>
      <w:proofErr w:type="spellStart"/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>DataLens</w:t>
      </w:r>
      <w:proofErr w:type="spellEnd"/>
    </w:p>
    <w:p w:rsidR="00104AFC" w:rsidRPr="003F2838" w:rsidRDefault="00000000" w:rsidP="003F2838">
      <w:pPr>
        <w:spacing w:before="120"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Public </w:t>
      </w:r>
      <w:proofErr w:type="spellStart"/>
      <w:r w:rsidRPr="003F2838">
        <w:rPr>
          <w:rFonts w:ascii="Times New Roman" w:hAnsi="Times New Roman" w:cs="Times New Roman"/>
          <w:b/>
          <w:bCs/>
          <w:lang w:val="en-US"/>
        </w:rPr>
        <w:t>DataLens</w:t>
      </w:r>
      <w:proofErr w:type="spellEnd"/>
      <w:r w:rsidRPr="003F2838">
        <w:rPr>
          <w:rFonts w:ascii="Times New Roman" w:hAnsi="Times New Roman" w:cs="Times New Roman"/>
          <w:b/>
          <w:bCs/>
          <w:lang w:val="en-US"/>
        </w:rPr>
        <w:t xml:space="preserve"> link: </w:t>
      </w:r>
      <w:hyperlink r:id="rId10" w:history="1">
        <w:r w:rsidR="00104AFC" w:rsidRPr="003F2838">
          <w:rPr>
            <w:rStyle w:val="a5"/>
            <w:rFonts w:ascii="Times New Roman" w:hAnsi="Times New Roman" w:cs="Times New Roman"/>
            <w:b/>
            <w:bCs/>
            <w:lang w:val="en-US"/>
          </w:rPr>
          <w:t>https://datalen</w:t>
        </w:r>
        <w:r w:rsidR="00104AFC" w:rsidRPr="003F2838">
          <w:rPr>
            <w:rStyle w:val="a5"/>
            <w:rFonts w:ascii="Times New Roman" w:hAnsi="Times New Roman" w:cs="Times New Roman"/>
            <w:b/>
            <w:bCs/>
            <w:lang w:val="en-US"/>
          </w:rPr>
          <w:t>s</w:t>
        </w:r>
        <w:r w:rsidR="00104AFC" w:rsidRPr="003F2838">
          <w:rPr>
            <w:rStyle w:val="a5"/>
            <w:rFonts w:ascii="Times New Roman" w:hAnsi="Times New Roman" w:cs="Times New Roman"/>
            <w:b/>
            <w:bCs/>
            <w:lang w:val="en-US"/>
          </w:rPr>
          <w:t>.yandex/58r6ygh21cw6p</w:t>
        </w:r>
      </w:hyperlink>
    </w:p>
    <w:p w:rsidR="003F2838" w:rsidRPr="003F2838" w:rsidRDefault="003F2838">
      <w:pPr>
        <w:rPr>
          <w:rFonts w:ascii="Times New Roman" w:hAnsi="Times New Roman" w:cs="Times New Roman"/>
          <w:b/>
          <w:bCs/>
          <w:color w:val="01696F"/>
          <w:sz w:val="26"/>
          <w:szCs w:val="26"/>
          <w:lang w:val="en-US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  <w:lang w:val="en-US"/>
        </w:rPr>
        <w:br w:type="page"/>
      </w: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  <w:lang w:val="en-US"/>
        </w:rPr>
        <w:lastRenderedPageBreak/>
        <w:t>PART 5 — ALARM SYSTEM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Alarms are not technically implemented in </w:t>
      </w:r>
      <w:proofErr w:type="spellStart"/>
      <w:r w:rsidRPr="003F2838">
        <w:rPr>
          <w:rFonts w:ascii="Times New Roman" w:hAnsi="Times New Roman" w:cs="Times New Roman"/>
          <w:lang w:val="en-US"/>
        </w:rPr>
        <w:t>DataLens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(the free tier does not support native alerting), but the following thresholds are defined for operational monitoring. Each alarm is readable directly from the dashboard without additional calculations.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700"/>
        <w:gridCol w:w="1000"/>
        <w:gridCol w:w="1200"/>
        <w:gridCol w:w="2200"/>
        <w:gridCol w:w="2571"/>
      </w:tblGrid>
      <w:tr w:rsidR="00104AFC" w:rsidRPr="003F2838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Visible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Why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matters</w:t>
            </w:r>
            <w:proofErr w:type="spellEnd"/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696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Recommended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</w:t>
            </w:r>
            <w:proofErr w:type="spellEnd"/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Purchase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conversion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&lt; 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Below 2% suggests a fundamental onboarding or trust barrier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Audit email nurture sequence; add in-app prompts after registration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CAC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Telegram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&gt; 3,000 RUB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per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Telegram is a high-cost channel; above 3K makes it unprofitable vs. organic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Pause campaign; A/B test new creative and audience targeting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CAC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Yandex Direct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&gt; 2,500 RUB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per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Indicates keyword bidding is too aggressive or landing page conversion is low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Reduce max CPC bids; shift budget to retargeting campaigns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CAC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Google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&gt; 2,000 RUB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per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Google typically has higher intent; above 2K suggests targeting drift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Review search term report; exclude irrelevant queries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Average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pet-match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KPI 7A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&lt; 3.5 /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score below 3.5 means the matching algorithm is producing mismatches at scale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Expand breed-matching questionnaire; review breeder listing quality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Return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&gt; 5%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purchases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Above 5% indicates systemic quality issues, not random events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Trigger breeder quality audit; strengthen health certification checks</w:t>
            </w:r>
          </w:p>
        </w:tc>
      </w:tr>
      <w:tr w:rsidR="00104AFC" w:rsidRPr="002C14DD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Repeat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buyer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6A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&lt; 15%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all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buyers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Signals that post-purchase engagement is failing</w:t>
            </w:r>
          </w:p>
        </w:tc>
        <w:tc>
          <w:tcPr>
            <w:tcW w:w="25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Launch post-purchase email flow; introduce loyalty discount on supplies</w:t>
            </w:r>
          </w:p>
        </w:tc>
      </w:tr>
    </w:tbl>
    <w:p w:rsidR="00104AFC" w:rsidRPr="003F2838" w:rsidRDefault="00000000">
      <w:pPr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br w:type="page"/>
      </w:r>
    </w:p>
    <w:p w:rsidR="00104AFC" w:rsidRPr="003F2838" w:rsidRDefault="00000000">
      <w:pPr>
        <w:pBdr>
          <w:bottom w:val="single" w:sz="2" w:space="4" w:color="01696F"/>
        </w:pBdr>
        <w:spacing w:before="360" w:after="160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color w:val="01696F"/>
          <w:sz w:val="26"/>
          <w:szCs w:val="26"/>
        </w:rPr>
        <w:lastRenderedPageBreak/>
        <w:t>PART 6 — PEER REVIEW</w:t>
      </w:r>
    </w:p>
    <w:p w:rsidR="00104AFC" w:rsidRPr="003F2838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noProof/>
        </w:rPr>
        <w:drawing>
          <wp:inline distT="0" distB="0" distL="0" distR="0">
            <wp:extent cx="5038725" cy="2828925"/>
            <wp:effectExtent l="0" t="0" r="0" b="0"/>
            <wp:docPr id="1248851679" name="medoxy-dashboard" descr="Screenshot of Sameer's Medoxy Health dashboard in Power BI" title="Medoxy Health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FC" w:rsidRPr="003F2838" w:rsidRDefault="00000000">
      <w:pPr>
        <w:spacing w:before="80" w:after="160"/>
        <w:jc w:val="center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 xml:space="preserve">Fig. 2 — </w:t>
      </w:r>
      <w:proofErr w:type="spellStart"/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>Medoxy</w:t>
      </w:r>
      <w:proofErr w:type="spellEnd"/>
      <w:r w:rsidRPr="003F2838">
        <w:rPr>
          <w:rFonts w:ascii="Times New Roman" w:hAnsi="Times New Roman" w:cs="Times New Roman"/>
          <w:i/>
          <w:iCs/>
          <w:color w:val="888888"/>
          <w:sz w:val="20"/>
          <w:szCs w:val="20"/>
          <w:lang w:val="en-US"/>
        </w:rPr>
        <w:t xml:space="preserve"> Health Dashboard (Sameer's team)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</w:tblGrid>
      <w:tr w:rsidR="00104AFC" w:rsidRPr="003F2838">
        <w:tc>
          <w:tcPr>
            <w:tcW w:w="24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>Reviewer</w:t>
            </w:r>
            <w:proofErr w:type="spellEnd"/>
          </w:p>
        </w:tc>
        <w:tc>
          <w:tcPr>
            <w:tcW w:w="46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Daria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Denisova</w:t>
            </w:r>
            <w:proofErr w:type="spellEnd"/>
          </w:p>
        </w:tc>
      </w:tr>
      <w:tr w:rsidR="00104AFC" w:rsidRPr="002C14DD">
        <w:tc>
          <w:tcPr>
            <w:tcW w:w="24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>Dashboard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>reviewed</w:t>
            </w:r>
            <w:proofErr w:type="spellEnd"/>
          </w:p>
        </w:tc>
        <w:tc>
          <w:tcPr>
            <w:tcW w:w="46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Medoxy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Health — Medical Oxygen Inventory &amp; Demand Management (Sameer's team)</w:t>
            </w:r>
          </w:p>
        </w:tc>
      </w:tr>
      <w:tr w:rsidR="00104AFC" w:rsidRPr="003F2838">
        <w:tc>
          <w:tcPr>
            <w:tcW w:w="24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>Tool</w:t>
            </w:r>
          </w:p>
        </w:tc>
        <w:tc>
          <w:tcPr>
            <w:tcW w:w="46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Power BI</w:t>
            </w:r>
          </w:p>
        </w:tc>
      </w:tr>
      <w:tr w:rsidR="00104AFC" w:rsidRPr="003F2838">
        <w:tc>
          <w:tcPr>
            <w:tcW w:w="24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888888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600" w:type="dxa"/>
            <w:shd w:val="clear" w:color="auto" w:fill="F8F8F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04AFC" w:rsidRPr="003F283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>March</w:t>
            </w:r>
            <w:proofErr w:type="spellEnd"/>
            <w:r w:rsidRPr="003F2838">
              <w:rPr>
                <w:rFonts w:ascii="Times New Roman" w:hAnsi="Times New Roman" w:cs="Times New Roman"/>
                <w:sz w:val="20"/>
                <w:szCs w:val="20"/>
              </w:rPr>
              <w:t xml:space="preserve"> 22, 2026</w:t>
            </w:r>
          </w:p>
        </w:tc>
      </w:tr>
    </w:tbl>
    <w:p w:rsidR="00104AFC" w:rsidRPr="003F2838" w:rsidRDefault="00104AFC">
      <w:pPr>
        <w:spacing w:before="200"/>
        <w:rPr>
          <w:rFonts w:ascii="Times New Roman" w:hAnsi="Times New Roman" w:cs="Times New Roman"/>
        </w:rPr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104AFC" w:rsidRPr="003F2838">
        <w:tc>
          <w:tcPr>
            <w:tcW w:w="4000" w:type="dxa"/>
            <w:tcBorders>
              <w:top w:val="single" w:sz="2" w:space="0" w:color="01696F"/>
              <w:left w:val="single" w:sz="2" w:space="0" w:color="01696F"/>
              <w:bottom w:val="single" w:sz="2" w:space="0" w:color="01696F"/>
              <w:right w:val="single" w:sz="2" w:space="0" w:color="01696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4AFC" w:rsidRPr="003F2838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>Overall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 xml:space="preserve"> </w:t>
            </w:r>
            <w:proofErr w:type="spellStart"/>
            <w:r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>rating</w:t>
            </w:r>
            <w:proofErr w:type="spellEnd"/>
            <w:r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 xml:space="preserve">: </w:t>
            </w:r>
            <w:r w:rsidR="003F2838"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>4</w:t>
            </w:r>
            <w:r w:rsidRPr="003F2838">
              <w:rPr>
                <w:rFonts w:ascii="Times New Roman" w:hAnsi="Times New Roman" w:cs="Times New Roman"/>
                <w:b/>
                <w:bCs/>
                <w:color w:val="01696F"/>
                <w:sz w:val="26"/>
                <w:szCs w:val="26"/>
              </w:rPr>
              <w:t xml:space="preserve"> / 5</w:t>
            </w:r>
          </w:p>
        </w:tc>
      </w:tr>
    </w:tbl>
    <w:p w:rsidR="00104AFC" w:rsidRPr="003F2838" w:rsidRDefault="00104AFC">
      <w:pPr>
        <w:spacing w:before="200"/>
        <w:rPr>
          <w:rFonts w:ascii="Times New Roman" w:hAnsi="Times New Roman" w:cs="Times New Roman"/>
        </w:rPr>
      </w:pP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3F2838">
        <w:rPr>
          <w:rFonts w:ascii="Times New Roman" w:hAnsi="Times New Roman" w:cs="Times New Roman"/>
          <w:lang w:val="en-US"/>
        </w:rPr>
        <w:t>Medoxy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Health dashboard addresses a genuinely critical operational problem — managing medical oxygen supply in a hospital — and communicates urgency effectively through its dark red-gradient design. The 7-day forecast line chart is the standout element: it immediately shows a supply dip near Dec 26–27 that would require emergency procurement, which is precisely the kind of actionable intelligence a supply manager needs. The Inventory Risk Indicator gauge translates a risk score into a </w:t>
      </w:r>
      <w:proofErr w:type="spellStart"/>
      <w:r w:rsidRPr="003F2838">
        <w:rPr>
          <w:rFonts w:ascii="Times New Roman" w:hAnsi="Times New Roman" w:cs="Times New Roman"/>
          <w:lang w:val="en-US"/>
        </w:rPr>
        <w:t>colour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-coded dial (yellow = caution) that requires no explanation — a strong alarm </w:t>
      </w:r>
      <w:proofErr w:type="spellStart"/>
      <w:r w:rsidRPr="003F2838">
        <w:rPr>
          <w:rFonts w:ascii="Times New Roman" w:hAnsi="Times New Roman" w:cs="Times New Roman"/>
          <w:lang w:val="en-US"/>
        </w:rPr>
        <w:t>visualisation</w:t>
      </w:r>
      <w:proofErr w:type="spellEnd"/>
      <w:r w:rsidRPr="003F2838">
        <w:rPr>
          <w:rFonts w:ascii="Times New Roman" w:hAnsi="Times New Roman" w:cs="Times New Roman"/>
          <w:lang w:val="en-US"/>
        </w:rPr>
        <w:t>. The department breakdown in the donut chart (Emergency 54.96%, ICU 24.82%, Surgery 20.22%) correctly disaggregates demand by decision unit.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3F2838">
        <w:rPr>
          <w:rFonts w:ascii="Times New Roman" w:hAnsi="Times New Roman" w:cs="Times New Roman"/>
          <w:b/>
          <w:bCs/>
        </w:rPr>
        <w:t>Main</w:t>
      </w:r>
      <w:proofErr w:type="spellEnd"/>
      <w:r w:rsidRPr="003F28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2838">
        <w:rPr>
          <w:rFonts w:ascii="Times New Roman" w:hAnsi="Times New Roman" w:cs="Times New Roman"/>
          <w:b/>
          <w:bCs/>
        </w:rPr>
        <w:t>areas</w:t>
      </w:r>
      <w:proofErr w:type="spellEnd"/>
      <w:r w:rsidRPr="003F28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2838">
        <w:rPr>
          <w:rFonts w:ascii="Times New Roman" w:hAnsi="Times New Roman" w:cs="Times New Roman"/>
          <w:b/>
          <w:bCs/>
        </w:rPr>
        <w:t>for</w:t>
      </w:r>
      <w:proofErr w:type="spellEnd"/>
      <w:r w:rsidRPr="003F28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2838">
        <w:rPr>
          <w:rFonts w:ascii="Times New Roman" w:hAnsi="Times New Roman" w:cs="Times New Roman"/>
          <w:b/>
          <w:bCs/>
        </w:rPr>
        <w:t>improvement</w:t>
      </w:r>
      <w:proofErr w:type="spellEnd"/>
      <w:r w:rsidRPr="003F2838">
        <w:rPr>
          <w:rFonts w:ascii="Times New Roman" w:hAnsi="Times New Roman" w:cs="Times New Roman"/>
          <w:b/>
          <w:bCs/>
        </w:rPr>
        <w:t>:</w:t>
      </w:r>
    </w:p>
    <w:p w:rsidR="00104AFC" w:rsidRPr="003F2838" w:rsidRDefault="00000000">
      <w:pPr>
        <w:pStyle w:val="a4"/>
        <w:numPr>
          <w:ilvl w:val="0"/>
          <w:numId w:val="5"/>
        </w:numPr>
        <w:spacing w:after="10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Title names the company, not the problem. </w:t>
      </w:r>
      <w:r w:rsidRPr="003F2838">
        <w:rPr>
          <w:rFonts w:ascii="Times New Roman" w:hAnsi="Times New Roman" w:cs="Times New Roman"/>
          <w:lang w:val="en-US"/>
        </w:rPr>
        <w:t>"</w:t>
      </w:r>
      <w:proofErr w:type="spellStart"/>
      <w:r w:rsidRPr="003F2838">
        <w:rPr>
          <w:rFonts w:ascii="Times New Roman" w:hAnsi="Times New Roman" w:cs="Times New Roman"/>
          <w:lang w:val="en-US"/>
        </w:rPr>
        <w:t>Medoxy</w:t>
      </w:r>
      <w:proofErr w:type="spellEnd"/>
      <w:r w:rsidRPr="003F2838">
        <w:rPr>
          <w:rFonts w:ascii="Times New Roman" w:hAnsi="Times New Roman" w:cs="Times New Roman"/>
          <w:lang w:val="en-US"/>
        </w:rPr>
        <w:t xml:space="preserve"> Health" tells the viewer nothing about what to monitor. A title like "Oxygen Inventory &amp; Demand Forecast — Dec 2024" would communicate purpose immediately, as recommended in the course guidelines.</w:t>
      </w:r>
    </w:p>
    <w:p w:rsidR="00104AFC" w:rsidRPr="003F2838" w:rsidRDefault="00000000">
      <w:pPr>
        <w:pStyle w:val="a4"/>
        <w:numPr>
          <w:ilvl w:val="0"/>
          <w:numId w:val="5"/>
        </w:numPr>
        <w:spacing w:after="10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KPI cards have no context. </w:t>
      </w:r>
      <w:r w:rsidRPr="003F2838">
        <w:rPr>
          <w:rFonts w:ascii="Times New Roman" w:hAnsi="Times New Roman" w:cs="Times New Roman"/>
          <w:lang w:val="en-US"/>
        </w:rPr>
        <w:t>Inventory = 455, Available Supply = 4.82 days — a manager cannot judge whether these are safe or alarming without a baseline. Adding a delta vs. yesterday (e.g., "↓ 1.2 days") or a reference line (minimum safe = 7 days) would make each number actionable at a glance.</w:t>
      </w:r>
    </w:p>
    <w:p w:rsidR="00104AFC" w:rsidRPr="003F2838" w:rsidRDefault="00000000">
      <w:pPr>
        <w:pStyle w:val="a4"/>
        <w:numPr>
          <w:ilvl w:val="0"/>
          <w:numId w:val="5"/>
        </w:numPr>
        <w:spacing w:after="100" w:line="276" w:lineRule="auto"/>
        <w:rPr>
          <w:rFonts w:ascii="Times New Roman" w:hAnsi="Times New Roman" w:cs="Times New Roman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lastRenderedPageBreak/>
        <w:t xml:space="preserve">"General Ward" appears in the legend but not in the chart. </w:t>
      </w:r>
      <w:r w:rsidRPr="003F2838">
        <w:rPr>
          <w:rFonts w:ascii="Times New Roman" w:hAnsi="Times New Roman" w:cs="Times New Roman"/>
          <w:lang w:val="en-US"/>
        </w:rPr>
        <w:t xml:space="preserve">The donut chart legend lists four departments including General Ward, but only three are visible with percentages. </w:t>
      </w:r>
      <w:proofErr w:type="spellStart"/>
      <w:r w:rsidRPr="003F2838">
        <w:rPr>
          <w:rFonts w:ascii="Times New Roman" w:hAnsi="Times New Roman" w:cs="Times New Roman"/>
        </w:rPr>
        <w:t>This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creates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confusion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and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undermines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trust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in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the</w:t>
      </w:r>
      <w:proofErr w:type="spellEnd"/>
      <w:r w:rsidRPr="003F2838">
        <w:rPr>
          <w:rFonts w:ascii="Times New Roman" w:hAnsi="Times New Roman" w:cs="Times New Roman"/>
        </w:rPr>
        <w:t xml:space="preserve"> </w:t>
      </w:r>
      <w:proofErr w:type="spellStart"/>
      <w:r w:rsidRPr="003F2838">
        <w:rPr>
          <w:rFonts w:ascii="Times New Roman" w:hAnsi="Times New Roman" w:cs="Times New Roman"/>
        </w:rPr>
        <w:t>data</w:t>
      </w:r>
      <w:proofErr w:type="spellEnd"/>
      <w:r w:rsidRPr="003F2838">
        <w:rPr>
          <w:rFonts w:ascii="Times New Roman" w:hAnsi="Times New Roman" w:cs="Times New Roman"/>
        </w:rPr>
        <w:t>.</w:t>
      </w:r>
    </w:p>
    <w:p w:rsidR="00104AFC" w:rsidRPr="003F2838" w:rsidRDefault="00000000">
      <w:pPr>
        <w:pStyle w:val="a4"/>
        <w:numPr>
          <w:ilvl w:val="0"/>
          <w:numId w:val="5"/>
        </w:numPr>
        <w:spacing w:after="10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b/>
          <w:bCs/>
          <w:lang w:val="en-US"/>
        </w:rPr>
        <w:t xml:space="preserve">No time filter visible. </w:t>
      </w:r>
      <w:r w:rsidRPr="003F2838">
        <w:rPr>
          <w:rFonts w:ascii="Times New Roman" w:hAnsi="Times New Roman" w:cs="Times New Roman"/>
          <w:lang w:val="en-US"/>
        </w:rPr>
        <w:t>The forecast shows one fixed week (Dec 24–30) with no way to shift the window. A date range selector would make the dashboard reusable beyond its current snapshot.</w:t>
      </w:r>
    </w:p>
    <w:p w:rsidR="00104AFC" w:rsidRPr="003F2838" w:rsidRDefault="00000000">
      <w:pPr>
        <w:spacing w:after="120" w:line="276" w:lineRule="auto"/>
        <w:rPr>
          <w:rFonts w:ascii="Times New Roman" w:hAnsi="Times New Roman" w:cs="Times New Roman"/>
          <w:lang w:val="en-US"/>
        </w:rPr>
      </w:pPr>
      <w:r w:rsidRPr="003F2838">
        <w:rPr>
          <w:rFonts w:ascii="Times New Roman" w:hAnsi="Times New Roman" w:cs="Times New Roman"/>
          <w:lang w:val="en-US"/>
        </w:rPr>
        <w:t>Overall, the dashboard has strong visual design and a clear operational focus. Fixing the title, adding benchmark context to KPIs, and introducing a time filter would bring it to a high professional standard.</w:t>
      </w:r>
    </w:p>
    <w:sectPr w:rsidR="00104AFC" w:rsidRPr="003F2838">
      <w:headerReference w:type="default" r:id="rId12"/>
      <w:footerReference w:type="default" r:id="rId13"/>
      <w:headerReference w:type="first" r:id="rId14"/>
      <w:pgSz w:w="11906" w:h="16838"/>
      <w:pgMar w:top="1417" w:right="1134" w:bottom="1417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C0CEE" w:rsidRDefault="00BC0CEE">
      <w:r>
        <w:separator/>
      </w:r>
    </w:p>
  </w:endnote>
  <w:endnote w:type="continuationSeparator" w:id="0">
    <w:p w:rsidR="00BC0CEE" w:rsidRDefault="00BC0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04AFC" w:rsidRDefault="00000000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F283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C0CEE" w:rsidRDefault="00BC0CEE">
      <w:r>
        <w:separator/>
      </w:r>
    </w:p>
  </w:footnote>
  <w:footnote w:type="continuationSeparator" w:id="0">
    <w:p w:rsidR="00BC0CEE" w:rsidRDefault="00BC0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04AFC" w:rsidRDefault="00000000">
    <w:proofErr w:type="spellStart"/>
    <w:r>
      <w:rPr>
        <w:color w:val="888888"/>
        <w:sz w:val="18"/>
        <w:szCs w:val="18"/>
      </w:rPr>
      <w:t>PetConnect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Assignment</w:t>
    </w:r>
    <w:proofErr w:type="spellEnd"/>
    <w:r>
      <w:rPr>
        <w:color w:val="888888"/>
        <w:sz w:val="18"/>
        <w:szCs w:val="18"/>
      </w:rPr>
      <w:t xml:space="preserve">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04AFC" w:rsidRDefault="00104A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0D0170"/>
    <w:multiLevelType w:val="hybridMultilevel"/>
    <w:tmpl w:val="B4524054"/>
    <w:lvl w:ilvl="0" w:tplc="635EA192">
      <w:start w:val="1"/>
      <w:numFmt w:val="decimal"/>
      <w:lvlText w:val="%1."/>
      <w:lvlJc w:val="left"/>
      <w:pPr>
        <w:ind w:left="720" w:hanging="360"/>
      </w:pPr>
    </w:lvl>
    <w:lvl w:ilvl="1" w:tplc="E3D87EE6">
      <w:numFmt w:val="decimal"/>
      <w:lvlText w:val=""/>
      <w:lvlJc w:val="left"/>
    </w:lvl>
    <w:lvl w:ilvl="2" w:tplc="CCF8BC50">
      <w:numFmt w:val="decimal"/>
      <w:lvlText w:val=""/>
      <w:lvlJc w:val="left"/>
    </w:lvl>
    <w:lvl w:ilvl="3" w:tplc="D2EEA610">
      <w:numFmt w:val="decimal"/>
      <w:lvlText w:val=""/>
      <w:lvlJc w:val="left"/>
    </w:lvl>
    <w:lvl w:ilvl="4" w:tplc="33C8CC2C">
      <w:numFmt w:val="decimal"/>
      <w:lvlText w:val=""/>
      <w:lvlJc w:val="left"/>
    </w:lvl>
    <w:lvl w:ilvl="5" w:tplc="29367A9E">
      <w:numFmt w:val="decimal"/>
      <w:lvlText w:val=""/>
      <w:lvlJc w:val="left"/>
    </w:lvl>
    <w:lvl w:ilvl="6" w:tplc="6B7498F0">
      <w:numFmt w:val="decimal"/>
      <w:lvlText w:val=""/>
      <w:lvlJc w:val="left"/>
    </w:lvl>
    <w:lvl w:ilvl="7" w:tplc="95B4BE42">
      <w:numFmt w:val="decimal"/>
      <w:lvlText w:val=""/>
      <w:lvlJc w:val="left"/>
    </w:lvl>
    <w:lvl w:ilvl="8" w:tplc="8B8609F6">
      <w:numFmt w:val="decimal"/>
      <w:lvlText w:val=""/>
      <w:lvlJc w:val="left"/>
    </w:lvl>
  </w:abstractNum>
  <w:abstractNum w:abstractNumId="1" w15:restartNumberingAfterBreak="0">
    <w:nsid w:val="50AE78E9"/>
    <w:multiLevelType w:val="hybridMultilevel"/>
    <w:tmpl w:val="C0482C04"/>
    <w:lvl w:ilvl="0" w:tplc="18F01C6C">
      <w:start w:val="1"/>
      <w:numFmt w:val="bullet"/>
      <w:lvlText w:val="●"/>
      <w:lvlJc w:val="left"/>
      <w:pPr>
        <w:ind w:left="720" w:hanging="360"/>
      </w:pPr>
    </w:lvl>
    <w:lvl w:ilvl="1" w:tplc="B8C29D64">
      <w:start w:val="1"/>
      <w:numFmt w:val="bullet"/>
      <w:lvlText w:val="○"/>
      <w:lvlJc w:val="left"/>
      <w:pPr>
        <w:ind w:left="1440" w:hanging="360"/>
      </w:pPr>
    </w:lvl>
    <w:lvl w:ilvl="2" w:tplc="9FC00070">
      <w:start w:val="1"/>
      <w:numFmt w:val="bullet"/>
      <w:lvlText w:val="■"/>
      <w:lvlJc w:val="left"/>
      <w:pPr>
        <w:ind w:left="2160" w:hanging="360"/>
      </w:pPr>
    </w:lvl>
    <w:lvl w:ilvl="3" w:tplc="127A16F2">
      <w:start w:val="1"/>
      <w:numFmt w:val="bullet"/>
      <w:lvlText w:val="●"/>
      <w:lvlJc w:val="left"/>
      <w:pPr>
        <w:ind w:left="2880" w:hanging="360"/>
      </w:pPr>
    </w:lvl>
    <w:lvl w:ilvl="4" w:tplc="83BEA84E">
      <w:start w:val="1"/>
      <w:numFmt w:val="bullet"/>
      <w:lvlText w:val="○"/>
      <w:lvlJc w:val="left"/>
      <w:pPr>
        <w:ind w:left="3600" w:hanging="360"/>
      </w:pPr>
    </w:lvl>
    <w:lvl w:ilvl="5" w:tplc="5DBC9348">
      <w:start w:val="1"/>
      <w:numFmt w:val="bullet"/>
      <w:lvlText w:val="■"/>
      <w:lvlJc w:val="left"/>
      <w:pPr>
        <w:ind w:left="4320" w:hanging="360"/>
      </w:pPr>
    </w:lvl>
    <w:lvl w:ilvl="6" w:tplc="A088221E">
      <w:start w:val="1"/>
      <w:numFmt w:val="bullet"/>
      <w:lvlText w:val="●"/>
      <w:lvlJc w:val="left"/>
      <w:pPr>
        <w:ind w:left="5040" w:hanging="360"/>
      </w:pPr>
    </w:lvl>
    <w:lvl w:ilvl="7" w:tplc="44282A9A">
      <w:start w:val="1"/>
      <w:numFmt w:val="bullet"/>
      <w:lvlText w:val="●"/>
      <w:lvlJc w:val="left"/>
      <w:pPr>
        <w:ind w:left="5760" w:hanging="360"/>
      </w:pPr>
    </w:lvl>
    <w:lvl w:ilvl="8" w:tplc="D56E9B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2D013B"/>
    <w:multiLevelType w:val="hybridMultilevel"/>
    <w:tmpl w:val="C5CC9A64"/>
    <w:lvl w:ilvl="0" w:tplc="93A6E144">
      <w:start w:val="1"/>
      <w:numFmt w:val="decimal"/>
      <w:lvlText w:val="%1."/>
      <w:lvlJc w:val="left"/>
      <w:pPr>
        <w:ind w:left="720" w:hanging="360"/>
      </w:pPr>
    </w:lvl>
    <w:lvl w:ilvl="1" w:tplc="818EADAA">
      <w:numFmt w:val="decimal"/>
      <w:lvlText w:val=""/>
      <w:lvlJc w:val="left"/>
    </w:lvl>
    <w:lvl w:ilvl="2" w:tplc="098A6FF4">
      <w:numFmt w:val="decimal"/>
      <w:lvlText w:val=""/>
      <w:lvlJc w:val="left"/>
    </w:lvl>
    <w:lvl w:ilvl="3" w:tplc="556EF798">
      <w:numFmt w:val="decimal"/>
      <w:lvlText w:val=""/>
      <w:lvlJc w:val="left"/>
    </w:lvl>
    <w:lvl w:ilvl="4" w:tplc="0E68E722">
      <w:numFmt w:val="decimal"/>
      <w:lvlText w:val=""/>
      <w:lvlJc w:val="left"/>
    </w:lvl>
    <w:lvl w:ilvl="5" w:tplc="C976708E">
      <w:numFmt w:val="decimal"/>
      <w:lvlText w:val=""/>
      <w:lvlJc w:val="left"/>
    </w:lvl>
    <w:lvl w:ilvl="6" w:tplc="88DE2338">
      <w:numFmt w:val="decimal"/>
      <w:lvlText w:val=""/>
      <w:lvlJc w:val="left"/>
    </w:lvl>
    <w:lvl w:ilvl="7" w:tplc="86DAEF08">
      <w:numFmt w:val="decimal"/>
      <w:lvlText w:val=""/>
      <w:lvlJc w:val="left"/>
    </w:lvl>
    <w:lvl w:ilvl="8" w:tplc="D014337A">
      <w:numFmt w:val="decimal"/>
      <w:lvlText w:val=""/>
      <w:lvlJc w:val="left"/>
    </w:lvl>
  </w:abstractNum>
  <w:abstractNum w:abstractNumId="3" w15:restartNumberingAfterBreak="0">
    <w:nsid w:val="6CF42DF9"/>
    <w:multiLevelType w:val="hybridMultilevel"/>
    <w:tmpl w:val="D3E216F2"/>
    <w:lvl w:ilvl="0" w:tplc="B824BAB2">
      <w:start w:val="1"/>
      <w:numFmt w:val="bullet"/>
      <w:lvlText w:val="•"/>
      <w:lvlJc w:val="left"/>
      <w:pPr>
        <w:ind w:left="720" w:hanging="360"/>
      </w:pPr>
    </w:lvl>
    <w:lvl w:ilvl="1" w:tplc="D74C2890">
      <w:numFmt w:val="decimal"/>
      <w:lvlText w:val=""/>
      <w:lvlJc w:val="left"/>
    </w:lvl>
    <w:lvl w:ilvl="2" w:tplc="8C3C6850">
      <w:numFmt w:val="decimal"/>
      <w:lvlText w:val=""/>
      <w:lvlJc w:val="left"/>
    </w:lvl>
    <w:lvl w:ilvl="3" w:tplc="5D8E7B46">
      <w:numFmt w:val="decimal"/>
      <w:lvlText w:val=""/>
      <w:lvlJc w:val="left"/>
    </w:lvl>
    <w:lvl w:ilvl="4" w:tplc="9BAC8744">
      <w:numFmt w:val="decimal"/>
      <w:lvlText w:val=""/>
      <w:lvlJc w:val="left"/>
    </w:lvl>
    <w:lvl w:ilvl="5" w:tplc="9F1A5892">
      <w:numFmt w:val="decimal"/>
      <w:lvlText w:val=""/>
      <w:lvlJc w:val="left"/>
    </w:lvl>
    <w:lvl w:ilvl="6" w:tplc="391A1B32">
      <w:numFmt w:val="decimal"/>
      <w:lvlText w:val=""/>
      <w:lvlJc w:val="left"/>
    </w:lvl>
    <w:lvl w:ilvl="7" w:tplc="9F16B660">
      <w:numFmt w:val="decimal"/>
      <w:lvlText w:val=""/>
      <w:lvlJc w:val="left"/>
    </w:lvl>
    <w:lvl w:ilvl="8" w:tplc="1A56B71C">
      <w:numFmt w:val="decimal"/>
      <w:lvlText w:val=""/>
      <w:lvlJc w:val="left"/>
    </w:lvl>
  </w:abstractNum>
  <w:abstractNum w:abstractNumId="4" w15:restartNumberingAfterBreak="0">
    <w:nsid w:val="795F7C1D"/>
    <w:multiLevelType w:val="hybridMultilevel"/>
    <w:tmpl w:val="7974FC2C"/>
    <w:lvl w:ilvl="0" w:tplc="ADA05BC6">
      <w:start w:val="1"/>
      <w:numFmt w:val="decimal"/>
      <w:lvlText w:val="%1."/>
      <w:lvlJc w:val="left"/>
      <w:pPr>
        <w:ind w:left="720" w:hanging="360"/>
      </w:pPr>
    </w:lvl>
    <w:lvl w:ilvl="1" w:tplc="42947D76">
      <w:numFmt w:val="decimal"/>
      <w:lvlText w:val=""/>
      <w:lvlJc w:val="left"/>
    </w:lvl>
    <w:lvl w:ilvl="2" w:tplc="A16E8066">
      <w:numFmt w:val="decimal"/>
      <w:lvlText w:val=""/>
      <w:lvlJc w:val="left"/>
    </w:lvl>
    <w:lvl w:ilvl="3" w:tplc="40601700">
      <w:numFmt w:val="decimal"/>
      <w:lvlText w:val=""/>
      <w:lvlJc w:val="left"/>
    </w:lvl>
    <w:lvl w:ilvl="4" w:tplc="A306B5B0">
      <w:numFmt w:val="decimal"/>
      <w:lvlText w:val=""/>
      <w:lvlJc w:val="left"/>
    </w:lvl>
    <w:lvl w:ilvl="5" w:tplc="BDE6AFCA">
      <w:numFmt w:val="decimal"/>
      <w:lvlText w:val=""/>
      <w:lvlJc w:val="left"/>
    </w:lvl>
    <w:lvl w:ilvl="6" w:tplc="708E693A">
      <w:numFmt w:val="decimal"/>
      <w:lvlText w:val=""/>
      <w:lvlJc w:val="left"/>
    </w:lvl>
    <w:lvl w:ilvl="7" w:tplc="441E92BA">
      <w:numFmt w:val="decimal"/>
      <w:lvlText w:val=""/>
      <w:lvlJc w:val="left"/>
    </w:lvl>
    <w:lvl w:ilvl="8" w:tplc="8EA61214">
      <w:numFmt w:val="decimal"/>
      <w:lvlText w:val=""/>
      <w:lvlJc w:val="left"/>
    </w:lvl>
  </w:abstractNum>
  <w:num w:numId="1" w16cid:durableId="1384600549">
    <w:abstractNumId w:val="1"/>
    <w:lvlOverride w:ilvl="0">
      <w:startOverride w:val="1"/>
    </w:lvlOverride>
  </w:num>
  <w:num w:numId="2" w16cid:durableId="989872210">
    <w:abstractNumId w:val="3"/>
    <w:lvlOverride w:ilvl="0">
      <w:startOverride w:val="1"/>
    </w:lvlOverride>
  </w:num>
  <w:num w:numId="3" w16cid:durableId="2116362385">
    <w:abstractNumId w:val="2"/>
    <w:lvlOverride w:ilvl="0">
      <w:startOverride w:val="1"/>
    </w:lvlOverride>
  </w:num>
  <w:num w:numId="4" w16cid:durableId="1054894752">
    <w:abstractNumId w:val="0"/>
    <w:lvlOverride w:ilvl="0">
      <w:startOverride w:val="1"/>
    </w:lvlOverride>
  </w:num>
  <w:num w:numId="5" w16cid:durableId="183522226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FC"/>
    <w:rsid w:val="00104AFC"/>
    <w:rsid w:val="001E1F86"/>
    <w:rsid w:val="002C14DD"/>
    <w:rsid w:val="002D5373"/>
    <w:rsid w:val="003F2838"/>
    <w:rsid w:val="00B95AC3"/>
    <w:rsid w:val="00BC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205AC8"/>
  <w15:docId w15:val="{6AE767A4-4AC1-2848-BAC7-CC7D20C9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2C14DD"/>
    <w:rPr>
      <w:color w:val="96607D" w:themeColor="followedHyperlink"/>
      <w:u w:val="single"/>
    </w:rPr>
  </w:style>
  <w:style w:type="paragraph" w:styleId="ad">
    <w:name w:val="footer"/>
    <w:basedOn w:val="a"/>
    <w:link w:val="ae"/>
    <w:uiPriority w:val="99"/>
    <w:unhideWhenUsed/>
    <w:rsid w:val="002C14D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C14DD"/>
  </w:style>
  <w:style w:type="character" w:styleId="af">
    <w:name w:val="page number"/>
    <w:basedOn w:val="a0"/>
    <w:uiPriority w:val="99"/>
    <w:semiHidden/>
    <w:unhideWhenUsed/>
    <w:rsid w:val="002C14DD"/>
  </w:style>
  <w:style w:type="character" w:styleId="af0">
    <w:name w:val="Unresolved Mention"/>
    <w:basedOn w:val="a0"/>
    <w:uiPriority w:val="99"/>
    <w:semiHidden/>
    <w:unhideWhenUsed/>
    <w:rsid w:val="002C1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lens.yandex/58r6ygh21cw6p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atalens.yandex/58r6ygh21cw6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atalens.yandex/58r6ygh21cw6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1841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Марко Марко</cp:lastModifiedBy>
  <cp:revision>2</cp:revision>
  <dcterms:created xsi:type="dcterms:W3CDTF">2026-03-22T07:46:00Z</dcterms:created>
  <dcterms:modified xsi:type="dcterms:W3CDTF">2026-03-22T07:46:00Z</dcterms:modified>
</cp:coreProperties>
</file>