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DF4F" w14:textId="0E1BC7E0" w:rsidR="00F62DC5" w:rsidRPr="009734AB" w:rsidRDefault="00B851B6" w:rsidP="00EC5866">
      <w:pPr>
        <w:jc w:val="both"/>
        <w:rPr>
          <w:b/>
          <w:bCs/>
        </w:rPr>
      </w:pPr>
      <w:r>
        <w:rPr>
          <w:b/>
          <w:bCs/>
        </w:rPr>
        <w:t>C</w:t>
      </w:r>
      <w:r w:rsidR="00F62DC5">
        <w:rPr>
          <w:b/>
          <w:bCs/>
        </w:rPr>
        <w:t>ircadian transcriptome</w:t>
      </w:r>
      <w:r>
        <w:rPr>
          <w:b/>
          <w:bCs/>
        </w:rPr>
        <w:t xml:space="preserve"> in cells</w:t>
      </w:r>
      <w:r w:rsidR="00F62DC5">
        <w:rPr>
          <w:b/>
          <w:bCs/>
        </w:rPr>
        <w:t xml:space="preserve"> </w:t>
      </w:r>
      <w:r w:rsidR="00FD6877">
        <w:rPr>
          <w:b/>
          <w:bCs/>
        </w:rPr>
        <w:t>depends</w:t>
      </w:r>
      <w:r w:rsidR="00F62DC5">
        <w:rPr>
          <w:b/>
          <w:bCs/>
        </w:rPr>
        <w:t xml:space="preserve"> on synchronisation method and differs between </w:t>
      </w:r>
      <w:r w:rsidR="00F62DC5" w:rsidRPr="00F62DC5">
        <w:rPr>
          <w:b/>
          <w:bCs/>
          <w:i/>
          <w:iCs/>
        </w:rPr>
        <w:t>in vitro</w:t>
      </w:r>
      <w:r w:rsidR="00F62DC5">
        <w:rPr>
          <w:b/>
          <w:bCs/>
        </w:rPr>
        <w:t xml:space="preserve"> and </w:t>
      </w:r>
      <w:r w:rsidR="00F62DC5" w:rsidRPr="00F62DC5">
        <w:rPr>
          <w:b/>
          <w:bCs/>
          <w:i/>
          <w:iCs/>
        </w:rPr>
        <w:t>in vivo</w:t>
      </w:r>
      <w:r w:rsidR="009734AB">
        <w:rPr>
          <w:b/>
          <w:bCs/>
          <w:i/>
          <w:iCs/>
        </w:rPr>
        <w:t xml:space="preserve"> </w:t>
      </w:r>
      <w:r w:rsidR="009734AB" w:rsidRPr="009734AB">
        <w:rPr>
          <w:b/>
          <w:bCs/>
        </w:rPr>
        <w:t>conditions</w:t>
      </w:r>
    </w:p>
    <w:p w14:paraId="7E643F5B" w14:textId="77777777" w:rsidR="00F62DC5" w:rsidRDefault="00F62DC5" w:rsidP="00EC5866">
      <w:pPr>
        <w:jc w:val="both"/>
        <w:rPr>
          <w:b/>
          <w:bCs/>
        </w:rPr>
      </w:pPr>
    </w:p>
    <w:p w14:paraId="214AEC7D" w14:textId="63F8B8B3" w:rsidR="00973B51" w:rsidRDefault="00973B51" w:rsidP="00EC5866">
      <w:pPr>
        <w:jc w:val="both"/>
        <w:rPr>
          <w:vertAlign w:val="superscript"/>
        </w:rPr>
      </w:pPr>
      <w:r w:rsidRPr="009734AB">
        <w:t>Michal Dudek</w:t>
      </w:r>
      <w:r w:rsidR="009734AB" w:rsidRPr="009734AB">
        <w:rPr>
          <w:vertAlign w:val="superscript"/>
        </w:rPr>
        <w:t>1,2,</w:t>
      </w:r>
      <w:proofErr w:type="gramStart"/>
      <w:r w:rsidR="000F033D" w:rsidRPr="009734AB">
        <w:rPr>
          <w:vertAlign w:val="superscript"/>
        </w:rPr>
        <w:t>3,*</w:t>
      </w:r>
      <w:proofErr w:type="gramEnd"/>
      <w:r w:rsidRPr="009734AB">
        <w:t xml:space="preserve">, </w:t>
      </w:r>
      <w:r w:rsidR="009734AB" w:rsidRPr="009734AB">
        <w:rPr>
          <w:rFonts w:eastAsia="Calibri" w:cstheme="minorHAnsi"/>
          <w:color w:val="000000" w:themeColor="text1"/>
        </w:rPr>
        <w:t>Cátia F. Gonçalves</w:t>
      </w:r>
      <w:r w:rsidR="009734AB" w:rsidRPr="009734AB">
        <w:rPr>
          <w:vertAlign w:val="superscript"/>
        </w:rPr>
        <w:t>1,2,3</w:t>
      </w:r>
      <w:r w:rsidRPr="009734AB">
        <w:t>, Judith A. Hoyland</w:t>
      </w:r>
      <w:r w:rsidR="009734AB" w:rsidRPr="009734AB">
        <w:rPr>
          <w:vertAlign w:val="superscript"/>
        </w:rPr>
        <w:t>3,4</w:t>
      </w:r>
      <w:r w:rsidRPr="009734AB">
        <w:t>, Qing-Jun Meng</w:t>
      </w:r>
      <w:r w:rsidR="009734AB" w:rsidRPr="009734AB">
        <w:rPr>
          <w:vertAlign w:val="superscript"/>
        </w:rPr>
        <w:t>1,2,</w:t>
      </w:r>
      <w:proofErr w:type="gramStart"/>
      <w:r w:rsidR="009734AB" w:rsidRPr="009734AB">
        <w:rPr>
          <w:vertAlign w:val="superscript"/>
        </w:rPr>
        <w:t>3,*</w:t>
      </w:r>
      <w:proofErr w:type="gramEnd"/>
    </w:p>
    <w:p w14:paraId="686F5562" w14:textId="77777777" w:rsidR="009734AB" w:rsidRPr="009734AB" w:rsidRDefault="009734AB" w:rsidP="00EC5866">
      <w:pPr>
        <w:jc w:val="both"/>
        <w:rPr>
          <w:vertAlign w:val="superscript"/>
        </w:rPr>
      </w:pPr>
    </w:p>
    <w:p w14:paraId="70D0C647" w14:textId="0E922A86" w:rsidR="009734AB" w:rsidRPr="009734AB" w:rsidRDefault="009734AB" w:rsidP="009734AB">
      <w:pPr>
        <w:spacing w:line="360" w:lineRule="auto"/>
        <w:jc w:val="both"/>
        <w:rPr>
          <w:rFonts w:eastAsia="Calibri" w:cstheme="minorHAnsi"/>
        </w:rPr>
      </w:pPr>
      <w:r w:rsidRPr="009734AB">
        <w:rPr>
          <w:rFonts w:eastAsia="Calibri" w:cstheme="minorHAnsi"/>
          <w:vertAlign w:val="superscript"/>
        </w:rPr>
        <w:t>1</w:t>
      </w:r>
      <w:r w:rsidR="000F033D">
        <w:rPr>
          <w:rFonts w:eastAsia="Calibri" w:cstheme="minorHAnsi"/>
          <w:vertAlign w:val="superscript"/>
        </w:rPr>
        <w:t xml:space="preserve"> </w:t>
      </w:r>
      <w:r w:rsidRPr="009734AB">
        <w:rPr>
          <w:rFonts w:eastAsia="Calibri" w:cstheme="minorHAnsi"/>
        </w:rPr>
        <w:t xml:space="preserve">Manchester Cell Matrix Centre, Faculty of Biology, Medicine and Health, University of Manchester, UK </w:t>
      </w:r>
    </w:p>
    <w:p w14:paraId="14539765" w14:textId="18760B49" w:rsidR="009734AB" w:rsidRPr="009734AB" w:rsidRDefault="009734AB" w:rsidP="009734AB">
      <w:pPr>
        <w:spacing w:line="360" w:lineRule="auto"/>
        <w:jc w:val="both"/>
        <w:rPr>
          <w:rFonts w:eastAsia="Calibri" w:cstheme="minorHAnsi"/>
        </w:rPr>
      </w:pPr>
      <w:r w:rsidRPr="009734AB">
        <w:rPr>
          <w:rFonts w:eastAsia="Calibri" w:cstheme="minorHAnsi"/>
          <w:vertAlign w:val="superscript"/>
        </w:rPr>
        <w:t>2</w:t>
      </w:r>
      <w:r w:rsidR="000F033D">
        <w:rPr>
          <w:rFonts w:eastAsia="Calibri" w:cstheme="minorHAnsi"/>
          <w:vertAlign w:val="superscript"/>
        </w:rPr>
        <w:t xml:space="preserve"> </w:t>
      </w:r>
      <w:r w:rsidRPr="009734AB">
        <w:rPr>
          <w:rFonts w:eastAsia="Calibri" w:cstheme="minorHAnsi"/>
        </w:rPr>
        <w:t>Centre for Biological Timing,</w:t>
      </w:r>
      <w:r w:rsidRPr="009734AB">
        <w:rPr>
          <w:rFonts w:eastAsia="Calibri" w:cstheme="minorHAnsi"/>
          <w:lang w:val="en-US"/>
        </w:rPr>
        <w:t xml:space="preserve"> </w:t>
      </w:r>
      <w:r w:rsidRPr="009734AB">
        <w:rPr>
          <w:rFonts w:eastAsia="Calibri" w:cstheme="minorHAnsi"/>
        </w:rPr>
        <w:t xml:space="preserve">Faculty of Biology, Medicine and Health, University of Manchester, UK </w:t>
      </w:r>
    </w:p>
    <w:p w14:paraId="65E3AC12" w14:textId="039B9BC5" w:rsidR="009734AB" w:rsidRPr="009734AB" w:rsidRDefault="009734AB" w:rsidP="009734AB">
      <w:pPr>
        <w:spacing w:line="360" w:lineRule="auto"/>
        <w:jc w:val="both"/>
        <w:rPr>
          <w:rFonts w:eastAsia="Calibri" w:cstheme="minorHAnsi"/>
        </w:rPr>
      </w:pPr>
      <w:r w:rsidRPr="009734AB">
        <w:rPr>
          <w:rFonts w:eastAsia="Calibri" w:cstheme="minorHAnsi"/>
          <w:vertAlign w:val="superscript"/>
        </w:rPr>
        <w:t>3</w:t>
      </w:r>
      <w:r w:rsidR="000F033D">
        <w:rPr>
          <w:rFonts w:eastAsia="Calibri" w:cstheme="minorHAnsi"/>
          <w:vertAlign w:val="superscript"/>
        </w:rPr>
        <w:t xml:space="preserve"> </w:t>
      </w:r>
      <w:r w:rsidRPr="009734AB">
        <w:rPr>
          <w:rFonts w:eastAsia="Calibri" w:cstheme="minorHAnsi"/>
        </w:rPr>
        <w:t>Division of Cell Matrix Biology and Regenerative Medicine, Faculty of Biology, Medicine and Health, University of Manchester, Manchester Academic Health Science Centre, Manchester, UK</w:t>
      </w:r>
      <w:r w:rsidRPr="009734AB" w:rsidDel="00584B91">
        <w:rPr>
          <w:rFonts w:eastAsia="Calibri" w:cstheme="minorHAnsi"/>
          <w:vertAlign w:val="superscript"/>
        </w:rPr>
        <w:t xml:space="preserve"> </w:t>
      </w:r>
    </w:p>
    <w:p w14:paraId="06972E1D" w14:textId="03B37ECB" w:rsidR="009734AB" w:rsidRDefault="009734AB" w:rsidP="009734AB">
      <w:pPr>
        <w:jc w:val="both"/>
        <w:rPr>
          <w:rFonts w:eastAsia="Calibri" w:cstheme="minorHAnsi"/>
        </w:rPr>
      </w:pPr>
      <w:r w:rsidRPr="009734AB">
        <w:rPr>
          <w:rFonts w:eastAsia="Calibri" w:cstheme="minorHAnsi"/>
          <w:vertAlign w:val="superscript"/>
        </w:rPr>
        <w:t>4</w:t>
      </w:r>
      <w:r w:rsidR="000F033D">
        <w:rPr>
          <w:rFonts w:eastAsia="Calibri" w:cstheme="minorHAnsi"/>
          <w:vertAlign w:val="superscript"/>
        </w:rPr>
        <w:t xml:space="preserve"> </w:t>
      </w:r>
      <w:r w:rsidRPr="009734AB">
        <w:rPr>
          <w:rFonts w:eastAsia="Calibri" w:cstheme="minorHAnsi"/>
        </w:rPr>
        <w:t>NIHR Manchester Biomedical Research Centre, Central Manchester Foundation Trust, Manchester Academic Health Science Centre, Manchester, United Kingdom</w:t>
      </w:r>
    </w:p>
    <w:p w14:paraId="00F2CAA2" w14:textId="26C2819C" w:rsidR="009734AB" w:rsidRPr="000F033D" w:rsidRDefault="000F033D" w:rsidP="000F033D">
      <w:pPr>
        <w:jc w:val="both"/>
        <w:rPr>
          <w:rFonts w:eastAsia="Calibri" w:cstheme="minorHAnsi"/>
        </w:rPr>
      </w:pPr>
      <w:r w:rsidRPr="000F033D">
        <w:rPr>
          <w:rFonts w:eastAsia="Calibri" w:cstheme="minorHAnsi"/>
          <w:vertAlign w:val="superscript"/>
        </w:rPr>
        <w:t>*</w:t>
      </w:r>
      <w:r>
        <w:rPr>
          <w:rFonts w:eastAsia="Calibri" w:cstheme="minorHAnsi"/>
        </w:rPr>
        <w:t xml:space="preserve"> </w:t>
      </w:r>
      <w:r w:rsidRPr="000F033D">
        <w:rPr>
          <w:rFonts w:eastAsia="Calibri" w:cstheme="minorHAnsi"/>
        </w:rPr>
        <w:t xml:space="preserve">To whom correspondence should be addressed. Email: </w:t>
      </w:r>
      <w:hyperlink r:id="rId6" w:history="1">
        <w:r w:rsidRPr="000F033D">
          <w:rPr>
            <w:rStyle w:val="Hyperlink"/>
            <w:rFonts w:eastAsia="Calibri" w:cstheme="minorHAnsi"/>
          </w:rPr>
          <w:t>Qing-Jun.Meng@manchester.ac.uk</w:t>
        </w:r>
      </w:hyperlink>
    </w:p>
    <w:p w14:paraId="2A3A5DCB" w14:textId="00DC8676" w:rsidR="009734AB" w:rsidRPr="000F033D" w:rsidRDefault="000F033D" w:rsidP="009734AB">
      <w:pPr>
        <w:spacing w:line="360" w:lineRule="auto"/>
        <w:jc w:val="both"/>
        <w:rPr>
          <w:rFonts w:eastAsia="Calibri" w:cstheme="minorHAnsi"/>
        </w:rPr>
      </w:pPr>
      <w:r w:rsidRPr="000F033D">
        <w:rPr>
          <w:rFonts w:eastAsia="Calibri" w:cstheme="minorHAnsi"/>
        </w:rPr>
        <w:t xml:space="preserve">Correspondence may also be addressed to </w:t>
      </w:r>
      <w:hyperlink r:id="rId7" w:history="1">
        <w:r w:rsidRPr="000F033D">
          <w:rPr>
            <w:rStyle w:val="Hyperlink"/>
            <w:rFonts w:eastAsia="Calibri" w:cstheme="minorHAnsi"/>
          </w:rPr>
          <w:t>Michal.Dudek@manchester.ac.uk</w:t>
        </w:r>
      </w:hyperlink>
      <w:r w:rsidR="009734AB" w:rsidRPr="000F033D">
        <w:rPr>
          <w:rFonts w:eastAsia="Calibri" w:cstheme="minorHAnsi"/>
        </w:rPr>
        <w:t xml:space="preserve"> </w:t>
      </w:r>
    </w:p>
    <w:p w14:paraId="2EF93A32" w14:textId="77777777" w:rsidR="009734AB" w:rsidRPr="009734AB" w:rsidRDefault="009734AB" w:rsidP="009734AB">
      <w:pPr>
        <w:jc w:val="both"/>
      </w:pPr>
    </w:p>
    <w:p w14:paraId="291B739F" w14:textId="0768B90A" w:rsidR="002C02F2" w:rsidRPr="002C02F2" w:rsidRDefault="000F033D" w:rsidP="00EC5866">
      <w:pPr>
        <w:jc w:val="both"/>
        <w:rPr>
          <w:b/>
          <w:bCs/>
        </w:rPr>
      </w:pPr>
      <w:r w:rsidRPr="002C02F2">
        <w:rPr>
          <w:b/>
          <w:bCs/>
        </w:rPr>
        <w:t>ABSTRACT</w:t>
      </w:r>
    </w:p>
    <w:p w14:paraId="6AB833A1" w14:textId="10C93BE2" w:rsidR="007F26BF" w:rsidRPr="000B696F" w:rsidRDefault="001A50D3" w:rsidP="001A50D3">
      <w:pPr>
        <w:jc w:val="both"/>
      </w:pPr>
      <w:r w:rsidRPr="001A50D3">
        <w:t>In vitro synchronisation is widely used to study peripheral circadian clocks, but whether cultured cells recapitulate tissue-level rhythmic outputs remains unclear. Articular cartilage provides a useful model because chondrocytes are the only resident cell type. Here, we compared 48-hour RNA-</w:t>
      </w:r>
      <w:proofErr w:type="spellStart"/>
      <w:r w:rsidRPr="001A50D3">
        <w:t>seq</w:t>
      </w:r>
      <w:proofErr w:type="spellEnd"/>
      <w:r w:rsidRPr="001A50D3">
        <w:t xml:space="preserve"> time courses from primary mouse chondrocytes synchronised by heat shock, dexamethasone, or osmotic stress with an in vivo cartilage circadian transcriptome. All three stimuli robustly synchronised core clock gene rhythms but produced distinct phases and markedly different rhythmic transcriptomes. Heat shock, dexamethasone, and osmotic stress </w:t>
      </w:r>
      <w:r w:rsidR="006113A5">
        <w:t>yielded</w:t>
      </w:r>
      <w:r w:rsidRPr="001A50D3">
        <w:t xml:space="preserve"> 5255, 2008, and 871 transcripts</w:t>
      </w:r>
      <w:r w:rsidR="006113A5">
        <w:t xml:space="preserve"> classified as rhythmic</w:t>
      </w:r>
      <w:r w:rsidRPr="001A50D3">
        <w:t xml:space="preserve">, respectively, yet only 64 genes were shared across the three in vitro datasets and only 15 were shared when in vivo cartilage was included. Pairwise overlaps were statistically enriched in </w:t>
      </w:r>
      <w:r w:rsidR="00D578FA">
        <w:t>some</w:t>
      </w:r>
      <w:r w:rsidRPr="001A50D3">
        <w:t xml:space="preserve"> comparisons </w:t>
      </w:r>
      <w:r w:rsidR="00D578FA">
        <w:t>and</w:t>
      </w:r>
      <w:r w:rsidRPr="001A50D3">
        <w:t xml:space="preserve"> only marginally above chance, and shared genes showed limited conservation of phase. Functional enrichment analys</w:t>
      </w:r>
      <w:r w:rsidR="001C2B3C">
        <w:t>i</w:t>
      </w:r>
      <w:r w:rsidRPr="001A50D3">
        <w:t>s also revealed stimulus-dependent rhythmic programmes with modest pathway-level overlap. These findings indicate that circadian output in cultured cells is strongly shaped by the synchronising cue and cellular microenvironment. We also present BodyClocks</w:t>
      </w:r>
      <w:r w:rsidR="00AA271B">
        <w:t>.org</w:t>
      </w:r>
      <w:r w:rsidRPr="001A50D3">
        <w:t>, an interactive resource implementing this comparative framework across a curated collection of circadian transcriptomic datasets.</w:t>
      </w:r>
    </w:p>
    <w:p w14:paraId="7C1654CD" w14:textId="77777777" w:rsidR="002C02F2" w:rsidRDefault="002C02F2" w:rsidP="00EC5866">
      <w:pPr>
        <w:jc w:val="both"/>
        <w:rPr>
          <w:b/>
          <w:bCs/>
        </w:rPr>
      </w:pPr>
    </w:p>
    <w:p w14:paraId="09D6ADC6" w14:textId="77777777" w:rsidR="002C02F2" w:rsidRDefault="002C02F2" w:rsidP="00EC5866">
      <w:pPr>
        <w:jc w:val="both"/>
        <w:rPr>
          <w:b/>
          <w:bCs/>
        </w:rPr>
      </w:pPr>
    </w:p>
    <w:p w14:paraId="40E84EF3" w14:textId="34ECFC96" w:rsidR="00833B23" w:rsidRPr="00DF59C0" w:rsidRDefault="000F033D" w:rsidP="00EC5866">
      <w:pPr>
        <w:jc w:val="both"/>
        <w:rPr>
          <w:b/>
          <w:bCs/>
        </w:rPr>
      </w:pPr>
      <w:r w:rsidRPr="00DF59C0">
        <w:rPr>
          <w:b/>
          <w:bCs/>
        </w:rPr>
        <w:t>INTRODUCTION</w:t>
      </w:r>
    </w:p>
    <w:p w14:paraId="7AEE0710" w14:textId="08A22D65" w:rsidR="00833B23" w:rsidRPr="00DF59C0" w:rsidRDefault="00833B23" w:rsidP="00817210">
      <w:pPr>
        <w:ind w:firstLine="720"/>
        <w:jc w:val="both"/>
      </w:pPr>
      <w:r w:rsidRPr="00DF59C0">
        <w:t>The evolutionary adaptation of life to the Earth’s 24-hour axial rotation has resulted in the development of the circadian timing system</w:t>
      </w:r>
      <w:r w:rsidR="001C07C4">
        <w:t xml:space="preserve">, </w:t>
      </w:r>
      <w:r w:rsidRPr="00DF59C0">
        <w:t xml:space="preserve">a highly conserved, hierarchical network </w:t>
      </w:r>
      <w:r w:rsidR="00DA25D6">
        <w:t>allowing organisms on Earth</w:t>
      </w:r>
      <w:r w:rsidR="00DA25D6" w:rsidRPr="00DF59C0">
        <w:t xml:space="preserve"> </w:t>
      </w:r>
      <w:r w:rsidRPr="00DF59C0">
        <w:t>to anticipate and align physiological functions with diurnal environmental changes</w:t>
      </w:r>
      <w:r w:rsidR="004E5BCB">
        <w:t xml:space="preserve"> </w:t>
      </w:r>
      <w:r w:rsidR="004E5BCB">
        <w:lastRenderedPageBreak/>
        <w:fldChar w:fldCharType="begin"/>
      </w:r>
      <w:r w:rsidR="009B21A9">
        <w:instrText xml:space="preserve"> ADDIN ZOTERO_ITEM CSL_CITATION {"citationID":"owxSoL7h","properties":{"formattedCitation":"[1]","plainCitation":"[1]","noteIndex":0},"citationItems":[{"id":"fmCYmJCr/KWQtNaek","uris":["http://zotero.org/users/local/QFmVNDJO/items/ZKRDAIHM"],"itemData":{"id":528,"type":"article-journal","container-title":"Current Biology","DOI":"10.1016/S0960-9822(03)00124-6","ISSN":"0960-9822","issue":"5","journalAbbreviation":"Current Biology","language":"English","page":"R198-R207","PMID":"12620213","publisher":"Elsevier","source":"www.cell.com","title":"The Network of Time: Understanding the Molecular Circadian System","title-short":"The Network of Time","volume":"13","author":[{"family":"Roenneberg","given":"Till"},{"family":"Merrow","given":"Martha"}],"issued":{"date-parts":[["2003",3,4]]}}}],"schema":"https://github.com/citation-style-language/schema/raw/master/csl-citation.json"} </w:instrText>
      </w:r>
      <w:r w:rsidR="004E5BCB">
        <w:fldChar w:fldCharType="separate"/>
      </w:r>
      <w:r w:rsidR="004E5BCB" w:rsidRPr="004E5BCB">
        <w:rPr>
          <w:rFonts w:ascii="Calibri" w:hAnsi="Calibri" w:cs="Calibri"/>
        </w:rPr>
        <w:t>[1]</w:t>
      </w:r>
      <w:r w:rsidR="004E5BCB">
        <w:fldChar w:fldCharType="end"/>
      </w:r>
      <w:r w:rsidRPr="00DF59C0">
        <w:t xml:space="preserve">. </w:t>
      </w:r>
      <w:r w:rsidR="008A6E75" w:rsidRPr="008A6E75">
        <w:t>In mammals, the central clock in the suprachiasmatic nucleus synchronises a network of peripheral clocks present in most tissues</w:t>
      </w:r>
      <w:r w:rsidR="008A6E75">
        <w:t xml:space="preserve"> and cell types</w:t>
      </w:r>
      <w:r w:rsidR="00835360">
        <w:t xml:space="preserve"> </w:t>
      </w:r>
      <w:r w:rsidR="00835360">
        <w:fldChar w:fldCharType="begin"/>
      </w:r>
      <w:r w:rsidR="009B21A9">
        <w:instrText xml:space="preserve"> ADDIN ZOTERO_ITEM CSL_CITATION {"citationID":"Ad2mtSZV","properties":{"formattedCitation":"[2]","plainCitation":"[2]","noteIndex":0},"citationItems":[{"id":"fmCYmJCr/FCNHSTgV","uris":["http://zotero.org/users/local/QFmVNDJO/items/WJE78ARX"],"itemData":{"id":488,"type":"article-journal","container-title":"Current Biology","DOI":"10.1016/j.cub.2018.06.052","ISSN":"0960-9822","issue":"15","journalAbbreviation":"Current Biology","language":"English","page":"R816-R822","PMID":"30086310","publisher":"Elsevier","source":"www.cell.com","title":"The suprachiasmatic nucleus","volume":"28","author":[{"family":"Patton","given":"Andrew P."},{"family":"Hastings","given":"Michael H."}],"issued":{"date-parts":[["2018",8,6]]}}}],"schema":"https://github.com/citation-style-language/schema/raw/master/csl-citation.json"} </w:instrText>
      </w:r>
      <w:r w:rsidR="00835360">
        <w:fldChar w:fldCharType="separate"/>
      </w:r>
      <w:r w:rsidR="004E5BCB" w:rsidRPr="004E5BCB">
        <w:rPr>
          <w:rFonts w:ascii="Calibri" w:hAnsi="Calibri" w:cs="Calibri"/>
        </w:rPr>
        <w:t>[2]</w:t>
      </w:r>
      <w:r w:rsidR="00835360">
        <w:fldChar w:fldCharType="end"/>
      </w:r>
      <w:r w:rsidR="00835360">
        <w:t>.</w:t>
      </w:r>
      <w:r w:rsidR="00817210">
        <w:t xml:space="preserve"> </w:t>
      </w:r>
      <w:r w:rsidR="008A6E75" w:rsidRPr="008A6E75">
        <w:t xml:space="preserve">At the cellular level, these clocks are generated by conserved transcriptional-translational feedback loops in which CLOCK and BMAL1 activate, and PER and CRY proteins repress, rhythmic gene expression. Although this core molecular machinery is broadly shared between cell types, the downstream clock-controlled genes </w:t>
      </w:r>
      <w:r w:rsidR="005E3209">
        <w:t xml:space="preserve">(CCGs) </w:t>
      </w:r>
      <w:r w:rsidR="008A6E75" w:rsidRPr="008A6E75">
        <w:t xml:space="preserve">are highly tissue-specific </w:t>
      </w:r>
      <w:r w:rsidR="00835360">
        <w:fldChar w:fldCharType="begin"/>
      </w:r>
      <w:r w:rsidR="009B21A9">
        <w:instrText xml:space="preserve"> ADDIN ZOTERO_ITEM CSL_CITATION {"citationID":"BExI7fLU","properties":{"formattedCitation":"[3]","plainCitation":"[3]","noteIndex":0},"citationItems":[{"id":"fmCYmJCr/m85C6aEa","uris":["http://zotero.org/users/local/QFmVNDJO/items/AHA3E4CD"],"itemData":{"id":491,"type":"article-journal","abstract":"The mammalian circadian clock mechanism is cell autonomous and composed of a transcription–translation negative-feedback loop. These clocks are distributed throughout the body and regulate tissue-specific rhythmic functions.The core circadian transcriptional regulators drive gene expression rhythms in thousands of genes. The targets of the CLOCK–BMAL1 complex in the mouse liver regulate genes in all fundamental metabolic pathways, thus indicating that the clock system is closely embedded in cellular metabolism.Circadian activators and repressors recruit a wide array of chromatin modifiers that mediate dynamic changes in the poising of the genome with time of day.RNA polymerase II is recruited and initiated genome-wide in a circadian manner in the mouse liver, leading to genome-wide circadian changes in histone modifications.Circadian CLOCK–BMAL1 gene targets are directly linked to metabolism, immune function, cell proliferation, cancer and signalling.","container-title":"Nature Reviews Genetics","DOI":"10.1038/nrg.2016.150","ISSN":"1471-0064","issue":"3","journalAbbreviation":"Nat Rev Genet","language":"en","license":"2016 Springer Nature Limited","page":"164-179","publisher":"Nature Publishing Group","source":"www.nature.com","title":"Transcriptional architecture of the mammalian circadian clock","volume":"18","author":[{"family":"Takahashi","given":"Joseph S."}],"issued":{"date-parts":[["2017",3]]}}}],"schema":"https://github.com/citation-style-language/schema/raw/master/csl-citation.json"} </w:instrText>
      </w:r>
      <w:r w:rsidR="00835360">
        <w:fldChar w:fldCharType="separate"/>
      </w:r>
      <w:r w:rsidR="004E5BCB" w:rsidRPr="004E5BCB">
        <w:rPr>
          <w:rFonts w:ascii="Calibri" w:hAnsi="Calibri" w:cs="Calibri"/>
        </w:rPr>
        <w:t>[3]</w:t>
      </w:r>
      <w:r w:rsidR="00835360">
        <w:fldChar w:fldCharType="end"/>
      </w:r>
      <w:r w:rsidR="00835360">
        <w:t>.</w:t>
      </w:r>
      <w:r w:rsidR="00817210">
        <w:t xml:space="preserve"> </w:t>
      </w:r>
      <w:r w:rsidRPr="00DF59C0">
        <w:t>Depending on the tissue, the physiological state of the organism, and the stringency of the bioinformatics algorithms employed, CCGs can represent anywhere from 3% to 20% of the actively transcribed genome</w:t>
      </w:r>
      <w:r w:rsidR="00212B76">
        <w:t xml:space="preserve"> of a given tissue</w:t>
      </w:r>
      <w:r w:rsidRPr="00DF59C0">
        <w:t>. It is through these CCGs that the circadian clock temporally segregates incompatible metabolic pathways and coordinates tissue-specific functions</w:t>
      </w:r>
      <w:r w:rsidR="000D1E71">
        <w:t xml:space="preserve"> </w:t>
      </w:r>
      <w:r w:rsidR="00212B76">
        <w:t>to the diurnal cycles</w:t>
      </w:r>
      <w:r w:rsidR="001C07C4">
        <w:t xml:space="preserve"> </w:t>
      </w:r>
      <w:r w:rsidR="000D1E71">
        <w:fldChar w:fldCharType="begin"/>
      </w:r>
      <w:r w:rsidR="009B21A9">
        <w:instrText xml:space="preserve"> ADDIN ZOTERO_ITEM CSL_CITATION {"citationID":"O0KrVNBy","properties":{"formattedCitation":"[4]","plainCitation":"[4]","noteIndex":0},"citationItems":[{"id":"fmCYmJCr/mHW3rX4i","uris":["http://zotero.org/users/local/QFmVNDJO/items/3NZ475IF"],"itemData":{"id":493,"type":"article-journal","abstract":"Humans, like all mammals, partition their daily behaviour into activity (wakefulness) and rest (sleep) phases that differ largely in their metabolic requirements. The circadian clock evolved as an autonomous timekeeping system that aligns behavioural patterns with the solar day and supports the body functions by anticipating and coordinating the required metabolic programmes. The key component of this synchronization is a master clock in the brain, which responds to light–darkness cues from the environment. However, to achieve circadian control of the entire organism, each cell of the body is equipped with its own circadian oscillator that is controlled by the master clock and confers rhythmicity to individual cells and organs through the control of rate-limiting steps of metabolic programmes. Importantly, metabolic regulation is not a mere output function of the circadian system, but nutrient, energy and redox levels signal back to cellular clocks in order to reinforce circadian rhythmicity and to adapt physiology to temporal tissue-specific needs. Thus, multiple systemic and molecular mechanisms exist that connect the circadian clock with metabolism at all levels, from cellular organelles to the whole organism, and deregulation of this circadian–metabolic crosstalk can lead to various pathologies.","container-title":"Nature Reviews Molecular Cell Biology","DOI":"10.1038/s41580-018-0096-9","ISSN":"1471-0080","issue":"4","journalAbbreviation":"Nat Rev Mol Cell Biol","language":"en","license":"2018 Springer Nature Limited","page":"227-241","publisher":"Nature Publishing Group","source":"www.nature.com","title":"Crosstalk between metabolism and circadian clocks","volume":"20","author":[{"family":"Reinke","given":"Hans"},{"family":"Asher","given":"Gad"}],"issued":{"date-parts":[["2019",4]]}}}],"schema":"https://github.com/citation-style-language/schema/raw/master/csl-citation.json"} </w:instrText>
      </w:r>
      <w:r w:rsidR="000D1E71">
        <w:fldChar w:fldCharType="separate"/>
      </w:r>
      <w:r w:rsidR="004E5BCB" w:rsidRPr="004E5BCB">
        <w:rPr>
          <w:rFonts w:ascii="Calibri" w:hAnsi="Calibri" w:cs="Calibri"/>
        </w:rPr>
        <w:t>[4]</w:t>
      </w:r>
      <w:r w:rsidR="000D1E71">
        <w:fldChar w:fldCharType="end"/>
      </w:r>
      <w:r w:rsidRPr="00DF59C0">
        <w:t>.   </w:t>
      </w:r>
    </w:p>
    <w:p w14:paraId="766E7471" w14:textId="7DE7A6BC" w:rsidR="00833B23" w:rsidRPr="004E5BCB" w:rsidRDefault="002A079F" w:rsidP="00817210">
      <w:pPr>
        <w:ind w:firstLine="720"/>
        <w:jc w:val="both"/>
      </w:pPr>
      <w:r w:rsidRPr="002A079F">
        <w:t>Articular cartilage is a specialised load-bearing connective tissue with limited repair capacity. Its resident chondrocytes are embedded in a dense extracellular matrix and are solely responsible for maintaining the balance between matrix synthesis and degradation required for lifelong tissue integrity</w:t>
      </w:r>
      <w:r>
        <w:t xml:space="preserve"> </w:t>
      </w:r>
      <w:r w:rsidR="00E67F4E">
        <w:fldChar w:fldCharType="begin"/>
      </w:r>
      <w:r w:rsidR="009B21A9">
        <w:instrText xml:space="preserve"> ADDIN ZOTERO_ITEM CSL_CITATION {"citationID":"V1C95xTf","properties":{"formattedCitation":"[5]","plainCitation":"[5]","noteIndex":0},"citationItems":[{"id":"fmCYmJCr/PJ2C6lWr","uris":["http://zotero.org/users/local/QFmVNDJO/items/UUDZ8YVV"],"itemData":{"id":495,"type":"article-journal","abstract":"Articular cartilage can withstand substantial compressive and shear forces within the joint and also reduces friction during motion. The exceptional mechanical properties of articular cartilage stem from its highly organized extracellular matrix (ECM). The ECM is composed mainly of collagen type II and is pivotal in conferring mechanical durability to the tissue within its proteoglycan-rich matrix. Articular cartilage is prone to injury and degeneration, and current treatments often fail to restore the mechanical function of this tissue. A key challenge is replicating the intricate collagen–proteoglycan network, which is essential for the long-lasting restoration and mechanical durability of the tissue. Understanding articular cartilage development, which arises between late embryonic and early juvenile development, is vital for the creation of durable therapeutic strategies. The development of the articular ECM involves the biosynthesis, fibrillogenesis and self-assembly of the collagen type II network, which, along with proteoglycans and minor ECM components, shapes the architecture of adult articular cartilage. A deeper understanding of these processes could inform biomaterial-based therapies aimed at improving therapeutic outcomes. Emerging biofabrication technologies offer new opportunities to integrate developmental principles into the creation of durable articular cartilage implants. Bridging fundamental biology with innovative engineering offers novel approaches to generating more-durable 3D implants for articular cartilage restoration.","container-title":"Nature Reviews Rheumatology","DOI":"10.1038/s41584-025-01236-7","ISSN":"1759-4804","issue":"5","journalAbbreviation":"Nat Rev Rheumatol","language":"en","license":"2025 Springer Nature Limited","page":"291-308","publisher":"Nature Publishing Group","source":"www.nature.com","title":"Restoring articular cartilage: insights from structure, composition and development","title-short":"Restoring articular cartilage","volume":"21","author":[{"family":"Pueyo Moliner","given":"Alba"},{"family":"Ito","given":"Keita"},{"family":"Zaucke","given":"Frank"},{"family":"Kelly","given":"Daniel J."},{"family":"Ruijter","given":"Mylène","non-dropping-particle":"de"},{"family":"Malda","given":"Jos"}],"issued":{"date-parts":[["2025",5]]}}}],"schema":"https://github.com/citation-style-language/schema/raw/master/csl-citation.json"} </w:instrText>
      </w:r>
      <w:r w:rsidR="00E67F4E">
        <w:fldChar w:fldCharType="separate"/>
      </w:r>
      <w:r w:rsidR="004E5BCB" w:rsidRPr="004E5BCB">
        <w:rPr>
          <w:rFonts w:ascii="Calibri" w:hAnsi="Calibri" w:cs="Calibri"/>
        </w:rPr>
        <w:t>[5]</w:t>
      </w:r>
      <w:r w:rsidR="00E67F4E">
        <w:fldChar w:fldCharType="end"/>
      </w:r>
      <w:r w:rsidR="00833B23" w:rsidRPr="00DF59C0">
        <w:t>.</w:t>
      </w:r>
      <w:r w:rsidR="00817210">
        <w:t xml:space="preserve"> </w:t>
      </w:r>
      <w:r w:rsidR="00833B23">
        <w:t xml:space="preserve">We and others have demonstrated that chondrocytes </w:t>
      </w:r>
      <w:r w:rsidR="007E25BC">
        <w:t>possess</w:t>
      </w:r>
      <w:r w:rsidR="00833B23" w:rsidRPr="00DF59C0">
        <w:t xml:space="preserve"> a functional, cell-autonomous circadian clock</w:t>
      </w:r>
      <w:r w:rsidR="00E67F4E">
        <w:t xml:space="preserve"> </w:t>
      </w:r>
      <w:r w:rsidR="00B27647">
        <w:fldChar w:fldCharType="begin"/>
      </w:r>
      <w:r w:rsidR="009B21A9">
        <w:instrText xml:space="preserve"> ADDIN ZOTERO_ITEM CSL_CITATION {"citationID":"6ZhthsY6","properties":{"formattedCitation":"[6\\uc0\\u8211{}8]","plainCitation":"[6–8]","noteIndex":0},"citationItems":[{"id":"fmCYmJCr/89jmpi3C","uris":["http://zotero.org/users/local/QFmVNDJO/items/G6Z6S9KI"],"itemData":{"id":503,"type":"article-journal","abstract":"The bone is a metabolically active organ which undergoes repeated remodeling cycles of bone resorption and formation. In this study, we revealed a robust and extremely long-lasting circadian rhythm in ex vivo culture maintained for over six months from the femoral bone of a PERIOD2Luciferase mouse. Furthermore, we also identified robust circadian clocks in flat bones. High- or low-magnification real-time bioluminescence microscopic imaging revealed that the robust circadian rhythms emanated from the articular cartilage and the epiphyseal cartilage within the growth plate of juvenile animals. Stimulation by forskolin or dexamethasone treatment caused type 0 phase resetting, indicating canonical entraining properties of the bone clock. Together, our findings from long-term ex vivo culture revealed that “tissue-autonomous” circadian rhythm in the articular cartilage and the growth plate of femoral bone functions for several months even in an organ culture condition, and provided a useful in vitro assay system investigating the role of the biological clock in bone formation or development.","container-title":"PLOS ONE","DOI":"10.1371/journal.pone.0078306","ISSN":"1932-6203","issue":"11","journalAbbreviation":"PLOS ONE","language":"en","page":"e78306","publisher":"Public Library of Science","source":"PLoS Journals","title":"Prolonged Bioluminescence Monitoring in Mouse Ex Vivo Bone Culture Revealed Persistent Circadian Rhythms in Articular Cartilages and Growth Plates","volume":"8","author":[{"family":"Okubo","given":"Naoki"},{"family":"Minami","given":"Yoichi"},{"family":"Fujiwara","given":"Hiroyoshi"},{"family":"Umemura","given":"Yasuhiro"},{"family":"Tsuchiya","given":"Yoshiki"},{"family":"Shirai","given":"Toshiharu"},{"family":"Oda","given":"Ryo"},{"family":"Inokawa","given":"Hitoshi"},{"family":"Kubo","given":"Toshikazu"},{"family":"Yagita","given":"Kazuhiro"}],"issued":{"date-parts":[["2013",11,4]]}}},{"id":"fmCYmJCr/ytLOdAZ8","uris":["http://zotero.org/users/local/QFmVNDJO/items/69G2FSME"],"itemData":{"id":499,"type":"article-journal","container-title":"The Journal of Clinical Investigation","DOI":"10.1172/JCI82755","ISSN":"0021-9738","issue":"1","journalAbbreviation":"J Clin Invest","language":"en","page":"365-376","PMID":"0","publisher":"American Society for Clinical Investigation","source":"www.jci.org","title":"The chondrocyte clock gene &lt;i&gt;Bmal1&lt;/i&gt; controls cartilage homeostasis and integrity","volume":"126","author":[{"family":"Dudek","given":"Michal"},{"family":"Gossan","given":"Nicole"},{"family":"Yang","given":"Nan"},{"family":"Im","given":"Hee-Jeong"},{"family":"Ruckshanthi","given":"Jayalath P. D."},{"family":"Yoshitane","given":"Hikari"},{"family":"Li","given":"Xin"},{"family":"Jin","given":"Ding"},{"family":"Wang","given":"Ping"},{"family":"Boudiffa","given":"Maya"},{"family":"Bellantuono","given":"Ilaria"},{"family":"Fukada","given":"Yoshitaka"},{"family":"Boot-Handford","given":"Ray P."},{"family":"Meng","given":"Qing-Jun"}],"issued":{"date-parts":[["2016",1,4]]}}},{"id":"fmCYmJCr/79sW5Kr6","uris":["http://zotero.org/users/local/QFmVNDJO/items/XTNSUQ95"],"itemData":{"id":497,"type":"article-journal","abstract":"Objective To characterize the circadian clock in murine cartilage tissue and identify tissue-specific clock target genes, and to investigate whether the circadian clock changes during aging or during cartilage degeneration using an experimental mouse model of osteoarthritis (OA). Methods Cartilage explants were obtained from aged and young adult mice after transduction with the circadian clock fusion protein reporter PER2::luc, and real-time bioluminescence recordings were used to characterize the properties of the clock. Time-series microarrays were performed on mouse cartilage tissue to identify genes expressed in a circadian manner. Rhythmic genes were confirmed by quantitative reverse transcription–polymerase chain reaction using mouse tissue, primary chondrocytes, and a human chondrocyte cell line. Experimental OA was induced in mice by destabilization of the medial meniscus (DMM), and articular cartilage samples were microdissected and subjected to microarray analysis. Results Mouse cartilage tissue and a human chondrocyte cell line were found to contain intrinsic molecular circadian clocks. The cartilage clock could be reset by temperature signals, while the circadian period was temperature compensated. PER2::luc bioluminescence demonstrated that circadian oscillations were significantly lower in amplitude in cartilage from aged mice. Time-series microarray analyses of the mouse tissue identified the first circadian transcriptome in cartilage, revealing that 615 genes (</w:instrText>
      </w:r>
      <w:r w:rsidR="009B21A9">
        <w:rPr>
          <w:rFonts w:ascii="Cambria Math" w:hAnsi="Cambria Math" w:cs="Cambria Math"/>
        </w:rPr>
        <w:instrText>∼</w:instrText>
      </w:r>
      <w:r w:rsidR="009B21A9">
        <w:instrText xml:space="preserve">3.9% of the expressed genes) displayed a circadian pattern of expression. This included genes involved in cartilage homeostasis and survival, as well as genes with potential importance in the pathogenesis of OA. Several clock genes were disrupted in the early stages of cartilage degeneration in the DMM mouse model of OA. Conclusion These results reveal an autonomous circadian clock in chondrocytes that can be implicated in key aspects of cartilage biology and pathology. Consequently, circadian disruption (e.g., during aging) may compromise tissue homeostasis and increase susceptibility to joint damage or disease.","container-title":"Arthritis &amp; Rheumatism","DOI":"10.1002/art.38035","ISSN":"1529-0131","issue":"9","language":"en","license":"© 2013 The Authors. Arthritis &amp; Rheumatism is published by Wiley Periodicals, Inc. on behalf of the American College of Rheumatology.","note":"_eprint: https://acrjournals.onlinelibrary.wiley.com/doi/pdf/10.1002/art.38035","page":"2334-2345","source":"Wiley Online Library","title":"The Circadian Clock in Murine Chondrocytes Regulates Genes Controlling Key Aspects of Cartilage Homeostasis","volume":"65","author":[{"family":"Gossan","given":"Nicole"},{"family":"Zeef","given":"Leo"},{"family":"Hensman","given":"James"},{"family":"Hughes","given":"Alun"},{"family":"Bateman","given":"John F."},{"family":"Rowley","given":"Lynn"},{"family":"Little","given":"Christopher B."},{"family":"Piggins","given":"Hugh D."},{"family":"Rattray","given":"Magnus"},{"family":"Boot-Handford","given":"Raymond P."},{"family":"Meng","given":"Qing-Jun"}],"issued":{"date-parts":[["2013"]]}}}],"schema":"https://github.com/citation-style-language/schema/raw/master/csl-citation.json"} </w:instrText>
      </w:r>
      <w:r w:rsidR="00B27647">
        <w:fldChar w:fldCharType="separate"/>
      </w:r>
      <w:r w:rsidR="004E5BCB" w:rsidRPr="004E5BCB">
        <w:rPr>
          <w:rFonts w:ascii="Calibri" w:hAnsi="Calibri" w:cs="Calibri"/>
          <w:kern w:val="0"/>
        </w:rPr>
        <w:t>[6–8]</w:t>
      </w:r>
      <w:r w:rsidR="00B27647">
        <w:fldChar w:fldCharType="end"/>
      </w:r>
      <w:r w:rsidR="00833B23" w:rsidRPr="00DF59C0">
        <w:t xml:space="preserve">. Real-time bioluminescence recordings from </w:t>
      </w:r>
      <w:r w:rsidR="00833B23" w:rsidRPr="00DF59C0">
        <w:rPr>
          <w:i/>
          <w:iCs/>
        </w:rPr>
        <w:t>PER</w:t>
      </w:r>
      <w:proofErr w:type="gramStart"/>
      <w:r w:rsidR="00833B23" w:rsidRPr="00DF59C0">
        <w:rPr>
          <w:i/>
          <w:iCs/>
        </w:rPr>
        <w:t>2::</w:t>
      </w:r>
      <w:proofErr w:type="gramEnd"/>
      <w:r w:rsidR="00833B23" w:rsidRPr="00DF59C0">
        <w:rPr>
          <w:i/>
          <w:iCs/>
        </w:rPr>
        <w:t>LUC</w:t>
      </w:r>
      <w:r w:rsidR="00833B23" w:rsidRPr="00DF59C0">
        <w:t xml:space="preserve"> transgenic reporter mice demonstrate that cartilage explants exhibit self-sustained, robust circadian oscillations </w:t>
      </w:r>
      <w:r w:rsidR="00833B23" w:rsidRPr="00DF59C0">
        <w:rPr>
          <w:i/>
          <w:iCs/>
        </w:rPr>
        <w:t>ex vivo</w:t>
      </w:r>
      <w:r w:rsidR="00833B23" w:rsidRPr="00DF59C0">
        <w:t xml:space="preserve">. Furthermore, </w:t>
      </w:r>
      <w:r w:rsidR="00833B23" w:rsidRPr="00DF59C0">
        <w:rPr>
          <w:i/>
          <w:iCs/>
        </w:rPr>
        <w:t>in vivo</w:t>
      </w:r>
      <w:r w:rsidR="00833B23" w:rsidRPr="00DF59C0">
        <w:t xml:space="preserve"> transcriptomic profiling has revealed that approximately 3.9% of the cartilage genome is rhythmically transcribed, featuring genes critical for tissue homeostasis, cellular survival, and TGF-β </w:t>
      </w:r>
      <w:r w:rsidR="007E25BC" w:rsidRPr="00DF59C0">
        <w:t>signalling</w:t>
      </w:r>
      <w:r w:rsidR="002F340A">
        <w:t xml:space="preserve"> </w:t>
      </w:r>
      <w:r w:rsidR="002F340A">
        <w:fldChar w:fldCharType="begin"/>
      </w:r>
      <w:r w:rsidR="009B21A9">
        <w:instrText xml:space="preserve"> ADDIN ZOTERO_ITEM CSL_CITATION {"citationID":"8JxmZXh3","properties":{"formattedCitation":"[7]","plainCitation":"[7]","noteIndex":0},"citationItems":[{"id":"fmCYmJCr/ytLOdAZ8","uris":["http://zotero.org/users/local/QFmVNDJO/items/69G2FSME"],"itemData":{"id":499,"type":"article-journal","container-title":"The Journal of Clinical Investigation","DOI":"10.1172/JCI82755","ISSN":"0021-9738","issue":"1","journalAbbreviation":"J Clin Invest","language":"en","page":"365-376","PMID":"0","publisher":"American Society for Clinical Investigation","source":"www.jci.org","title":"The chondrocyte clock gene &lt;i&gt;Bmal1&lt;/i&gt; controls cartilage homeostasis and integrity","volume":"126","author":[{"family":"Dudek","given":"Michal"},{"family":"Gossan","given":"Nicole"},{"family":"Yang","given":"Nan"},{"family":"Im","given":"Hee-Jeong"},{"family":"Ruckshanthi","given":"Jayalath P. D."},{"family":"Yoshitane","given":"Hikari"},{"family":"Li","given":"Xin"},{"family":"Jin","given":"Ding"},{"family":"Wang","given":"Ping"},{"family":"Boudiffa","given":"Maya"},{"family":"Bellantuono","given":"Ilaria"},{"family":"Fukada","given":"Yoshitaka"},{"family":"Boot-Handford","given":"Ray P."},{"family":"Meng","given":"Qing-Jun"}],"issued":{"date-parts":[["2016",1,4]]}}}],"schema":"https://github.com/citation-style-language/schema/raw/master/csl-citation.json"} </w:instrText>
      </w:r>
      <w:r w:rsidR="002F340A">
        <w:fldChar w:fldCharType="separate"/>
      </w:r>
      <w:r w:rsidR="002F340A" w:rsidRPr="004E5BCB">
        <w:rPr>
          <w:rFonts w:ascii="Calibri" w:hAnsi="Calibri" w:cs="Calibri"/>
        </w:rPr>
        <w:t>[7]</w:t>
      </w:r>
      <w:r w:rsidR="002F340A">
        <w:fldChar w:fldCharType="end"/>
      </w:r>
      <w:r w:rsidR="00833B23" w:rsidRPr="00DF59C0">
        <w:t xml:space="preserve">. </w:t>
      </w:r>
      <w:r w:rsidRPr="002A079F">
        <w:t>Disruption of the chondrocyte clock, including loss of Bmal1, accelerates cartilage ageing and degeneration</w:t>
      </w:r>
      <w:r w:rsidR="00B27647">
        <w:t xml:space="preserve"> </w:t>
      </w:r>
      <w:r w:rsidR="00B27647">
        <w:fldChar w:fldCharType="begin"/>
      </w:r>
      <w:r w:rsidR="009B21A9">
        <w:instrText xml:space="preserve"> ADDIN ZOTERO_ITEM CSL_CITATION {"citationID":"grEIGCrV","properties":{"formattedCitation":"[7]","plainCitation":"[7]","noteIndex":0},"citationItems":[{"id":"fmCYmJCr/ytLOdAZ8","uris":["http://zotero.org/users/local/QFmVNDJO/items/69G2FSME"],"itemData":{"id":499,"type":"article-journal","container-title":"The Journal of Clinical Investigation","DOI":"10.1172/JCI82755","ISSN":"0021-9738","issue":"1","journalAbbreviation":"J Clin Invest","language":"en","page":"365-376","PMID":"0","publisher":"American Society for Clinical Investigation","source":"www.jci.org","title":"The chondrocyte clock gene &lt;i&gt;Bmal1&lt;/i&gt; controls cartilage homeostasis and integrity","volume":"126","author":[{"family":"Dudek","given":"Michal"},{"family":"Gossan","given":"Nicole"},{"family":"Yang","given":"Nan"},{"family":"Im","given":"Hee-Jeong"},{"family":"Ruckshanthi","given":"Jayalath P. D."},{"family":"Yoshitane","given":"Hikari"},{"family":"Li","given":"Xin"},{"family":"Jin","given":"Ding"},{"family":"Wang","given":"Ping"},{"family":"Boudiffa","given":"Maya"},{"family":"Bellantuono","given":"Ilaria"},{"family":"Fukada","given":"Yoshitaka"},{"family":"Boot-Handford","given":"Ray P."},{"family":"Meng","given":"Qing-Jun"}],"issued":{"date-parts":[["2016",1,4]]}}}],"schema":"https://github.com/citation-style-language/schema/raw/master/csl-citation.json"} </w:instrText>
      </w:r>
      <w:r w:rsidR="00B27647">
        <w:fldChar w:fldCharType="separate"/>
      </w:r>
      <w:r w:rsidR="004E5BCB" w:rsidRPr="004E5BCB">
        <w:rPr>
          <w:rFonts w:ascii="Calibri" w:hAnsi="Calibri" w:cs="Calibri"/>
        </w:rPr>
        <w:t>[7]</w:t>
      </w:r>
      <w:r w:rsidR="00B27647">
        <w:fldChar w:fldCharType="end"/>
      </w:r>
      <w:r w:rsidR="00833B23">
        <w:t>.</w:t>
      </w:r>
      <w:r w:rsidR="00817210">
        <w:t xml:space="preserve"> </w:t>
      </w:r>
      <w:r w:rsidR="00833B23" w:rsidRPr="00DF59C0">
        <w:t>Because peripheral clocks are semi-autonomous and susceptible to intrinsic molecular noise, their TTFLs will gradually de</w:t>
      </w:r>
      <w:r w:rsidR="00700973">
        <w:t>synchronise</w:t>
      </w:r>
      <w:r w:rsidR="00833B23" w:rsidRPr="00DF59C0">
        <w:t xml:space="preserve"> from one another in the absence of daily resetting cues. To maintain phase coherence at the tissue level, peripheral clocks require daily entrainment by </w:t>
      </w:r>
      <w:r w:rsidR="00833B23" w:rsidRPr="00DF59C0">
        <w:rPr>
          <w:i/>
          <w:iCs/>
        </w:rPr>
        <w:t>zeitgebers</w:t>
      </w:r>
      <w:r w:rsidR="0065285F">
        <w:rPr>
          <w:i/>
          <w:iCs/>
        </w:rPr>
        <w:t xml:space="preserve"> (</w:t>
      </w:r>
      <w:r w:rsidR="00A44979">
        <w:rPr>
          <w:i/>
          <w:iCs/>
        </w:rPr>
        <w:t>time cues</w:t>
      </w:r>
      <w:r w:rsidR="0065285F">
        <w:rPr>
          <w:i/>
          <w:iCs/>
        </w:rPr>
        <w:t>)</w:t>
      </w:r>
      <w:r w:rsidR="002D3E15">
        <w:rPr>
          <w:i/>
          <w:iCs/>
        </w:rPr>
        <w:t xml:space="preserve"> </w:t>
      </w:r>
      <w:r w:rsidR="002D3E15">
        <w:rPr>
          <w:i/>
          <w:iCs/>
        </w:rPr>
        <w:fldChar w:fldCharType="begin"/>
      </w:r>
      <w:r w:rsidR="009B21A9">
        <w:rPr>
          <w:i/>
          <w:iCs/>
        </w:rPr>
        <w:instrText xml:space="preserve"> ADDIN ZOTERO_ITEM CSL_CITATION {"citationID":"L2IOjtde","properties":{"formattedCitation":"[9]","plainCitation":"[9]","noteIndex":0},"citationItems":[{"id":"fmCYmJCr/2PNUwnp9","uris":["http://zotero.org/users/local/QFmVNDJO/items/W5PD8STQ"],"itemData":{"id":505,"type":"article-journal","container-title":"Current Biology","DOI":"10.1016/j.cub.2016.04.011","ISSN":"0960-9822","issue":"10","journalAbbreviation":"Current Biology","language":"English","page":"R432-R443","PMID":"27218855","publisher":"Elsevier","source":"www.cell.com","title":"The Circadian Clock and Human Health","volume":"26","author":[{"family":"Roenneberg","given":"Till"},{"family":"Merrow","given":"Martha"}],"issued":{"date-parts":[["2016",5,23]]}}}],"schema":"https://github.com/citation-style-language/schema/raw/master/csl-citation.json"} </w:instrText>
      </w:r>
      <w:r w:rsidR="002D3E15">
        <w:rPr>
          <w:i/>
          <w:iCs/>
        </w:rPr>
        <w:fldChar w:fldCharType="separate"/>
      </w:r>
      <w:r w:rsidR="004E5BCB" w:rsidRPr="004E5BCB">
        <w:rPr>
          <w:rFonts w:ascii="Calibri" w:hAnsi="Calibri" w:cs="Calibri"/>
        </w:rPr>
        <w:t>[9]</w:t>
      </w:r>
      <w:r w:rsidR="002D3E15">
        <w:rPr>
          <w:i/>
          <w:iCs/>
        </w:rPr>
        <w:fldChar w:fldCharType="end"/>
      </w:r>
      <w:r w:rsidR="00833B23" w:rsidRPr="00DF59C0">
        <w:t xml:space="preserve">. The anatomical isolation of articular cartilage poses a unique entrainment challenge. Lacking direct innervation and vascular supply, chondrocytes are insulated from rapid systemic neural signals. Instead, they must discern the time of day by sensing diffusible hormonal factors and, crucially, the local physicochemical fluctuations of their unique biomechanical niche. </w:t>
      </w:r>
      <w:r w:rsidR="00970FB5">
        <w:t>So far, t</w:t>
      </w:r>
      <w:r w:rsidR="00833B23" w:rsidRPr="00DF59C0">
        <w:t xml:space="preserve">hree categories of </w:t>
      </w:r>
      <w:r w:rsidR="00833B23" w:rsidRPr="00DF59C0">
        <w:rPr>
          <w:i/>
          <w:iCs/>
        </w:rPr>
        <w:t>zeitgebers</w:t>
      </w:r>
      <w:r w:rsidR="00833B23" w:rsidRPr="00DF59C0">
        <w:t xml:space="preserve"> have been </w:t>
      </w:r>
      <w:r w:rsidR="00970FB5">
        <w:t>identified</w:t>
      </w:r>
      <w:r w:rsidR="00970FB5" w:rsidRPr="00DF59C0">
        <w:t xml:space="preserve"> </w:t>
      </w:r>
      <w:r w:rsidR="00833B23" w:rsidRPr="00DF59C0">
        <w:t xml:space="preserve">as </w:t>
      </w:r>
      <w:r w:rsidR="00700973">
        <w:t>synchronise</w:t>
      </w:r>
      <w:r w:rsidR="00833B23" w:rsidRPr="00DF59C0">
        <w:t>rs of the chondrocyte clock</w:t>
      </w:r>
      <w:r w:rsidR="00C82976">
        <w:t>s</w:t>
      </w:r>
      <w:r w:rsidR="007E25BC">
        <w:t xml:space="preserve"> </w:t>
      </w:r>
      <w:r w:rsidR="007E25BC" w:rsidRPr="007E25BC">
        <w:rPr>
          <w:i/>
          <w:iCs/>
        </w:rPr>
        <w:t>in vivo</w:t>
      </w:r>
      <w:r w:rsidR="00833B23" w:rsidRPr="00DF59C0">
        <w:t>: endocrine, thermal, and mechanical/osmotic signals</w:t>
      </w:r>
      <w:r w:rsidR="002D3E15">
        <w:t xml:space="preserve"> </w:t>
      </w:r>
      <w:r w:rsidR="002D3E15">
        <w:fldChar w:fldCharType="begin"/>
      </w:r>
      <w:r w:rsidR="009B21A9">
        <w:instrText xml:space="preserve"> ADDIN ZOTERO_ITEM CSL_CITATION {"citationID":"Ko6FmAlP","properties":{"formattedCitation":"[10\\uc0\\u8211{}12]","plainCitation":"[10–12]","noteIndex":0},"citationItems":[{"id":"fmCYmJCr/DzPQCxTt","uris":["http://zotero.org/users/local/QFmVNDJO/items/EQARVRJQ"],"itemData":{"id":508,"type":"article-journal","abstract":"Osteoarthritis (OA) is an active disease of the whole joint that is subject to both local and systemic regulationThe nervous system controls key aspects of joint pathophysiology by regulating circadian rhythms, the hypothalamic–pituitary–adrenal axis, and metabolic and inflammatory pathwaysAgeing, obesity and chronic inflammation interfere with the brain–joint axis (including the circadian system), which compromises joint homeostasis and increases susceptibility to OACircadian clocks in the central brain and peripheral joint tissues temporally coordinate local physiology to the daily rhythmic environment (light–dark, feeding–fasting, body temperature regulation and mechanical loading cycles)Environmental or genetic disruption to the biological timing system might be a novel risk factor for OA susceptibilityTargeting the nervous system or circadian system could provide novel therapeutic avenues for OA","container-title":"Nature Reviews Rheumatology","DOI":"10.1038/nrrheum.2016.93","ISSN":"1759-4804","issue":"9","journalAbbreviation":"Nat Rev Rheumatol","language":"en","license":"2016 Springer Nature Limited","page":"508-516","publisher":"Nature Publishing Group","source":"www.nature.com","title":"The brain–joint axis in osteoarthritis: nerves, circadian clocks and beyond","title-short":"The brain–joint axis in osteoarthritis","volume":"12","author":[{"family":"Berenbaum","given":"Francis"},{"family":"Meng","given":"Qing-Jun"}],"issued":{"date-parts":[["2016",9]]}}},{"id":"fmCYmJCr/nxxnQNKg","uris":["http://zotero.org/users/local/QFmVNDJO/items/PE3ZMC8P"],"itemData":{"id":536,"type":"article","abstract":"Objective Prior studies have shown that disruption of the circadian clock leads to cartilage degeneration in mice while shift work is associated with higher risk of osteoarthritis (OA) in humans. In this study we investigated the potential of heat pulses to restore dampened circadian rhythms in articular cartilage.\nMethods Femoral head cartilage explants and primary chondrocytes were isolated from PER2::LUC mice. Human femoral condyle cartilage was obtained from osteoarthritic patients undergoing total knee replacement. Tissues and cells were exposed to heat shock at various temperatures (37-43 °C) and incubation lengths. Bioluminescence from explants and cells was recorded in real-time. RNA sequencing and qPCR were used to assess gene expression changes in response to heat.\nResults We established that a 60-min pulse at 43 °C was sufficient to restore dampened PER2::LUC rhythms in mouse cartilage explants or in primary chondrocytes. Transcriptome analysis in mouse articular cartilage showed an up-regulation of genes encoding heat shock proteins and collagens, and a transient down-regulation of Sox9, Runx2, Per1, Clock and Cry2. Heat induced the expression of circadian clock genes in human osteoarthritic knee cartilage. Mechanistically, inhibition of HSP90 activity or perturbation of F-actin polymerisation blocked the heat-induced resynchronisation of circadian rhythms.\nConclusion Together, these data have contributed to a greater understanding of the multifaceted nature of the connections between circadian timekeeping, heat stress responses and homeostasis in articular cartilage. These findings also suggest that time-prescribed temperature increases could be developed into a non-invasive intervention to slow down tissue ageing and restore homeostasis in osteoarthritic joints by improving circadian oscillations of cartilage rhythmic pathways.","DOI":"10.1101/2024.01.26.577368","language":"en","license":"© 2024, Posted by Cold Spring Harbor Laboratory. The copyright holder for this pre-print is the author. All rights reserved. The material may not be redistributed, re-used or adapted without the author's permission.","note":"page: 2024.01.26.577368\nsection: New Results","publisher":"bioRxiv","source":"bioRxiv","title":"Modulation of circadian rhythms in articular cartilage by heat pulses","URL":"https://www.biorxiv.org/content/10.1101/2024.01.26.577368v1","author":[{"family":"Gonçalves","given":"Cátia F."},{"family":"Dudek","given":"Michal"},{"family":"Pathiranage","given":"Dharshika RJ"},{"family":"Paszek","given":"Anna"},{"family":"El-Houni","given":"Zeyad"},{"family":"Li","given":"Shiyang"},{"family":"Tawy","given":"Gwenllian"},{"family":"Biant","given":"Leela"},{"family":"Hoyland","given":"Judith A."},{"family":"Meng","given":"Qing-Jun"}],"accessed":{"date-parts":[["2026",3,17]]},"issued":{"date-parts":[["2024",1,26]]}}},{"id":"fmCYmJCr/oA0Ras37","uris":["http://zotero.org/users/local/QFmVNDJO/items/NVJ3R6SZ"],"itemData":{"id":538,"type":"article-journal","abstract":"Daily rhythms in mammalian behaviour and physiology are generated by a multi-oscillator circadian system entrained through environmental cues (e.g. light and feeding). The presence of tissue niche-dependent physiological time cues has been proposed, allowing tissues the ability of circadian phase adjustment based on local signals. However, to date, such stimuli have remained elusive. Here we show that daily patterns of mechanical loading and associated osmotic challenge within physiological ranges reset circadian clock phase and amplitude in cartilage and intervertebral disc tissues in vivo and in tissue explant cultures. Hyperosmolarity (but not hypo-osmolarity) resets clocks in young and ageing skeletal tissues and induce genome-wide expression of rhythmic genes in cells. Mechanistically, RNAseq and biochemical analysis revealed the PLD2-mTORC2-AKT-GSK3β axis as a convergent pathway for both in vivo loading and hyperosmolarity-induced clock changes. These results reveal diurnal patterns of mechanical loading and consequent daily oscillations in osmolarity as a bona fide tissue niche-specific time cue to maintain skeletal circadian rhythms in sync.","container-title":"Nature Communications","DOI":"10.1038/s41467-023-42056-1","ISSN":"2041-1723","issue":"1","journalAbbreviation":"Nat Commun","language":"en","license":"2023 The Author(s)","page":"7237","publisher":"Nature Publishing Group","source":"www.nature.com","title":"Mechanical loading and hyperosmolarity as a daily resetting cue for skeletal circadian clocks","volume":"14","author":[{"family":"Dudek","given":"Michal"},{"family":"Pathiranage","given":"Dharshika R. J."},{"family":"Bano-Otalora","given":"Beatriz"},{"family":"Paszek","given":"Anna"},{"family":"Rogers","given":"Natalie"},{"family":"Gonçalves","given":"Cátia F."},{"family":"Lawless","given":"Craig"},{"family":"Wang","given":"Dong"},{"family":"Luo","given":"Zhuojing"},{"family":"Yang","given":"Liu"},{"family":"Guilak","given":"Farshid"},{"family":"Hoyland","given":"Judith A."},{"family":"Meng","given":"Qing-Jun"}],"issued":{"date-parts":[["2023",11,14]]}}}],"schema":"https://github.com/citation-style-language/schema/raw/master/csl-citation.json"} </w:instrText>
      </w:r>
      <w:r w:rsidR="002D3E15">
        <w:fldChar w:fldCharType="separate"/>
      </w:r>
      <w:r w:rsidR="00FF5F1B" w:rsidRPr="00FF5F1B">
        <w:rPr>
          <w:rFonts w:ascii="Calibri" w:hAnsi="Calibri" w:cs="Calibri"/>
          <w:kern w:val="0"/>
        </w:rPr>
        <w:t>[10–12]</w:t>
      </w:r>
      <w:r w:rsidR="002D3E15">
        <w:fldChar w:fldCharType="end"/>
      </w:r>
      <w:r w:rsidR="00833B23" w:rsidRPr="00DF59C0">
        <w:t>.   </w:t>
      </w:r>
    </w:p>
    <w:p w14:paraId="17DB5DE8" w14:textId="4F6B597D" w:rsidR="00833B23" w:rsidRPr="00DF59C0" w:rsidRDefault="006306EF" w:rsidP="00817210">
      <w:pPr>
        <w:ind w:firstLine="720"/>
        <w:jc w:val="both"/>
      </w:pPr>
      <w:r w:rsidRPr="006306EF">
        <w:t>A common approach for studying peripheral clocks is to culture established cell lines or primary cells and expose them to an acute synchronising stimulus before time-course sampling</w:t>
      </w:r>
      <w:r w:rsidR="00703EE9">
        <w:t xml:space="preserve"> </w:t>
      </w:r>
      <w:r w:rsidR="00703EE9">
        <w:fldChar w:fldCharType="begin"/>
      </w:r>
      <w:r w:rsidR="009B21A9">
        <w:instrText xml:space="preserve"> ADDIN ZOTERO_ITEM CSL_CITATION {"citationID":"ZjssvKF1","properties":{"formattedCitation":"[13\\uc0\\u8211{}15]","plainCitation":"[13–15]","noteIndex":0},"citationItems":[{"id":"fmCYmJCr/ivXRb9Nb","uris":["http://zotero.org/users/local/QFmVNDJO/items/B5MGS8UQ"],"itemData":{"id":513,"type":"article-journal","abstract":"Mammalian cells such as rat-1 fibroblasts have been shown to exhibit daily oscillations in the expression of several gene transcripts in culture. After induction, these oscillations persist with a period of ≈24 h for several days. This characteristic suggests that the oscillations are controlled by a circadian clock, but the crucial criterion of temperature compensation has not been demonstrated for rat-1 fibroblasts. We have developed an automated assay of circadian expression of the mPer1 promoter in rat-1 fibroblasts that have been stably transfected with a luciferase reporter. Using this cell culture-based in vitro luminescent reporter assay, we found that the daily oscillation of mPer1 promoter activity in rat-1 cells is temperature compensated over the range of 28.5-36.5°C. This finding means that these oscillations are bona fide circadian rhythms. Moreover, the circadian clock of these homeothermic mammalian cells not only is temperature compensated but also is overcompensated such that it runs faster at cooler temperatures (Q10 of 0.85-0.88). The oscillations in rat-1 fibroblasts damp more rapidly at cooler temperatures, and damping is not due to cells becoming unhealthy because a second stimulus will reinitiate a robust rhythm. These data show that rat-1 cell cultures that are stably transfected with luminescence reporters are an excellent model system for studying circadian clocks at the cellular level in mammals.","container-title":"Proceedings of the National Academy of Sciences","DOI":"10.1073/pnas.2536313100","issue":"26","page":"16089-16094","publisher":"Proceedings of the National Academy of Sciences","source":"pnas.org (Atypon)","title":"Circadian gene expression in mammalian fibroblasts revealed by real-time luminescence reporting: Temperature compensation and damping","title-short":"Circadian gene expression in mammalian fibroblasts revealed by real-time luminescence reporting","volume":"100","author":[{"family":"Izumo","given":"Mariko"},{"family":"Johnson","given":"Carl Hirschie"},{"family":"Yamazaki","given":"Shin"}],"issued":{"date-parts":[["2003",12,23]]}}},{"id":"fmCYmJCr/wqYlJOf7","uris":["http://zotero.org/users/local/QFmVNDJO/items/SHAAADF6"],"itemData":{"id":510,"type":"article-journal","container-title":"Current Biology","DOI":"10.1016/S0960-9822(00)00758-2","ISSN":"0960-9822","issue":"20","journalAbbreviation":"Current Biology","language":"English","page":"1291-1294","PMID":"11069111","publisher":"Elsevier","source":"www.cell.com","title":"Multiple signaling pathways elicit circadian gene expression in cultured Rat-1 fibroblasts","volume":"10","author":[{"family":"Balsalobre","given":"Aurélio"},{"family":"Marcacci","given":"Lysiane"},{"family":"Schibler","given":"Ueli"}],"issued":{"date-parts":[["2000",10,14]]}}},{"id":"fmCYmJCr/QIjqUepE","uris":["http://zotero.org/users/local/QFmVNDJO/items/WLPWKV6U"],"itemData":{"id":515,"type":"article-journal","container-title":"Cell","DOI":"10.1016/j.cell.2004.11.015","ISSN":"0092-8674, 1097-4172","issue":"5","journalAbbreviation":"Cell","language":"English","page":"693-705","PMID":"15550250","publisher":"Elsevier","source":"www.cell.com","title":"Circadian Gene Expression in Individual Fibroblasts: Cell-Autonomous and Self-Sustained Oscillators Pass Time to Daughter Cells","title-short":"Circadian Gene Expression in Individual Fibroblasts","volume":"119","author":[{"family":"Nagoshi","given":"Emi"},{"family":"Saini","given":"Camille"},{"family":"Bauer","given":"Christoph"},{"family":"Laroche","given":"Thierry"},{"family":"Naef","given":"Felix"},{"family":"Schibler","given":"Ueli"}],"issued":{"date-parts":[["2004",11,24]]}}}],"schema":"https://github.com/citation-style-language/schema/raw/master/csl-citation.json"} </w:instrText>
      </w:r>
      <w:r w:rsidR="00703EE9">
        <w:fldChar w:fldCharType="separate"/>
      </w:r>
      <w:r w:rsidR="00FF5F1B" w:rsidRPr="00FF5F1B">
        <w:rPr>
          <w:rFonts w:ascii="Calibri" w:hAnsi="Calibri" w:cs="Calibri"/>
          <w:kern w:val="0"/>
        </w:rPr>
        <w:t>[13–15]</w:t>
      </w:r>
      <w:r w:rsidR="00703EE9">
        <w:fldChar w:fldCharType="end"/>
      </w:r>
      <w:r w:rsidR="00833B23" w:rsidRPr="00DF59C0">
        <w:t xml:space="preserve">. </w:t>
      </w:r>
      <w:r w:rsidRPr="006306EF">
        <w:t>This reductionist strategy has been essential for defining core clock mechanisms and input pathways, but it also removes cells from their native physiological environment. Culture conditions can substantially alter the transcriptional identity of primary cells</w:t>
      </w:r>
      <w:r w:rsidR="00E057D7">
        <w:t xml:space="preserve"> </w:t>
      </w:r>
      <w:r w:rsidR="00E057D7">
        <w:fldChar w:fldCharType="begin"/>
      </w:r>
      <w:r w:rsidR="009B21A9">
        <w:instrText xml:space="preserve"> ADDIN ZOTERO_ITEM CSL_CITATION {"citationID":"0D43ykDN","properties":{"formattedCitation":"[16,17]","plainCitation":"[16,17]","noteIndex":0},"citationItems":[{"id":"fmCYmJCr/cYZo8NM2","uris":["http://zotero.org/users/local/QFmVNDJO/items/TT55GU4E"],"itemData":{"id":521,"type":"article-journal","abstract":"Microglia play essential roles in central nervous system (CNS) homeostasis and influence diverse aspects of neuronal function. However, the transcriptional mechanisms that specify human microglia phenotypes are largely unknown. We examined the transcriptomes and epigenetic landscapes of human microglia isolated from surgically resected brain tissue ex vivo and after transition to an in vitro environment. Transfer to a tissue culture environment resulted in rapid and extensive down-regulation of microglia-specific genes that were induced in primitive mouse macrophages after migration into the fetal brain. Substantial subsets of these genes exhibited altered expression in neurodegenerative and behavioral diseases and were associated with noncoding risk variants. These findings reveal an environment-dependent transcriptional network specifying microglia-specific programs of gene expression and facilitate efforts to understand the roles of microglia in human brain diseases.","container-title":"Science","DOI":"10.1126/science.aal3222","issue":"6344","page":"eaal3222","publisher":"American Association for the Advancement of Science","source":"science.org (Atypon)","title":"An environment-dependent transcriptional network specifies human microglia identity","volume":"356","author":[{"family":"Gosselin","given":"David"},{"family":"Skola","given":"Dylan"},{"family":"Coufal","given":"Nicole G."},{"family":"Holtman","given":"Inge R."},{"family":"Schlachetzki","given":"Johannes C. M."},{"family":"Sajti","given":"Eniko"},{"family":"Jaeger","given":"Baptiste N."},{"family":"O’Connor","given":"Carolyn"},{"family":"Fitzpatrick","given":"Conor"},{"family":"Pasillas","given":"Martina P."},{"family":"Pena","given":"Monique"},{"family":"Adair","given":"Amy"},{"family":"Gonda","given":"David D."},{"family":"Levy","given":"Michael L."},{"family":"Ransohoff","given":"Richard M."},{"family":"Gage","given":"Fred H."},{"family":"Glass","given":"Christopher K."}],"issued":{"date-parts":[["2017",6,23]]}}},{"id":"fmCYmJCr/uT15vAnH","uris":["http://zotero.org/users/local/QFmVNDJO/items/9VH33JYQ"],"itemData":{"id":518,"type":"article-journal","abstract":"Objective\nWhen primary chondrocytes are cultured in monolayer, they undergo dedifferentiation during which they lose their phenotype and their capacity to form cartilage. Dedifferentiation is an obstacle for cell therapy for cartilage degeneration. In this study, we aimed to systemically evaluate the changes in gene expression during dedifferentiation of human articular chondrocytes to identify underlying mechanisms.\nMethods\nRNA was isolated from monolayer-cultured primary human articular chondrocytes at serial passages. Gene expression was analyzed by microarray. Based on the microarray analysis, relevant genes and pathways were identified. Their functions in chondrocyte dedifferentiation were further investigated.\nResults\nIn vitro expanded human chondrocytes showed progressive changes in gene expression. Strikingly, an overall decrease in total gene expression was detected, which was both gradual and cumulative. DNA methylation was in part responsible for the expression downregulation of a number of genes. Genes involved in many pathways such as the extracellular-signal-regulated kinase (ERK) and Bone morphogenetic protein (BMP) pathways exhibited significant changes in expression. Inhibition of ERK pathway did not show dramatic effects in counteracting dedifferentiation process. BMP-2 was able to decelerate the dedifferentiation and reinforce the maintenance of chondrocyte phenotype in monolayer culture.\nConclusion\nOur study not only improves our knowledge of the intricate signaling network regulating maintenance of chondrocyte phenotype, but also contributes to improved chondrocyte expansion and chondrogenic performance for cell therapy.","container-title":"Osteoarthritis and Cartilage","DOI":"10.1016/j.joca.2013.01.014","ISSN":"1063-4584","issue":"4","journalAbbreviation":"Osteoarthritis and Cartilage","page":"599-603","source":"ScienceDirect","title":"Gene expression profiling of dedifferentiated human articular chondrocytes in monolayer culture","volume":"21","author":[{"family":"Ma","given":"B."},{"family":"Leijten","given":"J. C. H."},{"family":"Wu","given":"L."},{"family":"Kip","given":"M."},{"family":"Blitterswijk","given":"C. A.","non-dropping-particle":"van"},{"family":"Post","given":"J. N."},{"family":"Karperien","given":"M."}],"issued":{"date-parts":[["2013",4,1]]}}}],"schema":"https://github.com/citation-style-language/schema/raw/master/csl-citation.json"} </w:instrText>
      </w:r>
      <w:r w:rsidR="00E057D7">
        <w:fldChar w:fldCharType="separate"/>
      </w:r>
      <w:r w:rsidR="00FF5F1B" w:rsidRPr="00FF5F1B">
        <w:rPr>
          <w:rFonts w:ascii="Calibri" w:hAnsi="Calibri" w:cs="Calibri"/>
        </w:rPr>
        <w:t>[16,17]</w:t>
      </w:r>
      <w:r w:rsidR="00E057D7">
        <w:fldChar w:fldCharType="end"/>
      </w:r>
      <w:r w:rsidR="00665A68">
        <w:t xml:space="preserve"> </w:t>
      </w:r>
      <w:r w:rsidRPr="006306EF">
        <w:t>and it remains unclear whether synchronised cells in vitro recapitulate the downstream rhythmic programmes present in intact tissues.</w:t>
      </w:r>
      <w:r w:rsidR="000066C6">
        <w:t xml:space="preserve"> </w:t>
      </w:r>
      <w:r w:rsidR="00833B23" w:rsidRPr="00DF59C0">
        <w:t>Chondrocytes</w:t>
      </w:r>
      <w:r w:rsidR="00752C03" w:rsidRPr="00DF59C0">
        <w:t xml:space="preserve"> are</w:t>
      </w:r>
      <w:r w:rsidR="00833B23" w:rsidRPr="00DF59C0">
        <w:t xml:space="preserve"> highly responsive to their microenvironment. The transition from a 3D mechanically active matrix to a static, 2D rigid substrate induces rapid dedifferentiation and fundamentally alters basal gene expression</w:t>
      </w:r>
      <w:r w:rsidR="005C7E79">
        <w:t xml:space="preserve"> </w:t>
      </w:r>
      <w:r w:rsidR="005C7E79">
        <w:fldChar w:fldCharType="begin"/>
      </w:r>
      <w:r w:rsidR="009B21A9">
        <w:instrText xml:space="preserve"> ADDIN ZOTERO_ITEM CSL_CITATION {"citationID":"yqpMI0m8","properties":{"formattedCitation":"[18]","plainCitation":"[18]","noteIndex":0},"citationItems":[{"id":"fmCYmJCr/7asGJBRi","uris":["http://zotero.org/users/local/QFmVNDJO/items/WNS2UB6K"],"itemData":{"id":523,"type":"article-journal","abstract":"Objective\nThree-dimensional (3D) cultures are widely used to redifferentiate chondrocytes. However, the rationale behind the choice for 3D above two-dimensional (2D) cultures is poorly systematically investigated and mainly based on mRNA expression and glycosaminoglycan (GAG) content. The objective was to determine the differential redifferentiation characteristics of human articular chondrocytes (HACs) in monolayer, alginate beads and pellet culture by investigating mRNA expression, protein expression, GAG content and cell proliferation.\nDesign\nDedifferentiated HACs from six individuals were redifferentiated in identical medium conditions for 7 days in monolayer, alginate beads or pellet culture. Read-out parameters were expression of chondrogenic and hypertrophic mRNAs and proteins, GAG content and cell proliferation.\nResults\n3D cultures specifically expressed chondrogenic mRNAs [collagen type II (COL2A1), SRY (sex determining region Y)-box 9 (SOX9), aggrecan (ACAN)), whereas 2D cultures did not. Hypertrophic mRNAs (collagen type X (COL10A1), runt-related transcription factor 2 (RUNX2), matrix metalloproteinase 13 (MMP13), vascular endothelial growth factor A (VEGFA), osteopontin (OPN), alkaline phosphatase (ALP)) were highly increased in 2D cultures and lower in 3D cultures. Collagen type I (COL1A1) mRNA expression was highest in 3D cultures. Protein expression supports most of the mRNA data, although an important discrepancy was found between mRNA and protein expression of COL2A1 and SOX9 in monolayer culture, stressing on the importance of protein expression analysis. GAG content was highest in 3D cultures, whereas chondrocyte proliferation was almost specific for 2D cultures.\nConclusions\nFor redifferentiation of dedifferentiated HACs, 3D cultures exhibit the most potent chondrogenic potential, whereas a hypertrophic phenotype is best achieved in 2D cultures. This is the first human study that systematically evaluates the differences between proliferation, GAG content, protein expression and mRNA expression of commonly used 2D and 3D chondrocyte culture techniques.","container-title":"Osteoarthritis and Cartilage","DOI":"10.1016/j.joca.2012.06.016","ISSN":"1063-4584","issue":"10","journalAbbreviation":"Osteoarthritis and Cartilage","page":"1170-1178","source":"ScienceDirect","title":"Redifferentiation of dedifferentiated human articular chondrocytes: comparison of 2D and 3D cultures","title-short":"Redifferentiation of dedifferentiated human articular chondrocytes","volume":"20","author":[{"family":"Caron","given":"M. M. J."},{"family":"Emans","given":"P. J."},{"family":"Coolsen","given":"M. M. E."},{"family":"Voss","given":"L."},{"family":"Surtel","given":"D. A. M."},{"family":"Cremers","given":"A."},{"family":"Rhijn","given":"L. W.","non-dropping-particle":"van"},{"family":"Welting","given":"T. J. M."}],"issued":{"date-parts":[["2012",10,1]]}}}],"schema":"https://github.com/citation-style-language/schema/raw/master/csl-citation.json"} </w:instrText>
      </w:r>
      <w:r w:rsidR="005C7E79">
        <w:fldChar w:fldCharType="separate"/>
      </w:r>
      <w:r w:rsidR="00FF5F1B" w:rsidRPr="00FF5F1B">
        <w:rPr>
          <w:rFonts w:ascii="Calibri" w:hAnsi="Calibri" w:cs="Calibri"/>
        </w:rPr>
        <w:t>[18]</w:t>
      </w:r>
      <w:r w:rsidR="005C7E79">
        <w:fldChar w:fldCharType="end"/>
      </w:r>
      <w:r w:rsidR="00833B23" w:rsidRPr="00DF59C0">
        <w:t>. Furthermore, th</w:t>
      </w:r>
      <w:r w:rsidR="00833B23">
        <w:t>is</w:t>
      </w:r>
      <w:r w:rsidR="00833B23" w:rsidRPr="00DF59C0">
        <w:t xml:space="preserve"> </w:t>
      </w:r>
      <w:r w:rsidR="00833B23">
        <w:t>approach relies on the idea</w:t>
      </w:r>
      <w:r w:rsidR="00833B23" w:rsidRPr="00DF59C0">
        <w:t xml:space="preserve"> that once the core TTFL is </w:t>
      </w:r>
      <w:r w:rsidR="00700973">
        <w:t>synchronise</w:t>
      </w:r>
      <w:r w:rsidR="00833B23" w:rsidRPr="00DF59C0">
        <w:t xml:space="preserve">d by </w:t>
      </w:r>
      <w:r w:rsidR="00833B23" w:rsidRPr="005F192D">
        <w:t>any</w:t>
      </w:r>
      <w:r w:rsidR="00833B23" w:rsidRPr="00DF59C0">
        <w:t xml:space="preserve"> valid </w:t>
      </w:r>
      <w:r w:rsidR="00833B23" w:rsidRPr="00DF59C0">
        <w:rPr>
          <w:i/>
          <w:iCs/>
        </w:rPr>
        <w:t>zeitgeber</w:t>
      </w:r>
      <w:r w:rsidR="00833B23" w:rsidRPr="00DF59C0">
        <w:t xml:space="preserve">, the clock will faithfully drive its innate, pre-programmed suite of "tissue-specific" clock-controlled genes. This assumes a linear, unidirectional relationship where the </w:t>
      </w:r>
      <w:r w:rsidR="00834B22">
        <w:t>synchronisation</w:t>
      </w:r>
      <w:r w:rsidR="00833B23" w:rsidRPr="00DF59C0">
        <w:t xml:space="preserve"> method merely starts the pendulum swinging, and the downstream gearwork remains constant</w:t>
      </w:r>
      <w:r w:rsidR="00F272F2">
        <w:t xml:space="preserve"> and passively respond</w:t>
      </w:r>
      <w:r w:rsidR="00A62FE6">
        <w:t>s</w:t>
      </w:r>
      <w:r w:rsidR="00833B23" w:rsidRPr="00DF59C0">
        <w:t>.</w:t>
      </w:r>
      <w:r w:rsidR="00817210">
        <w:t xml:space="preserve"> </w:t>
      </w:r>
      <w:r w:rsidR="00833B23" w:rsidRPr="00DF59C0">
        <w:t>However, emerging evidence challenges this static view of peripheral clocks. The core clock proteins do not function in isolation</w:t>
      </w:r>
      <w:r w:rsidR="005E3209">
        <w:t>.</w:t>
      </w:r>
      <w:r w:rsidR="00833B23" w:rsidRPr="00DF59C0">
        <w:t xml:space="preserve"> CLOCK and BMAL1 must frequently cooperate with lineage-specific or stimulus-activated co-transcription factors, and their binding is dependent upon the chromatin accessibility landscape of the cell</w:t>
      </w:r>
      <w:r w:rsidR="005C7E79">
        <w:t xml:space="preserve"> </w:t>
      </w:r>
      <w:r w:rsidR="005C7E79">
        <w:fldChar w:fldCharType="begin"/>
      </w:r>
      <w:r w:rsidR="009B21A9">
        <w:instrText xml:space="preserve"> ADDIN ZOTERO_ITEM CSL_CITATION {"citationID":"siWWfPsP","properties":{"formattedCitation":"[19\\uc0\\u8211{}21]","plainCitation":"[19–21]","noteIndex":0},"citationItems":[{"id":"fmCYmJCr/fe9gBw9F","uris":["http://zotero.org/users/local/QFmVNDJO/items/HMSLL389"],"itemData":{"id":526,"type":"article-journal","abstract":"Circadian rhythms drive the temporal organization of a wide variety of physiological and behavioral functions in </w:instrText>
      </w:r>
      <w:r w:rsidR="009B21A9">
        <w:rPr>
          <w:rFonts w:ascii="Cambria Math" w:hAnsi="Cambria Math" w:cs="Cambria Math"/>
        </w:rPr>
        <w:instrText>∼</w:instrText>
      </w:r>
      <w:r w:rsidR="009B21A9">
        <w:instrText xml:space="preserve">24-h cycles. This control is achieved through a complex program of gene expression. In mammals, the molecular clock machinery consists of interconnected transcriptional–translational feedback loops that ultimately ensure the proper oscillation of thousands of genes in a tissue-specific manner. To achieve circadian transcriptional control, chromatin remodelers serve the clock machinery by providing appropriate oscillations to the epigenome. Recent findings have revealed the presence of circadian interactomes, nuclear “hubs” of genome topology where coordinately expressed circadian genes physically interact in a spatial and temporal-specific manner. Thus, a circadian nuclear landscape seems to exist, whose interplay with metabolic pathways and clock regulators translates into specific transcriptional programs. Deciphering the molecular mechanisms that connect the circadian clock machinery with the nuclear landscape will reveal yet unexplored pathways that link cellular metabolism to epigenetic control.","container-title":"Proceedings of the National Academy of Sciences","DOI":"10.1073/pnas.1411264111","issue":"22","page":"6863-6870","publisher":"Proceedings of the National Academy of Sciences","source":"pnas.org (Atypon)","title":"Chromatin landscape and circadian dynamics: Spatial and temporal organization of clock transcription","title-short":"Chromatin landscape and circadian dynamics","volume":"112","author":[{"family":"Aguilar-Arnal","given":"Lorena"},{"family":"Sassone-Corsi","given":"Paolo"}],"issued":{"date-parts":[["2015",6,2]]}}},{"id":"fmCYmJCr/wnqFQDtH","uris":["http://zotero.org/users/local/QFmVNDJO/items/SBY8VJ59"],"itemData":{"id":531,"type":"article-journal","container-title":"Molecular Cell","DOI":"10.1016/j.molcel.2015.10.024","ISSN":"1097-2765","issue":"5","journalAbbreviation":"Molecular Cell","language":"English","page":"769-783","PMID":"26611104","publisher":"Elsevier","source":"www.cell.com","title":"Coactivator-Dependent Oscillation of Chromatin Accessibility Dictates Circadian Gene Amplitude via REV-ERB Loading","volume":"60","author":[{"family":"Zhu","given":"Bokai"},{"family":"Gates","given":"Leah A."},{"family":"Stashi","given":"Erin"},{"family":"Dasgupta","given":"Subhamoy"},{"family":"Gonzales","given":"Naomi"},{"family":"Dean","given":"Adam"},{"family":"Dacso","given":"Clifford C."},{"family":"York","given":"Brian"},{"family":"O’Malley","given":"Bert W."}],"issued":{"date-parts":[["2015",12,3]]}}},{"id":"fmCYmJCr/HBDHNV4l","uris":["http://zotero.org/users/local/QFmVNDJO/items/ZJFQX577"],"itemData":{"id":534,"type":"article-journal","abstract":"Transcription modulated by the circadian clock is diverse across cell types, underlying circadian control of peripheral metabolism and its observed perturbation in human diseases. We report that knockout of the lineage-specifying Hnf4a gene in mouse liver causes associated reductions in the genome-wide distribution of core clock component BMAL1 and accessible chromatin marks (H3K4me1 and H3K27ac). Ectopically expressing HNF4A remodels chromatin landscape and nucleates distinct tissue-specific BMAL1 chromatin binding events, predominantly in enhancer regions. Circadian rhythms are disturbed in Hnf4a knockout liver and HNF4A-MODY diabetic model cells. Additionally, the epigenetic state and accessibility of the liver genome dynamically change throughout the day, synchronized with chromatin occupancy of HNF4A and clustered expression of circadian outputs. Lastly, Bmal1 knockout attenuates HNF4A genome-wide binding in the liver, likely due to downregulated Hnf4a transcription. Our results may provide a general mechanism for establishing circadian rhythm heterogeneity during development and disease progression, governed by chromatin structure.","container-title":"Nature Communications","DOI":"10.1038/s41467-021-26567-3","ISSN":"2041-1723","issue":"1","journalAbbreviation":"Nat Commun","language":"en","license":"2021 The Author(s)","page":"6350","publisher":"Nature Publishing Group","source":"www.nature.com","title":"HNF4A defines tissue-specific circadian rhythms by beaconing BMAL1::CLOCK chromatin binding and shaping the rhythmic chromatin landscape","title-short":"HNF4A defines tissue-specific circadian rhythms by beaconing BMAL1","volume":"12","author":[{"family":"Qu","given":"Meng"},{"family":"Qu","given":"Han"},{"family":"Jia","given":"Zhenyu"},{"family":"Kay","given":"Steve A."}],"issued":{"date-parts":[["2021",11,3]]}}}],"schema":"https://github.com/citation-style-language/schema/raw/master/csl-citation.json"} </w:instrText>
      </w:r>
      <w:r w:rsidR="005C7E79">
        <w:fldChar w:fldCharType="separate"/>
      </w:r>
      <w:r w:rsidR="00FF5F1B" w:rsidRPr="00FF5F1B">
        <w:rPr>
          <w:rFonts w:ascii="Calibri" w:hAnsi="Calibri" w:cs="Calibri"/>
          <w:kern w:val="0"/>
        </w:rPr>
        <w:t>[19–21]</w:t>
      </w:r>
      <w:r w:rsidR="005C7E79">
        <w:fldChar w:fldCharType="end"/>
      </w:r>
      <w:r w:rsidR="00833B23" w:rsidRPr="00DF59C0">
        <w:t>.</w:t>
      </w:r>
    </w:p>
    <w:p w14:paraId="32CC8C92" w14:textId="5BAE30AE" w:rsidR="00833B23" w:rsidRDefault="005E3209" w:rsidP="005E3209">
      <w:pPr>
        <w:ind w:firstLine="720"/>
        <w:jc w:val="both"/>
        <w:rPr>
          <w:b/>
          <w:bCs/>
        </w:rPr>
      </w:pPr>
      <w:r w:rsidRPr="005E3209">
        <w:lastRenderedPageBreak/>
        <w:t xml:space="preserve">However, the complex cellular composition of most tissues makes it difficult to determine whether rhythmic outputs observed in vitro faithfully reflect cell-type-specific rhythms in vivo. In this regard, articular cartilage provides a useful model, as chondrocytes are the only resident cell type and are exposed in vivo to endocrine, thermal, mechanical, and osmotic time cues. Here, we used primary mouse chondrocytes and </w:t>
      </w:r>
      <w:r w:rsidRPr="005E3209">
        <w:rPr>
          <w:i/>
          <w:iCs/>
        </w:rPr>
        <w:t>in vivo</w:t>
      </w:r>
      <w:r w:rsidRPr="005E3209">
        <w:t xml:space="preserve"> cartilage transcriptomic datasets to test whether different synchronising stimuli produce a common chondrocyte circadian output or distinct stimulus-dependent rhythmic programmes. We compared rhythmic gene identity, phase relationships, </w:t>
      </w:r>
      <w:r w:rsidR="001C2B3C">
        <w:t xml:space="preserve">and </w:t>
      </w:r>
      <w:r w:rsidRPr="005E3209">
        <w:t xml:space="preserve">pathway enrichment across chondrocytes synchronised </w:t>
      </w:r>
      <w:r w:rsidR="00E0614D" w:rsidRPr="00E0614D">
        <w:rPr>
          <w:i/>
          <w:iCs/>
        </w:rPr>
        <w:t>in vitro</w:t>
      </w:r>
      <w:r w:rsidR="00E0614D">
        <w:t xml:space="preserve"> </w:t>
      </w:r>
      <w:r w:rsidRPr="005E3209">
        <w:t xml:space="preserve">by heat shock, dexamethasone, or osmotic stress, and against the rhythmic transcriptome of cartilage </w:t>
      </w:r>
      <w:r w:rsidRPr="005E3209">
        <w:rPr>
          <w:i/>
          <w:iCs/>
        </w:rPr>
        <w:t>in vivo</w:t>
      </w:r>
      <w:r w:rsidRPr="005E3209">
        <w:t>.</w:t>
      </w:r>
      <w:r>
        <w:t xml:space="preserve"> </w:t>
      </w:r>
      <w:r w:rsidRPr="005E3209">
        <w:t xml:space="preserve">To facilitate interpretation of these comparisons and extend the same analytical framework to public datasets, we developed </w:t>
      </w:r>
      <w:proofErr w:type="spellStart"/>
      <w:r w:rsidRPr="005E3209">
        <w:t>BodyClocks</w:t>
      </w:r>
      <w:proofErr w:type="spellEnd"/>
      <w:r w:rsidRPr="005E3209">
        <w:t>, a freely available, open-source web resource for exploring circadian transcriptomes at gene, pathway, network, and dataset-comparison levels.</w:t>
      </w:r>
    </w:p>
    <w:p w14:paraId="3ECF06FD" w14:textId="39911C13" w:rsidR="004D6406" w:rsidRDefault="000F033D" w:rsidP="00EC5866">
      <w:pPr>
        <w:jc w:val="both"/>
        <w:rPr>
          <w:b/>
          <w:bCs/>
        </w:rPr>
      </w:pPr>
      <w:r>
        <w:rPr>
          <w:b/>
          <w:bCs/>
        </w:rPr>
        <w:t>METHODS</w:t>
      </w:r>
    </w:p>
    <w:p w14:paraId="0C60FCC7" w14:textId="56AA0626" w:rsidR="00FE4DAE" w:rsidRPr="00355707" w:rsidRDefault="00FE4DAE" w:rsidP="00EC5866">
      <w:pPr>
        <w:jc w:val="both"/>
        <w:rPr>
          <w:b/>
          <w:bCs/>
          <w:i/>
          <w:iCs/>
        </w:rPr>
      </w:pPr>
      <w:r w:rsidRPr="00355707">
        <w:rPr>
          <w:b/>
          <w:bCs/>
          <w:i/>
          <w:iCs/>
        </w:rPr>
        <w:t xml:space="preserve">Animal husbandry </w:t>
      </w:r>
    </w:p>
    <w:p w14:paraId="581F3C24" w14:textId="0D37BF0C" w:rsidR="00812CC6" w:rsidRDefault="00812CC6" w:rsidP="00EC5866">
      <w:pPr>
        <w:jc w:val="both"/>
      </w:pPr>
      <w:r w:rsidRPr="00812CC6">
        <w:t>All experimental procedures were carried out in accordance with the Animals (Scientific Procedures) Act of 1986</w:t>
      </w:r>
      <w:r w:rsidR="00AA271B">
        <w:t xml:space="preserve"> and with approval of local ethics committee</w:t>
      </w:r>
      <w:r w:rsidRPr="00812CC6">
        <w:t xml:space="preserve">. Mice were group housed under a 12 </w:t>
      </w:r>
      <w:proofErr w:type="gramStart"/>
      <w:r w:rsidRPr="00812CC6">
        <w:t>hours</w:t>
      </w:r>
      <w:proofErr w:type="gramEnd"/>
      <w:r w:rsidRPr="00812CC6">
        <w:t xml:space="preserve"> light/12 hours dark regimen (lights on at 7 AM and off at 7 PM) with ad libitum access to standard rodent chow and water. All animals were bred by the Biological Services Facility at the University of Manchester and euthanised by </w:t>
      </w:r>
      <w:r w:rsidR="00AA271B">
        <w:t>CO</w:t>
      </w:r>
      <w:r w:rsidR="00AA271B" w:rsidRPr="00AA271B">
        <w:rPr>
          <w:vertAlign w:val="subscript"/>
        </w:rPr>
        <w:t>2</w:t>
      </w:r>
      <w:r w:rsidR="00AA271B">
        <w:t xml:space="preserve"> and cervical dislocation</w:t>
      </w:r>
      <w:r w:rsidRPr="00812CC6">
        <w:t xml:space="preserve"> between zeitgeber time 5.5 (ZT5.5) and ZT6.5 (between 12.30 PM and 1.30 PM). PER2::LUC mice carrying the firefly luciferase gene fused in frame with the 3’ end of Per2 were utilised in all studies</w:t>
      </w:r>
      <w:r w:rsidR="00355707">
        <w:t xml:space="preserve"> </w:t>
      </w:r>
      <w:r w:rsidR="00355707">
        <w:fldChar w:fldCharType="begin"/>
      </w:r>
      <w:r w:rsidR="009B21A9">
        <w:instrText xml:space="preserve"> ADDIN ZOTERO_ITEM CSL_CITATION {"citationID":"YVkcayyd","properties":{"formattedCitation":"[22]","plainCitation":"[22]","noteIndex":0},"citationItems":[{"id":"fmCYmJCr/AJq0ahRL","uris":["http://zotero.org/users/local/QFmVNDJO/items/BHUJFFHA"],"itemData":{"id":542,"type":"article-journal","abstract":"Mammalian circadian rhythms are regulated by the suprachiasmatic nucleus (SCN), and current dogma holds that the SCN is required for the expression of circadian rhythms in peripheral tissues. Using a PERIOD2::LUCIFERASE fusion protein as a real-time reporter of circadian dynamics in mice, we report that, contrary to previous work, peripheral tissues are capable of self-sustained circadian oscillations for &gt;20 cycles in isolation. In addition, peripheral organs expressed tissue-specific differences in circadian period and phase. Surprisingly, lesions of the SCN in mPer2(Luciferase) knockin mice did not abolish circadian rhythms in peripheral tissues, but instead caused phase desynchrony among the tissues of individual animals and from animal to animal. These results demonstrate that peripheral tissues express self-sustained, rather than damped, circadian oscillations and suggest the existence of organ-specific synchronizers of circadian rhythms at the cell and tissue level.","container-title":"Proceedings of the National Academy of Sciences of the United States of America","DOI":"10.1073/pnas.0308709101","ISSN":"0027-8424","issue":"15","journalAbbreviation":"Proc Natl Acad Sci U S A","language":"eng","page":"5339-5346","PMID":"14963227","PMCID":"PMC397382","source":"PubMed","title":"PERIOD2::LUCIFERASE real-time reporting of circadian dynamics reveals persistent circadian oscillations in mouse peripheral tissues","title-short":"PERIOD2","volume":"101","author":[{"family":"Yoo","given":"Seung-Hee"},{"family":"Yamazaki","given":"Shin"},{"family":"Lowrey","given":"Phillip L."},{"family":"Shimomura","given":"Kazuhiro"},{"family":"Ko","given":"Caroline H."},{"family":"Buhr","given":"Ethan D."},{"family":"Siepka","given":"Sandra M."},{"family":"Hong","given":"Hee-Kyung"},{"family":"Oh","given":"Won Jun"},{"family":"Yoo","given":"Ook Joon"},{"family":"Menaker","given":"Michael"},{"family":"Takahashi","given":"Joseph S."}],"issued":{"date-parts":[["2004",4,13]]}}}],"schema":"https://github.com/citation-style-language/schema/raw/master/csl-citation.json"} </w:instrText>
      </w:r>
      <w:r w:rsidR="00355707">
        <w:fldChar w:fldCharType="separate"/>
      </w:r>
      <w:r w:rsidR="00355707" w:rsidRPr="00355707">
        <w:rPr>
          <w:rFonts w:ascii="Calibri" w:hAnsi="Calibri" w:cs="Calibri"/>
        </w:rPr>
        <w:t>[22]</w:t>
      </w:r>
      <w:r w:rsidR="00355707">
        <w:fldChar w:fldCharType="end"/>
      </w:r>
      <w:r w:rsidRPr="00812CC6">
        <w:t>.</w:t>
      </w:r>
    </w:p>
    <w:p w14:paraId="00275853" w14:textId="18BBD1CC" w:rsidR="00FE4DAE" w:rsidRPr="00355707" w:rsidRDefault="00FE4DAE" w:rsidP="00EC5866">
      <w:pPr>
        <w:jc w:val="both"/>
        <w:rPr>
          <w:b/>
          <w:bCs/>
          <w:i/>
          <w:iCs/>
        </w:rPr>
      </w:pPr>
      <w:r w:rsidRPr="00355707">
        <w:rPr>
          <w:b/>
          <w:bCs/>
          <w:i/>
          <w:iCs/>
        </w:rPr>
        <w:t xml:space="preserve">Primary articular chondrocytes </w:t>
      </w:r>
    </w:p>
    <w:p w14:paraId="5C195356" w14:textId="1CFE4BEB" w:rsidR="00FE4DAE" w:rsidRDefault="00812CC6" w:rsidP="00EC5866">
      <w:pPr>
        <w:jc w:val="both"/>
      </w:pPr>
      <w:r w:rsidRPr="00812CC6">
        <w:t xml:space="preserve">Primary articular chondrocytes were isolated from five-day-old mice as previously described </w:t>
      </w:r>
      <w:r w:rsidR="00355707">
        <w:fldChar w:fldCharType="begin"/>
      </w:r>
      <w:r w:rsidR="009B21A9">
        <w:instrText xml:space="preserve"> ADDIN ZOTERO_ITEM CSL_CITATION {"citationID":"KRZV0mZK","properties":{"formattedCitation":"[23]","plainCitation":"[23]","noteIndex":0},"citationItems":[{"id":"fmCYmJCr/gKAF6P8V","uris":["http://zotero.org/users/local/QFmVNDJO/items/4755XTVX"],"itemData":{"id":544,"type":"article-journal","abstract":"The culture of chondrocytes is one of the most powerful tools for exploring the intracellular and molecular features of chondrocyte differentiation and activation. However, chondrocytes tend to dedifferentiate into fibroblasts when they are subcultured, which is a major problem. This protocol, involving primary cultures to limit dedifferentiation, describes two different methods for culturing chondrocytes of different anatomical origins (articular and costal chondrocytes, both of which represent hyaline cartilage) from mice. Mice are of particular interest for cellular and molecular studies, as many tools suitable for use in mice are available. In addition, rapid development of transgenic and gene-targeted mice provides powerful instruments for biological studies. The protocol can be divided into four stages: isolation of cartilage (15 min per animal), isolation of chondrocytes (2 h extended overnight), seeding of chondrocytes (1 h 30 min) and growth in culture (6 d). To obtain confluency of chondrocytes using this protocol takes 7 d. Methods for phenotyping chondrocytes are also provided.","container-title":"Nature Protocols","DOI":"10.1038/nprot.2008.95","ISSN":"1750-2799","issue":"8","journalAbbreviation":"Nat Protoc","language":"eng","page":"1253-1260","PMID":"18714293","source":"PubMed","title":"Primary culture and phenotyping of murine chondrocytes","volume":"3","author":[{"family":"Gosset","given":"Marjolaine"},{"family":"Berenbaum","given":"Francis"},{"family":"Thirion","given":"Sylvie"},{"family":"Jacques","given":"Claire"}],"issued":{"date-parts":[["2008"]]}}}],"schema":"https://github.com/citation-style-language/schema/raw/master/csl-citation.json"} </w:instrText>
      </w:r>
      <w:r w:rsidR="00355707">
        <w:fldChar w:fldCharType="separate"/>
      </w:r>
      <w:r w:rsidR="00355707" w:rsidRPr="00355707">
        <w:rPr>
          <w:rFonts w:ascii="Calibri" w:hAnsi="Calibri" w:cs="Calibri"/>
        </w:rPr>
        <w:t>[23]</w:t>
      </w:r>
      <w:r w:rsidR="00355707">
        <w:fldChar w:fldCharType="end"/>
      </w:r>
      <w:r w:rsidRPr="00812CC6">
        <w:t xml:space="preserve"> with minor modifications. In brief, articular cartilage was isolated from femoral heads, femoral condyles and tibial plateaus of mice from one litter. Explants were rinsed with 1 × phosphate buffered saline (PBS, </w:t>
      </w:r>
      <w:proofErr w:type="spellStart"/>
      <w:r w:rsidRPr="00812CC6">
        <w:t>SigmaAldrich</w:t>
      </w:r>
      <w:proofErr w:type="spellEnd"/>
      <w:r w:rsidRPr="00812CC6">
        <w:t>) and incubated in digestion solution (3 mg mL-1 collagenase D [Roche] in DMEM/F-12 31330038 [Gibco]) for 45 min at 37 °C with intermittent vortex mixing to dislodge soft tissues. Subsequently, samples were diced using a sterile scalpel and incubated overnight at 37 °C in the digestion solution. Cell aggregates were dispersed by successively passing the solution through 25-, 10- and 5-ml Pasteur pipettes. The cell suspension was filtered through a 70 µm cell strainer (</w:t>
      </w:r>
      <w:proofErr w:type="spellStart"/>
      <w:r w:rsidRPr="00812CC6">
        <w:t>EASYstrainer</w:t>
      </w:r>
      <w:proofErr w:type="spellEnd"/>
      <w:r w:rsidRPr="00812CC6">
        <w:t>, Greiner Bio-One) and then centrifuged for 10 min at 400 ×g. Finally, the pellet was resuspended in DMEM/F-12 supplemented with 10% FBS (Gibco), and 100 units penicillin/100 µg mL-1 streptomycin (Sigma-Aldrich). Primary articular chondrocytes were used up to passage</w:t>
      </w:r>
      <w:r>
        <w:t xml:space="preserve"> 1.</w:t>
      </w:r>
    </w:p>
    <w:p w14:paraId="35E87C8F" w14:textId="6C7FC7C9" w:rsidR="00FE4DAE" w:rsidRPr="00355707" w:rsidRDefault="00146A02" w:rsidP="00EC5866">
      <w:pPr>
        <w:jc w:val="both"/>
        <w:rPr>
          <w:b/>
          <w:bCs/>
          <w:i/>
          <w:iCs/>
        </w:rPr>
      </w:pPr>
      <w:r>
        <w:rPr>
          <w:b/>
          <w:bCs/>
          <w:i/>
          <w:iCs/>
        </w:rPr>
        <w:t>Treatment conditions</w:t>
      </w:r>
      <w:r w:rsidR="00FE4DAE" w:rsidRPr="00355707">
        <w:rPr>
          <w:b/>
          <w:bCs/>
          <w:i/>
          <w:iCs/>
        </w:rPr>
        <w:t xml:space="preserve"> </w:t>
      </w:r>
    </w:p>
    <w:p w14:paraId="06C2CF21" w14:textId="5F03BE39" w:rsidR="00FE4DAE" w:rsidRDefault="00FE4DAE" w:rsidP="00EC5866">
      <w:pPr>
        <w:jc w:val="both"/>
      </w:pPr>
      <w:r w:rsidRPr="00FE4DAE">
        <w:t xml:space="preserve">To synchronise circadian rhythms, chondrocytes </w:t>
      </w:r>
      <w:r w:rsidR="001A402C">
        <w:t xml:space="preserve">at 90% confluence </w:t>
      </w:r>
      <w:r w:rsidRPr="00FE4DAE">
        <w:t xml:space="preserve">in 35 mm cell culture dishes were incubated with 100 </w:t>
      </w:r>
      <w:proofErr w:type="spellStart"/>
      <w:r w:rsidRPr="00FE4DAE">
        <w:t>nM</w:t>
      </w:r>
      <w:proofErr w:type="spellEnd"/>
      <w:r w:rsidRPr="00FE4DAE">
        <w:t xml:space="preserve"> of dexamethasone for 60 min. Afterwards, media was changed and dishes were sealed with 40 mm glass cover slips (</w:t>
      </w:r>
      <w:proofErr w:type="spellStart"/>
      <w:r w:rsidRPr="00FE4DAE">
        <w:t>Thermo</w:t>
      </w:r>
      <w:proofErr w:type="spellEnd"/>
      <w:r w:rsidRPr="00FE4DAE">
        <w:t xml:space="preserve"> Fisher Scientific) and high vacuum grease (Dow Corning). Sealed dishes were placed in </w:t>
      </w:r>
      <w:r w:rsidR="00146A02">
        <w:t xml:space="preserve">the </w:t>
      </w:r>
      <w:proofErr w:type="spellStart"/>
      <w:r w:rsidR="00146A02">
        <w:t>Lumicycle</w:t>
      </w:r>
      <w:proofErr w:type="spellEnd"/>
      <w:r w:rsidR="00146A02">
        <w:t xml:space="preserve"> bioluminescence recorder (</w:t>
      </w:r>
      <w:proofErr w:type="spellStart"/>
      <w:r w:rsidR="00146A02">
        <w:t>Actimetrics</w:t>
      </w:r>
      <w:proofErr w:type="spellEnd"/>
      <w:r w:rsidR="00146A02">
        <w:t xml:space="preserve">) or </w:t>
      </w:r>
      <w:r w:rsidRPr="00FE4DAE">
        <w:t xml:space="preserve">an incubator </w:t>
      </w:r>
      <w:r w:rsidR="00146A02">
        <w:t>(for mRNA time</w:t>
      </w:r>
      <w:r w:rsidR="000437CC">
        <w:t>-</w:t>
      </w:r>
      <w:r w:rsidR="00146A02">
        <w:t>course)</w:t>
      </w:r>
      <w:r w:rsidR="000437CC">
        <w:t xml:space="preserve"> </w:t>
      </w:r>
      <w:r w:rsidRPr="00FE4DAE">
        <w:t xml:space="preserve">at 37 °C for 112 hours. At 112 hours half the dishes </w:t>
      </w:r>
      <w:r w:rsidR="00146A02">
        <w:t xml:space="preserve">(heat shock condition) </w:t>
      </w:r>
      <w:r w:rsidRPr="00FE4DAE">
        <w:t xml:space="preserve">were moved to an incubator at 43 °C for 60 min. The other dishes </w:t>
      </w:r>
      <w:r w:rsidR="00146A02">
        <w:t xml:space="preserve">(dexamethasone condition) </w:t>
      </w:r>
      <w:r w:rsidRPr="00FE4DAE">
        <w:t xml:space="preserve">remained in an incubator at 37 °C and 100 </w:t>
      </w:r>
      <w:proofErr w:type="spellStart"/>
      <w:r w:rsidRPr="00FE4DAE">
        <w:t>nM</w:t>
      </w:r>
      <w:proofErr w:type="spellEnd"/>
      <w:r w:rsidRPr="00FE4DAE">
        <w:t xml:space="preserve"> </w:t>
      </w:r>
      <w:r w:rsidR="00A42A45" w:rsidRPr="00FE4DAE">
        <w:t xml:space="preserve">dexamethasone </w:t>
      </w:r>
      <w:r w:rsidRPr="00FE4DAE">
        <w:t xml:space="preserve">were added to the culture media approximately 15 min prior to the end of the heat pulse. All dishes were </w:t>
      </w:r>
      <w:r w:rsidR="00132717">
        <w:t xml:space="preserve">then </w:t>
      </w:r>
      <w:r w:rsidRPr="00FE4DAE">
        <w:t>returned to</w:t>
      </w:r>
      <w:r w:rsidR="00132717">
        <w:t xml:space="preserve"> the </w:t>
      </w:r>
      <w:proofErr w:type="spellStart"/>
      <w:r w:rsidR="00132717">
        <w:t>Lumicycle</w:t>
      </w:r>
      <w:proofErr w:type="spellEnd"/>
      <w:r w:rsidR="00132717">
        <w:t xml:space="preserve"> (recording)</w:t>
      </w:r>
      <w:r w:rsidRPr="00FE4DAE">
        <w:t xml:space="preserve"> </w:t>
      </w:r>
      <w:r w:rsidR="00132717">
        <w:t>or</w:t>
      </w:r>
      <w:r w:rsidR="00132717" w:rsidRPr="00FE4DAE">
        <w:t xml:space="preserve"> </w:t>
      </w:r>
      <w:r w:rsidRPr="00FE4DAE">
        <w:t xml:space="preserve">incubator at 37 °C and the first </w:t>
      </w:r>
      <w:r w:rsidR="00132717">
        <w:t xml:space="preserve">time-course </w:t>
      </w:r>
      <w:r w:rsidRPr="00FE4DAE">
        <w:t xml:space="preserve">sample was collected four hours later, after which chondrocytes were harvested </w:t>
      </w:r>
      <w:r w:rsidR="00A42A45">
        <w:t xml:space="preserve">for </w:t>
      </w:r>
      <w:r w:rsidRPr="00FE4DAE">
        <w:t xml:space="preserve">RNA isolation every four hours for 48 hours. </w:t>
      </w:r>
      <w:r w:rsidR="008811AD" w:rsidRPr="008811AD">
        <w:t xml:space="preserve">All cultures were </w:t>
      </w:r>
      <w:r w:rsidR="008811AD" w:rsidRPr="008811AD">
        <w:lastRenderedPageBreak/>
        <w:t xml:space="preserve">initially synchronised with dexamethasone to establish comparable baseline clock oscillations before secondary resetting. The </w:t>
      </w:r>
      <w:proofErr w:type="gramStart"/>
      <w:r w:rsidR="008811AD" w:rsidRPr="008811AD">
        <w:t>112 h</w:t>
      </w:r>
      <w:r w:rsidR="008811AD">
        <w:t>our</w:t>
      </w:r>
      <w:proofErr w:type="gramEnd"/>
      <w:r w:rsidR="008811AD" w:rsidRPr="008811AD">
        <w:t xml:space="preserve"> interval allowed acute dexamethasone-responsive transcriptional effects to subside </w:t>
      </w:r>
      <w:r w:rsidR="008811AD">
        <w:t>and PER</w:t>
      </w:r>
      <w:proofErr w:type="gramStart"/>
      <w:r w:rsidR="008811AD">
        <w:t>2::</w:t>
      </w:r>
      <w:proofErr w:type="gramEnd"/>
      <w:r w:rsidR="008811AD">
        <w:t xml:space="preserve">LUC oscillations were barely detectable </w:t>
      </w:r>
      <w:r w:rsidR="008811AD" w:rsidRPr="008811AD">
        <w:t>before the heat-shock or dexamethasone resetting stimulus used for RNA-</w:t>
      </w:r>
      <w:proofErr w:type="spellStart"/>
      <w:r w:rsidR="008811AD" w:rsidRPr="008811AD">
        <w:t>seq</w:t>
      </w:r>
      <w:proofErr w:type="spellEnd"/>
      <w:r w:rsidR="008811AD" w:rsidRPr="008811AD">
        <w:t xml:space="preserve"> sampling.</w:t>
      </w:r>
      <w:r w:rsidR="008811AD">
        <w:t xml:space="preserve"> This step was necessary as we found that heat shock synchronisation resulted in highest amplitude when applied at projected peak of PER2 as described in [11]. </w:t>
      </w:r>
      <w:r w:rsidRPr="00FE4DAE">
        <w:t xml:space="preserve">This experiment was repeated three times utilising chondrocytes isolated from distinct litters. </w:t>
      </w:r>
      <w:r w:rsidR="00AC3196">
        <w:t xml:space="preserve">Synchronisation by osmotic stress is described in </w:t>
      </w:r>
      <w:r w:rsidR="00355707">
        <w:fldChar w:fldCharType="begin"/>
      </w:r>
      <w:r w:rsidR="009B21A9">
        <w:instrText xml:space="preserve"> ADDIN ZOTERO_ITEM CSL_CITATION {"citationID":"u0a1SfjA","properties":{"formattedCitation":"[12]","plainCitation":"[12]","noteIndex":0},"citationItems":[{"id":"fmCYmJCr/oA0Ras37","uris":["http://zotero.org/users/local/QFmVNDJO/items/NVJ3R6SZ"],"itemData":{"id":538,"type":"article-journal","abstract":"Daily rhythms in mammalian behaviour and physiology are generated by a multi-oscillator circadian system entrained through environmental cues (e.g. light and feeding). The presence of tissue niche-dependent physiological time cues has been proposed, allowing tissues the ability of circadian phase adjustment based on local signals. However, to date, such stimuli have remained elusive. Here we show that daily patterns of mechanical loading and associated osmotic challenge within physiological ranges reset circadian clock phase and amplitude in cartilage and intervertebral disc tissues in vivo and in tissue explant cultures. Hyperosmolarity (but not hypo-osmolarity) resets clocks in young and ageing skeletal tissues and induce genome-wide expression of rhythmic genes in cells. Mechanistically, RNAseq and biochemical analysis revealed the PLD2-mTORC2-AKT-GSK3β axis as a convergent pathway for both in vivo loading and hyperosmolarity-induced clock changes. These results reveal diurnal patterns of mechanical loading and consequent daily oscillations in osmolarity as a bona fide tissue niche-specific time cue to maintain skeletal circadian rhythms in sync.","container-title":"Nature Communications","DOI":"10.1038/s41467-023-42056-1","ISSN":"2041-1723","issue":"1","journalAbbreviation":"Nat Commun","language":"en","license":"2023 The Author(s)","page":"7237","publisher":"Nature Publishing Group","source":"www.nature.com","title":"Mechanical loading and hyperosmolarity as a daily resetting cue for skeletal circadian clocks","volume":"14","author":[{"family":"Dudek","given":"Michal"},{"family":"Pathiranage","given":"Dharshika R. J."},{"family":"Bano-Otalora","given":"Beatriz"},{"family":"Paszek","given":"Anna"},{"family":"Rogers","given":"Natalie"},{"family":"Gonçalves","given":"Cátia F."},{"family":"Lawless","given":"Craig"},{"family":"Wang","given":"Dong"},{"family":"Luo","given":"Zhuojing"},{"family":"Yang","given":"Liu"},{"family":"Guilak","given":"Farshid"},{"family":"Hoyland","given":"Judith A."},{"family":"Meng","given":"Qing-Jun"}],"issued":{"date-parts":[["2023",11,14]]}}}],"schema":"https://github.com/citation-style-language/schema/raw/master/csl-citation.json"} </w:instrText>
      </w:r>
      <w:r w:rsidR="00355707">
        <w:fldChar w:fldCharType="separate"/>
      </w:r>
      <w:r w:rsidR="00355707" w:rsidRPr="00355707">
        <w:rPr>
          <w:rFonts w:ascii="Calibri" w:hAnsi="Calibri" w:cs="Calibri"/>
        </w:rPr>
        <w:t>[12]</w:t>
      </w:r>
      <w:r w:rsidR="00355707">
        <w:fldChar w:fldCharType="end"/>
      </w:r>
      <w:r w:rsidR="00355707">
        <w:t xml:space="preserve"> </w:t>
      </w:r>
      <w:r w:rsidR="00AC3196">
        <w:t>study from w</w:t>
      </w:r>
      <w:r w:rsidR="008F37D4">
        <w:t>hich the circadian dataset was used here for comparison (</w:t>
      </w:r>
      <w:hyperlink r:id="rId8" w:tgtFrame="_blank" w:history="1">
        <w:r w:rsidR="00E35B93" w:rsidRPr="00E35B93">
          <w:rPr>
            <w:rStyle w:val="Hyperlink"/>
          </w:rPr>
          <w:t>E-MTAB-11040</w:t>
        </w:r>
      </w:hyperlink>
      <w:r w:rsidR="008F37D4">
        <w:t xml:space="preserve">). The cartilage circadian dataset </w:t>
      </w:r>
      <w:r w:rsidR="008379FC">
        <w:t>(</w:t>
      </w:r>
      <w:hyperlink r:id="rId9" w:tgtFrame="_blank" w:history="1">
        <w:r w:rsidR="00E35B93" w:rsidRPr="00E35B93">
          <w:rPr>
            <w:rStyle w:val="Hyperlink"/>
          </w:rPr>
          <w:t>E-MTAB-3428</w:t>
        </w:r>
      </w:hyperlink>
      <w:r w:rsidR="008F37D4">
        <w:t>)</w:t>
      </w:r>
      <w:r w:rsidR="008379FC">
        <w:t xml:space="preserve"> </w:t>
      </w:r>
      <w:r w:rsidR="008F37D4">
        <w:t xml:space="preserve">was first published in </w:t>
      </w:r>
      <w:r w:rsidR="00355707">
        <w:fldChar w:fldCharType="begin"/>
      </w:r>
      <w:r w:rsidR="009B21A9">
        <w:instrText xml:space="preserve"> ADDIN ZOTERO_ITEM CSL_CITATION {"citationID":"enqJO9DM","properties":{"formattedCitation":"[7]","plainCitation":"[7]","noteIndex":0},"citationItems":[{"id":"fmCYmJCr/ytLOdAZ8","uris":["http://zotero.org/users/local/QFmVNDJO/items/69G2FSME"],"itemData":{"id":499,"type":"article-journal","container-title":"The Journal of Clinical Investigation","DOI":"10.1172/JCI82755","ISSN":"0021-9738","issue":"1","journalAbbreviation":"J Clin Invest","language":"en","page":"365-376","PMID":"0","publisher":"American Society for Clinical Investigation","source":"www.jci.org","title":"The chondrocyte clock gene &lt;i&gt;Bmal1&lt;/i&gt; controls cartilage homeostasis and integrity","volume":"126","author":[{"family":"Dudek","given":"Michal"},{"family":"Gossan","given":"Nicole"},{"family":"Yang","given":"Nan"},{"family":"Im","given":"Hee-Jeong"},{"family":"Ruckshanthi","given":"Jayalath P. D."},{"family":"Yoshitane","given":"Hikari"},{"family":"Li","given":"Xin"},{"family":"Jin","given":"Ding"},{"family":"Wang","given":"Ping"},{"family":"Boudiffa","given":"Maya"},{"family":"Bellantuono","given":"Ilaria"},{"family":"Fukada","given":"Yoshitaka"},{"family":"Boot-Handford","given":"Ray P."},{"family":"Meng","given":"Qing-Jun"}],"issued":{"date-parts":[["2016",1,4]]}}}],"schema":"https://github.com/citation-style-language/schema/raw/master/csl-citation.json"} </w:instrText>
      </w:r>
      <w:r w:rsidR="00355707">
        <w:fldChar w:fldCharType="separate"/>
      </w:r>
      <w:r w:rsidR="00355707" w:rsidRPr="00355707">
        <w:rPr>
          <w:rFonts w:ascii="Calibri" w:hAnsi="Calibri" w:cs="Calibri"/>
        </w:rPr>
        <w:t>[7]</w:t>
      </w:r>
      <w:r w:rsidR="00355707">
        <w:fldChar w:fldCharType="end"/>
      </w:r>
      <w:r w:rsidR="008F37D4">
        <w:t>.</w:t>
      </w:r>
    </w:p>
    <w:p w14:paraId="46B12F40" w14:textId="462630A7" w:rsidR="00812CC6" w:rsidRPr="00355707" w:rsidRDefault="00233804" w:rsidP="00EC5866">
      <w:pPr>
        <w:jc w:val="both"/>
        <w:rPr>
          <w:b/>
          <w:bCs/>
        </w:rPr>
      </w:pPr>
      <w:r>
        <w:rPr>
          <w:b/>
          <w:bCs/>
          <w:i/>
          <w:iCs/>
        </w:rPr>
        <w:t>M</w:t>
      </w:r>
      <w:r w:rsidRPr="00355707">
        <w:rPr>
          <w:b/>
          <w:bCs/>
          <w:i/>
          <w:iCs/>
        </w:rPr>
        <w:t>ouse articular chondrocyte</w:t>
      </w:r>
      <w:r>
        <w:rPr>
          <w:b/>
          <w:bCs/>
          <w:i/>
          <w:iCs/>
        </w:rPr>
        <w:t>s</w:t>
      </w:r>
      <w:r w:rsidRPr="00355707">
        <w:rPr>
          <w:b/>
          <w:bCs/>
          <w:i/>
          <w:iCs/>
        </w:rPr>
        <w:t xml:space="preserve"> </w:t>
      </w:r>
      <w:r>
        <w:rPr>
          <w:b/>
          <w:bCs/>
          <w:i/>
          <w:iCs/>
        </w:rPr>
        <w:t>l</w:t>
      </w:r>
      <w:r w:rsidR="00FE4DAE" w:rsidRPr="00355707">
        <w:rPr>
          <w:b/>
          <w:bCs/>
          <w:i/>
          <w:iCs/>
        </w:rPr>
        <w:t>ibrary construction and sequencing</w:t>
      </w:r>
      <w:r w:rsidR="00FE4DAE" w:rsidRPr="00355707">
        <w:rPr>
          <w:b/>
          <w:bCs/>
        </w:rPr>
        <w:t xml:space="preserve"> </w:t>
      </w:r>
    </w:p>
    <w:p w14:paraId="24C1D3EA" w14:textId="2327963D" w:rsidR="00FE4DAE" w:rsidRDefault="00233804" w:rsidP="00EC5866">
      <w:pPr>
        <w:jc w:val="both"/>
      </w:pPr>
      <w:r w:rsidRPr="00FE4DAE">
        <w:t xml:space="preserve">Total RNA was isolated using the </w:t>
      </w:r>
      <w:proofErr w:type="spellStart"/>
      <w:r w:rsidRPr="00FE4DAE">
        <w:t>PureLink</w:t>
      </w:r>
      <w:proofErr w:type="spellEnd"/>
      <w:r w:rsidRPr="00FE4DAE">
        <w:t xml:space="preserve"> RNA Mini Kit (</w:t>
      </w:r>
      <w:proofErr w:type="spellStart"/>
      <w:r w:rsidRPr="00FE4DAE">
        <w:t>Thermo</w:t>
      </w:r>
      <w:proofErr w:type="spellEnd"/>
      <w:r w:rsidRPr="00FE4DAE">
        <w:t xml:space="preserve"> Fisher) as per manufacturer’s instructions.</w:t>
      </w:r>
      <w:r>
        <w:t xml:space="preserve"> 50ng of RNA per sample was used for library generation. </w:t>
      </w:r>
      <w:r w:rsidR="00FE4DAE" w:rsidRPr="00FE4DAE">
        <w:t xml:space="preserve">mRNA library preparation and sequencing were </w:t>
      </w:r>
      <w:r w:rsidR="00E00F04">
        <w:t>performed</w:t>
      </w:r>
      <w:r w:rsidR="00E00F04" w:rsidRPr="00FE4DAE">
        <w:t xml:space="preserve"> </w:t>
      </w:r>
      <w:r w:rsidR="00FE4DAE" w:rsidRPr="00FE4DAE">
        <w:t xml:space="preserve">at the University of Manchester’s Genomic Technologies Core Facility. Libraries were generated using the </w:t>
      </w:r>
      <w:proofErr w:type="spellStart"/>
      <w:r w:rsidR="00FE4DAE" w:rsidRPr="00FE4DAE">
        <w:t>TruSeq</w:t>
      </w:r>
      <w:proofErr w:type="spellEnd"/>
      <w:r w:rsidR="00FE4DAE" w:rsidRPr="00FE4DAE">
        <w:t xml:space="preserve"> Stranded mRNA assay (Illumina) according to the manufacturer’s protocol. Libraries were sequenced (2 × 75 bp </w:t>
      </w:r>
      <w:proofErr w:type="gramStart"/>
      <w:r w:rsidR="00FE4DAE" w:rsidRPr="00FE4DAE">
        <w:t>paired-end</w:t>
      </w:r>
      <w:proofErr w:type="gramEnd"/>
      <w:r w:rsidR="00FE4DAE" w:rsidRPr="00FE4DAE">
        <w:t xml:space="preserve"> reads) in the </w:t>
      </w:r>
      <w:proofErr w:type="spellStart"/>
      <w:r w:rsidR="00FE4DAE" w:rsidRPr="00FE4DAE">
        <w:t>HiSeq</w:t>
      </w:r>
      <w:proofErr w:type="spellEnd"/>
      <w:r w:rsidR="00FE4DAE" w:rsidRPr="00FE4DAE">
        <w:t xml:space="preserve"> 4000 instrument (Illumina). The output data was demultiplexed (allowing one mismatch) and BCL</w:t>
      </w:r>
      <w:r w:rsidR="00E35B93">
        <w:t>-</w:t>
      </w:r>
      <w:r w:rsidR="00FE4DAE" w:rsidRPr="00FE4DAE">
        <w:t>to-</w:t>
      </w:r>
      <w:proofErr w:type="spellStart"/>
      <w:r w:rsidR="00FE4DAE" w:rsidRPr="00FE4DAE">
        <w:t>Fastq</w:t>
      </w:r>
      <w:proofErr w:type="spellEnd"/>
      <w:r w:rsidR="00FE4DAE" w:rsidRPr="00FE4DAE">
        <w:t xml:space="preserve"> conversion performed using Illumina’s bcl2fastq software v2.20.0.422</w:t>
      </w:r>
      <w:r w:rsidR="00812CC6">
        <w:t>.</w:t>
      </w:r>
    </w:p>
    <w:p w14:paraId="434AA0DA" w14:textId="77777777" w:rsidR="00812CC6" w:rsidRPr="00355707" w:rsidRDefault="00812CC6" w:rsidP="00EC5866">
      <w:pPr>
        <w:jc w:val="both"/>
        <w:rPr>
          <w:b/>
          <w:bCs/>
        </w:rPr>
      </w:pPr>
      <w:r w:rsidRPr="00355707">
        <w:rPr>
          <w:b/>
          <w:bCs/>
          <w:i/>
          <w:iCs/>
        </w:rPr>
        <w:t>Read pre-processing, filtering and mapping</w:t>
      </w:r>
      <w:r w:rsidRPr="00355707">
        <w:rPr>
          <w:b/>
          <w:bCs/>
        </w:rPr>
        <w:t xml:space="preserve"> </w:t>
      </w:r>
    </w:p>
    <w:p w14:paraId="7E2436E8" w14:textId="5BFD1420" w:rsidR="00812CC6" w:rsidRDefault="00812CC6" w:rsidP="00EC5866">
      <w:pPr>
        <w:jc w:val="both"/>
      </w:pPr>
      <w:r w:rsidRPr="00812CC6">
        <w:t xml:space="preserve">Quality control and pre-processing of FASTQ files was performed using FastQC v 0.11.3 and </w:t>
      </w:r>
      <w:proofErr w:type="spellStart"/>
      <w:r w:rsidRPr="00812CC6">
        <w:t>MultiQC</w:t>
      </w:r>
      <w:proofErr w:type="spellEnd"/>
      <w:r w:rsidRPr="00812CC6">
        <w:t xml:space="preserve"> v1.8. Sequence adapters were removed and reads were quality trimmed using </w:t>
      </w:r>
      <w:proofErr w:type="spellStart"/>
      <w:r w:rsidRPr="00812CC6">
        <w:t>Trimmomatic</w:t>
      </w:r>
      <w:proofErr w:type="spellEnd"/>
      <w:r w:rsidRPr="00812CC6">
        <w:t xml:space="preserve"> v0.39 </w:t>
      </w:r>
      <w:r w:rsidR="00233804">
        <w:fldChar w:fldCharType="begin"/>
      </w:r>
      <w:r w:rsidR="009B21A9">
        <w:instrText xml:space="preserve"> ADDIN ZOTERO_ITEM CSL_CITATION {"citationID":"CGO1z2oT","properties":{"formattedCitation":"[24]","plainCitation":"[24]","noteIndex":0},"citationItems":[{"id":"fmCYmJCr/jBrrC6pa","uris":["http://zotero.org/users/local/QFmVNDJO/items/HILXYY7L"],"itemData":{"id":575,"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233804">
        <w:fldChar w:fldCharType="separate"/>
      </w:r>
      <w:r w:rsidR="00233804" w:rsidRPr="00233804">
        <w:rPr>
          <w:rFonts w:ascii="Calibri" w:hAnsi="Calibri" w:cs="Calibri"/>
        </w:rPr>
        <w:t>[24]</w:t>
      </w:r>
      <w:r w:rsidR="00233804">
        <w:fldChar w:fldCharType="end"/>
      </w:r>
      <w:r w:rsidRPr="00812CC6">
        <w:t xml:space="preserve">. Reads were then mapped to the </w:t>
      </w:r>
      <w:proofErr w:type="spellStart"/>
      <w:r w:rsidRPr="00812CC6">
        <w:t>Ensembl</w:t>
      </w:r>
      <w:proofErr w:type="spellEnd"/>
      <w:r w:rsidRPr="00812CC6">
        <w:t xml:space="preserve"> GRCm38/mm10 mouse genome and counts per gene were calculated using STAR v2.7</w:t>
      </w:r>
      <w:r w:rsidR="00E35B93">
        <w:t>.</w:t>
      </w:r>
      <w:r w:rsidRPr="00812CC6">
        <w:t xml:space="preserve">3a with annotation from GENCODE M25 </w:t>
      </w:r>
      <w:r w:rsidR="00233804">
        <w:fldChar w:fldCharType="begin"/>
      </w:r>
      <w:r w:rsidR="009B21A9">
        <w:instrText xml:space="preserve"> ADDIN ZOTERO_ITEM CSL_CITATION {"citationID":"PVBaUTuB","properties":{"formattedCitation":"[25]","plainCitation":"[25]","noteIndex":0},"citationItems":[{"id":"fmCYmJCr/MVbtn7xb","uris":["http://zotero.org/users/local/QFmVNDJO/items/X4MYESH8"],"itemData":{"id":572,"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(&amp;gt;80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&amp;gt;50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strategy.Availability and implementation: STAR is implemented as a standalone C++ code. STAR is free open source software distributed under GPLv3 license and can be downloaded from http://code.google.com/p/rna-star/.Contact:  dobin@cshl.edu.","container-title":"Bioinformatics","DOI":"10.1093/bioinformatics/bts635","ISSN":"1367-4803","issue":"1","journalAbbreviation":"Bioinformatics","page":"15-21","source":"Silverchair","title":"STAR: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00233804">
        <w:fldChar w:fldCharType="separate"/>
      </w:r>
      <w:r w:rsidR="00233804" w:rsidRPr="00233804">
        <w:rPr>
          <w:rFonts w:ascii="Calibri" w:hAnsi="Calibri" w:cs="Calibri"/>
        </w:rPr>
        <w:t>[25]</w:t>
      </w:r>
      <w:r w:rsidR="00233804">
        <w:fldChar w:fldCharType="end"/>
      </w:r>
      <w:r w:rsidRPr="00812CC6">
        <w:t>.</w:t>
      </w:r>
    </w:p>
    <w:p w14:paraId="2A56EB61" w14:textId="77777777" w:rsidR="00A93901" w:rsidRDefault="00A93901" w:rsidP="00EC5866">
      <w:pPr>
        <w:jc w:val="both"/>
      </w:pPr>
    </w:p>
    <w:p w14:paraId="438F09A5" w14:textId="7150AC1B" w:rsidR="00A93901" w:rsidRPr="00355707" w:rsidRDefault="00A93901" w:rsidP="00EC5866">
      <w:pPr>
        <w:jc w:val="both"/>
        <w:rPr>
          <w:b/>
          <w:bCs/>
          <w:i/>
          <w:iCs/>
        </w:rPr>
      </w:pPr>
      <w:r w:rsidRPr="00355707">
        <w:rPr>
          <w:b/>
          <w:bCs/>
          <w:i/>
          <w:iCs/>
        </w:rPr>
        <w:t>Bioinformatic analysis</w:t>
      </w:r>
    </w:p>
    <w:p w14:paraId="039965DA" w14:textId="77777777" w:rsidR="00B67150" w:rsidRPr="00355707" w:rsidRDefault="00B67150" w:rsidP="00EC5866">
      <w:pPr>
        <w:jc w:val="both"/>
        <w:rPr>
          <w:i/>
          <w:iCs/>
        </w:rPr>
      </w:pPr>
      <w:r w:rsidRPr="00355707">
        <w:rPr>
          <w:i/>
          <w:iCs/>
        </w:rPr>
        <w:t>RNA sequencing data processing and circadian rhythm analysis</w:t>
      </w:r>
    </w:p>
    <w:p w14:paraId="2EE508DB" w14:textId="4B9575C7" w:rsidR="00B67150" w:rsidRPr="00B67150" w:rsidRDefault="00B67150" w:rsidP="000B2F87">
      <w:pPr>
        <w:ind w:firstLine="720"/>
        <w:jc w:val="both"/>
      </w:pPr>
      <w:r w:rsidRPr="00B67150">
        <w:t>Raw RNA sequencing count data were processed using DESeq2 (v1.</w:t>
      </w:r>
      <w:r w:rsidR="005E7E03">
        <w:t>5</w:t>
      </w:r>
      <w:r w:rsidR="00E35B93">
        <w:t>2</w:t>
      </w:r>
      <w:r w:rsidR="00700973">
        <w:t>.0</w:t>
      </w:r>
      <w:r w:rsidRPr="00B67150">
        <w:t>)</w:t>
      </w:r>
      <w:r w:rsidR="005E7E03">
        <w:t xml:space="preserve"> </w:t>
      </w:r>
      <w:r w:rsidR="005E7E03">
        <w:fldChar w:fldCharType="begin"/>
      </w:r>
      <w:r w:rsidR="009B21A9">
        <w:instrText xml:space="preserve"> ADDIN ZOTERO_ITEM CSL_CITATION {"citationID":"OUPXmDOe","properties":{"formattedCitation":"[26]","plainCitation":"[26]","noteIndex":0},"citationItems":[{"id":"fmCYmJCr/NdE25aV5","uris":["http://zotero.org/users/local/QFmVNDJO/items/CCVN22YZ"],"itemData":{"id":578,"type":"article-journal","abstract":"In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 webcite.","container-title":"Genome Biology","DOI":"10.1186/s13059-014-0550-8","ISSN":"1474-760X","issue":"12","journalAbbreviation":"Genome Biol","language":"eng","page":"550","PMID":"25516281","PMCID":"PMC4302049","source":"PubMed","title":"Moderated estimation of fold change and dispersion for RNA-seq data with DESeq2","volume":"15","author":[{"family":"Love","given":"Michael I."},{"family":"Huber","given":"Wolfgang"},{"family":"Anders","given":"Simon"}],"issued":{"date-parts":[["2014"]]}}}],"schema":"https://github.com/citation-style-language/schema/raw/master/csl-citation.json"} </w:instrText>
      </w:r>
      <w:r w:rsidR="005E7E03">
        <w:fldChar w:fldCharType="separate"/>
      </w:r>
      <w:r w:rsidR="005E7E03" w:rsidRPr="005E7E03">
        <w:rPr>
          <w:rFonts w:ascii="Calibri" w:hAnsi="Calibri" w:cs="Calibri"/>
        </w:rPr>
        <w:t>[26]</w:t>
      </w:r>
      <w:r w:rsidR="005E7E03">
        <w:fldChar w:fldCharType="end"/>
      </w:r>
      <w:r w:rsidRPr="00B67150">
        <w:t xml:space="preserve">. Prior to analysis, sample quality was assessed </w:t>
      </w:r>
      <w:r w:rsidR="00E35B93">
        <w:t xml:space="preserve">with </w:t>
      </w:r>
      <w:proofErr w:type="gramStart"/>
      <w:r w:rsidR="00E35B93">
        <w:t>PCA</w:t>
      </w:r>
      <w:proofErr w:type="gramEnd"/>
      <w:r w:rsidR="00E35B93">
        <w:t xml:space="preserve"> </w:t>
      </w:r>
      <w:r w:rsidRPr="00B67150">
        <w:t>and outlier samples were excluded</w:t>
      </w:r>
      <w:r w:rsidR="00B31CC9">
        <w:t xml:space="preserve"> </w:t>
      </w:r>
      <w:r w:rsidR="005F77C0">
        <w:t>(heat shock timepoint 24h sample b, and dexamethasone timepoint 28h sample b)</w:t>
      </w:r>
      <w:r w:rsidRPr="00B67150">
        <w:t xml:space="preserve">. </w:t>
      </w:r>
      <w:r w:rsidR="005F77C0">
        <w:t>B</w:t>
      </w:r>
      <w:r w:rsidRPr="00B67150">
        <w:t xml:space="preserve">atch correction was performed using </w:t>
      </w:r>
      <w:proofErr w:type="spellStart"/>
      <w:r w:rsidRPr="00B67150">
        <w:t>ComBat-seq</w:t>
      </w:r>
      <w:proofErr w:type="spellEnd"/>
      <w:r w:rsidRPr="00B67150">
        <w:t xml:space="preserve"> </w:t>
      </w:r>
      <w:r w:rsidR="005E7E03">
        <w:fldChar w:fldCharType="begin"/>
      </w:r>
      <w:r w:rsidR="009B21A9">
        <w:instrText xml:space="preserve"> ADDIN ZOTERO_ITEM CSL_CITATION {"citationID":"sJSIhnkk","properties":{"formattedCitation":"[27]","plainCitation":"[27]","noteIndex":0},"citationItems":[{"id":"fmCYmJCr/wPG6YEPz","uris":["http://zotero.org/users/local/QFmVNDJO/items/MVSA8QZN"],"itemData":{"id":581,"type":"article-journal","abstract":"The benefit of integrating batches of genomic data to increase statistical power is often hindered by batch effects, or unwanted variation in data caused by differences in technical factors across batches. It is therefore critical to effectively address batch effects in genomic data to overcome these challenges. Many existing methods for batch effects adjustment assume the data follow a continuous, bell-shaped Gaussian distribution. However in RNA-seq studies the data are typically skewed, over-dispersed counts, so this assumption is not appropriate and may lead to erroneous results. Negative binomial regression models have been used previously to better capture the properties of counts. We developed a batch correction method, ComBat-seq, using a negative binomial regression model that retains the integer nature of count data in RNA-seq studies, making the batch adjusted data compatible with common differential expression software packages that require integer counts. We show in realistic simulations that the ComBat-seq adjusted data results in better statistical power and control of false positives in differential expression compared to data adjusted by the other available methods. We further demonstrated in a real data example that ComBat-seq successfully removes batch effects and recovers the biological signal in the data.","container-title":"NAR Genomics and Bioinformatics","DOI":"10.1093/nargab/lqaa078","ISSN":"2631-9268","issue":"3","journalAbbreviation":"NAR Genom Bioinform","page":"lqaa078","source":"Silverchair","title":"ComBat-seq: batch effect adjustment for RNA-seq count data","title-short":"ComBat-seq","volume":"2","author":[{"family":"Zhang","given":"Yuqing"},{"family":"Parmigiani","given":"Giovanni"},{"family":"Johnson","given":"W Evan"}],"issued":{"date-parts":[["2020",9,1]]}}}],"schema":"https://github.com/citation-style-language/schema/raw/master/csl-citation.json"} </w:instrText>
      </w:r>
      <w:r w:rsidR="005E7E03">
        <w:fldChar w:fldCharType="separate"/>
      </w:r>
      <w:r w:rsidR="005E7E03" w:rsidRPr="005E7E03">
        <w:rPr>
          <w:rFonts w:ascii="Calibri" w:hAnsi="Calibri" w:cs="Calibri"/>
        </w:rPr>
        <w:t>[27]</w:t>
      </w:r>
      <w:r w:rsidR="005E7E03">
        <w:fldChar w:fldCharType="end"/>
      </w:r>
      <w:r w:rsidR="005E7E03">
        <w:t xml:space="preserve"> </w:t>
      </w:r>
      <w:r w:rsidRPr="00B67150">
        <w:t>from the </w:t>
      </w:r>
      <w:proofErr w:type="spellStart"/>
      <w:r w:rsidRPr="00B67150">
        <w:t>sva</w:t>
      </w:r>
      <w:proofErr w:type="spellEnd"/>
      <w:r w:rsidRPr="00B67150">
        <w:t> package prior to DESeq2 normalisation</w:t>
      </w:r>
      <w:r w:rsidR="005F77C0">
        <w:t xml:space="preserve"> of the heat shock and dexamethasone datasets</w:t>
      </w:r>
      <w:r w:rsidRPr="00B67150">
        <w:t xml:space="preserve">. </w:t>
      </w:r>
      <w:r w:rsidR="00F85878" w:rsidRPr="00F85878">
        <w:t xml:space="preserve">The batch variable was defined as the experimental time-course replicate, corresponding to the three independently generated 48-hour time courses. To preserve circadian time-dependent expression patterns during batch correction, the </w:t>
      </w:r>
      <w:proofErr w:type="spellStart"/>
      <w:r w:rsidR="00F85878" w:rsidRPr="00F85878">
        <w:t>ComBat-seq</w:t>
      </w:r>
      <w:proofErr w:type="spellEnd"/>
      <w:r w:rsidR="00F85878" w:rsidRPr="00F85878">
        <w:t xml:space="preserve"> group variable was defined by sampling time point, so that samples collected at the same circadian time across the three experimental batches were treated as the same biological group. This design allowed batch-associated variation to be adjusted while retaining the rhythmic temporal structure required for downstream RAIN analysis.</w:t>
      </w:r>
      <w:r w:rsidR="00F85878">
        <w:t xml:space="preserve"> </w:t>
      </w:r>
      <w:r w:rsidRPr="00B67150">
        <w:t xml:space="preserve">A minimum mean expression threshold of 50 raw counts was applied to </w:t>
      </w:r>
      <w:r w:rsidR="005F77C0">
        <w:t xml:space="preserve">all datasets to </w:t>
      </w:r>
      <w:r w:rsidRPr="00B67150">
        <w:t>filter lowly expressed genes. Rhythmically expressed genes were identified using the RAIN (Rhythmicity Analysis Incorporating Non-parametric methods) algorithm</w:t>
      </w:r>
      <w:r w:rsidR="005E7E03">
        <w:t xml:space="preserve"> </w:t>
      </w:r>
      <w:r w:rsidR="005E7E03">
        <w:fldChar w:fldCharType="begin"/>
      </w:r>
      <w:r w:rsidR="009B21A9">
        <w:instrText xml:space="preserve"> ADDIN ZOTERO_ITEM CSL_CITATION {"citationID":"NpZ1tbQM","properties":{"formattedCitation":"[28]","plainCitation":"[28]","noteIndex":0},"citationItems":[{"id":"fmCYmJCr/6PAqFOva","uris":["http://zotero.org/users/local/QFmVNDJO/items/K5DFPMSJ"],"itemData":{"id":584,"type":"article-journal","abstract":"A fundamental problem in research on biological rhythms is that of detecting and assessing the significance of rhythms in large sets of data. Classic methods based on Fourier theory are often hampered by the complex and unpredictable characteristics of experimental and biological noise. Robust nonparametric methods are available but are limited to specific wave forms. We present RAIN, a robust nonparametric method for the detection of rhythms of prespecified periods in biological data that can detect arbitrary wave forms. When applied to measurements of the circadian transcriptome and proteome of mouse liver, the sets of transcripts and proteins with rhythmic abundances were significantly expanded due to the increased detection power, when we controlled for false discovery. Validation against independent data confirmed the quality of these results. The large expansion of the circadian mouse liver transcriptomes and proteomes reflected the prevalence of nonsymmetric wave forms and led to new conclusions about function. RAIN was implemented as a freely available software package for R/Bioconductor and is presently also available as a web interface.","container-title":"Journal of Biological Rhythms","DOI":"10.1177/0748730414553029","ISSN":"0748-7304","issue":"6","journalAbbreviation":"J Biol Rhythms","page":"391-400","PMID":"25326247","PMCID":"PMC4266694","source":"PubMed Central","title":"Detecting Rhythms in Time Series with RAIN","volume":"29","author":[{"family":"Thaben","given":"Paul F."},{"family":"Westermark","given":"Pål O."}],"issued":{"date-parts":[["2014",12]]}}}],"schema":"https://github.com/citation-style-language/schema/raw/master/csl-citation.json"} </w:instrText>
      </w:r>
      <w:r w:rsidR="005E7E03">
        <w:fldChar w:fldCharType="separate"/>
      </w:r>
      <w:r w:rsidR="005E7E03" w:rsidRPr="005E7E03">
        <w:rPr>
          <w:rFonts w:ascii="Calibri" w:hAnsi="Calibri" w:cs="Calibri"/>
        </w:rPr>
        <w:t>[28]</w:t>
      </w:r>
      <w:r w:rsidR="005E7E03">
        <w:fldChar w:fldCharType="end"/>
      </w:r>
      <w:r w:rsidRPr="00B67150">
        <w:t>, applied to expression data across a 48-hour time</w:t>
      </w:r>
      <w:r w:rsidR="00834B22">
        <w:t>-</w:t>
      </w:r>
      <w:r w:rsidRPr="00B67150">
        <w:t xml:space="preserve">course sampled at 4-hour intervals with a target period of 24 hours, using the longitudinal </w:t>
      </w:r>
      <w:r w:rsidR="005F77C0">
        <w:t xml:space="preserve">and independent </w:t>
      </w:r>
      <w:r w:rsidRPr="00B67150">
        <w:t>method</w:t>
      </w:r>
      <w:r w:rsidR="005F77C0">
        <w:t>s</w:t>
      </w:r>
      <w:r w:rsidRPr="00B67150">
        <w:t xml:space="preserve"> </w:t>
      </w:r>
      <w:r w:rsidR="005F77C0">
        <w:t xml:space="preserve">for chondrocyte and cartilage datasets respectively, </w:t>
      </w:r>
      <w:r w:rsidRPr="00B67150">
        <w:t>with peak borders set to [0.3, 0.7]. Raw p-values were corrected for multiple testing using the Benjamini-Hochberg procedure, and genes with an adjusted q-value (</w:t>
      </w:r>
      <w:proofErr w:type="gramStart"/>
      <w:r w:rsidRPr="00B67150">
        <w:t>BH.Q</w:t>
      </w:r>
      <w:proofErr w:type="gramEnd"/>
      <w:r w:rsidRPr="00B67150">
        <w:t xml:space="preserve">) &lt; 0.05 were classified as significantly rhythmic. Gene identifiers were annotated with MGI symbols, gene names, and functional descriptions </w:t>
      </w:r>
      <w:r w:rsidRPr="00B67150">
        <w:lastRenderedPageBreak/>
        <w:t xml:space="preserve">by querying the </w:t>
      </w:r>
      <w:proofErr w:type="spellStart"/>
      <w:r w:rsidRPr="00B67150">
        <w:t>Ensembl</w:t>
      </w:r>
      <w:proofErr w:type="spellEnd"/>
      <w:r w:rsidRPr="00B67150">
        <w:t xml:space="preserve"> </w:t>
      </w:r>
      <w:proofErr w:type="spellStart"/>
      <w:r w:rsidRPr="00B67150">
        <w:t>BioMart</w:t>
      </w:r>
      <w:proofErr w:type="spellEnd"/>
      <w:r w:rsidRPr="00B67150">
        <w:t xml:space="preserve"> database (</w:t>
      </w:r>
      <w:r w:rsidRPr="00B67150">
        <w:rPr>
          <w:i/>
          <w:iCs/>
        </w:rPr>
        <w:t>Mus musculus</w:t>
      </w:r>
      <w:r w:rsidRPr="00B67150">
        <w:t>) via the </w:t>
      </w:r>
      <w:proofErr w:type="spellStart"/>
      <w:r w:rsidRPr="00B67150">
        <w:t>biomaRt</w:t>
      </w:r>
      <w:proofErr w:type="spellEnd"/>
      <w:r w:rsidRPr="00B67150">
        <w:t> R package, preferentially using MGI symbols with fallback to external gene names where MGI symbols were unavailable. Results were visualised as expression heatmaps ordered by peak phase using the </w:t>
      </w:r>
      <w:proofErr w:type="spellStart"/>
      <w:r w:rsidRPr="00B67150">
        <w:t>ComplexHeatmap</w:t>
      </w:r>
      <w:proofErr w:type="spellEnd"/>
      <w:r w:rsidRPr="00B67150">
        <w:t> package.</w:t>
      </w:r>
    </w:p>
    <w:p w14:paraId="239176ED" w14:textId="77777777" w:rsidR="00B67150" w:rsidRPr="00355707" w:rsidRDefault="00B67150" w:rsidP="00EC5866">
      <w:pPr>
        <w:jc w:val="both"/>
        <w:rPr>
          <w:i/>
          <w:iCs/>
        </w:rPr>
      </w:pPr>
      <w:r w:rsidRPr="00355707">
        <w:rPr>
          <w:i/>
          <w:iCs/>
        </w:rPr>
        <w:t>Functional enrichment and protein-protein interaction network analysis</w:t>
      </w:r>
    </w:p>
    <w:p w14:paraId="1E8C32DF" w14:textId="13588B84" w:rsidR="00B67150" w:rsidRPr="00B67150" w:rsidRDefault="00B67150" w:rsidP="000B2F87">
      <w:pPr>
        <w:ind w:firstLine="720"/>
        <w:jc w:val="both"/>
      </w:pPr>
      <w:r w:rsidRPr="00B67150">
        <w:t xml:space="preserve">For functional characterisation of rhythmically expressed genes, protein-protein interaction networks and functional enrichment analyses were performed using the STRING database </w:t>
      </w:r>
      <w:r w:rsidR="00D740E9">
        <w:fldChar w:fldCharType="begin"/>
      </w:r>
      <w:r w:rsidR="009B21A9">
        <w:instrText xml:space="preserve"> ADDIN ZOTERO_ITEM CSL_CITATION {"citationID":"OMqaskto","properties":{"formattedCitation":"[29]","plainCitation":"[29]","noteIndex":0},"citationItems":[{"id":"fmCYmJCr/S0kwHsTJ","uris":["http://zotero.org/users/local/QFmVNDJO/items/UIEZLAFV"],"itemData":{"id":587,"type":"article-journal","abstract":"Much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now estimated based on the detection method used, and communicated to the user in the web-interface. Furthermore, STRING continues to enhance its facilities for functional enrichment analysis, which are now fully available also for user-submitted genomes.","container-title":"Nucleic Acids Research","DOI":"10.1093/nar/gkac1000","ISSN":"0305-1048","issue":"D1","journalAbbreviation":"Nucleic Acids Res","page":"D638-D646","source":"Silverchair","title":"The STRING database in 2023: protein–protein association networks and functional enrichment analyses for any sequenced genome of interest","title-short":"The STRING database in 2023","volume":"51","author":[{"family":"Szklarczyk","given":"Damian"},{"family":"Kirsch","given":"Rebecca"},{"family":"Koutrouli","given":"Mikaela"},{"family":"Nastou","given":"Katerina"},{"family":"Mehryary","given":"Farrokh"},{"family":"Hachilif","given":"Radja"},{"family":"Gable","given":"Annika L"},{"family":"Fang","given":"Tao"},{"family":"Doncheva","given":"Nadezhda T"},{"family":"Pyysalo","given":"Sampo"},{"family":"Bork","given":"Peer"},{"family":"Jensen","given":"Lars J"},{"family":"von Mering","given":"Christian"}],"issued":{"date-parts":[["2023",1,6]]}}}],"schema":"https://github.com/citation-style-language/schema/raw/master/csl-citation.json"} </w:instrText>
      </w:r>
      <w:r w:rsidR="00D740E9">
        <w:fldChar w:fldCharType="separate"/>
      </w:r>
      <w:r w:rsidR="00D740E9" w:rsidRPr="00D740E9">
        <w:rPr>
          <w:rFonts w:ascii="Calibri" w:hAnsi="Calibri" w:cs="Calibri"/>
        </w:rPr>
        <w:t>[29]</w:t>
      </w:r>
      <w:r w:rsidR="00D740E9">
        <w:fldChar w:fldCharType="end"/>
      </w:r>
      <w:r w:rsidR="00D740E9">
        <w:t xml:space="preserve"> </w:t>
      </w:r>
      <w:r w:rsidRPr="00B67150">
        <w:t>(v12.0, </w:t>
      </w:r>
      <w:r w:rsidRPr="00B67150">
        <w:rPr>
          <w:i/>
          <w:iCs/>
        </w:rPr>
        <w:t>Mus musculus</w:t>
      </w:r>
      <w:r w:rsidRPr="00B67150">
        <w:t xml:space="preserve">, confidence score ≥ 700) via the STRINGdb R package. Enrichment was assessed across four functional annotation categories: KEGG pathways, Gene Ontology Biological Process terms, </w:t>
      </w:r>
      <w:proofErr w:type="spellStart"/>
      <w:r w:rsidRPr="00B67150">
        <w:t>Reactome</w:t>
      </w:r>
      <w:proofErr w:type="spellEnd"/>
      <w:r w:rsidRPr="00B67150">
        <w:t xml:space="preserve"> pathways, and </w:t>
      </w:r>
      <w:proofErr w:type="spellStart"/>
      <w:r w:rsidRPr="00B67150">
        <w:t>WikiPathways</w:t>
      </w:r>
      <w:proofErr w:type="spellEnd"/>
      <w:r w:rsidRPr="00B67150">
        <w:t xml:space="preserve">, with results filtered at a false discovery rate ≤ 0.05. </w:t>
      </w:r>
      <w:proofErr w:type="spellStart"/>
      <w:r w:rsidRPr="00B67150">
        <w:t>Ensembl</w:t>
      </w:r>
      <w:proofErr w:type="spellEnd"/>
      <w:r w:rsidRPr="00B67150">
        <w:t xml:space="preserve"> gene identifiers were used as primary query inputs, as these yielded more complete mappings than MGI symbols. Gene identifier mapping between </w:t>
      </w:r>
      <w:proofErr w:type="spellStart"/>
      <w:r w:rsidRPr="00B67150">
        <w:t>Ensembl</w:t>
      </w:r>
      <w:proofErr w:type="spellEnd"/>
      <w:r w:rsidRPr="00B67150">
        <w:t xml:space="preserve"> IDs, STRING preferred names, and MGI symbols was performed using a custom dictionary built from </w:t>
      </w:r>
      <w:proofErr w:type="spellStart"/>
      <w:r w:rsidRPr="00B67150">
        <w:t>BioMart</w:t>
      </w:r>
      <w:proofErr w:type="spellEnd"/>
      <w:r w:rsidRPr="00B67150">
        <w:t xml:space="preserve"> </w:t>
      </w:r>
      <w:r w:rsidR="004453C6">
        <w:fldChar w:fldCharType="begin"/>
      </w:r>
      <w:r w:rsidR="009B21A9">
        <w:instrText xml:space="preserve"> ADDIN ZOTERO_ITEM CSL_CITATION {"citationID":"vPhwhlio","properties":{"formattedCitation":"[30]","plainCitation":"[30]","noteIndex":0},"citationItems":[{"id":"fmCYmJCr/XSntK04P","uris":["http://zotero.org/users/local/QFmVNDJO/items/96HZWRPE"],"itemData":{"id":590,"type":"article-journal","abstract":"Summary:  biomaRt is a new Bioconductor package that integrates BioMart data resources with data analysis software in Bioconductor. It can annotate a wide range of gene or gene product identifiers (e.g. Entrez-Gene and Affymetrix probe identifiers) with information such as gene symbol, chromosomal coordinates, Gene Ontology and OMIM annotation. Furthermore biomaRt enables retrieval of genomic sequences and single nucleotide polymorphism information, which can be used in data analysis. Fast and up-to-date data retrieval is possible as the package executes direct SQL queries to the BioMart databases (e.g. Ensembl). The biomaRt package provides a tight integration of large, public or locally installed BioMart databases with data analysis in Bioconductor creating a powerful environment for biological data mining.Availability:  http://www.bioconductor.org. LGPLContact:  steffen.durinck@esat.kuleuven.ac.be","container-title":"Bioinformatics","DOI":"10.1093/bioinformatics/bti525","ISSN":"1367-4803","issue":"16","journalAbbreviation":"Bioinformatics","page":"3439-3440","source":"Silverchair","title":"BioMart and Bioconductor: a powerful link between biological databases and microarray data analysis","title-short":"BioMart and Bioconductor","volume":"21","author":[{"family":"Durinck","given":"Steffen"},{"family":"Moreau","given":"Yves"},{"family":"Kasprzyk","given":"Arek"},{"family":"Davis","given":"Sean"},{"family":"De Moor","given":"Bart"},{"family":"Brazma","given":"Alvis"},{"family":"Huber","given":"Wolfgang"}],"issued":{"date-parts":[["2005",8,15]]}}}],"schema":"https://github.com/citation-style-language/schema/raw/master/csl-citation.json"} </w:instrText>
      </w:r>
      <w:r w:rsidR="004453C6">
        <w:fldChar w:fldCharType="separate"/>
      </w:r>
      <w:r w:rsidR="004453C6" w:rsidRPr="004453C6">
        <w:rPr>
          <w:rFonts w:ascii="Calibri" w:hAnsi="Calibri" w:cs="Calibri"/>
        </w:rPr>
        <w:t>[30]</w:t>
      </w:r>
      <w:r w:rsidR="004453C6">
        <w:fldChar w:fldCharType="end"/>
      </w:r>
      <w:r w:rsidR="004453C6">
        <w:t xml:space="preserve"> </w:t>
      </w:r>
      <w:r w:rsidRPr="00B67150">
        <w:t xml:space="preserve">and STRING mapping outputs. Processed results, including interaction networks, enrichment annotations, and per-gene phase information, were saved as RDS files for use in </w:t>
      </w:r>
      <w:r w:rsidR="00695955">
        <w:t>the</w:t>
      </w:r>
      <w:r w:rsidR="00695955" w:rsidRPr="00B67150">
        <w:t xml:space="preserve"> </w:t>
      </w:r>
      <w:proofErr w:type="spellStart"/>
      <w:r w:rsidRPr="00B67150">
        <w:t>BodyClocks</w:t>
      </w:r>
      <w:proofErr w:type="spellEnd"/>
      <w:r w:rsidR="00347DF9">
        <w:t xml:space="preserve"> platform</w:t>
      </w:r>
      <w:r w:rsidRPr="00B67150">
        <w:t>.</w:t>
      </w:r>
    </w:p>
    <w:p w14:paraId="03886783" w14:textId="77777777" w:rsidR="00B67150" w:rsidRPr="00355707" w:rsidRDefault="00B67150" w:rsidP="00EC5866">
      <w:pPr>
        <w:jc w:val="both"/>
        <w:rPr>
          <w:i/>
          <w:iCs/>
        </w:rPr>
      </w:pPr>
      <w:r w:rsidRPr="00355707">
        <w:rPr>
          <w:i/>
          <w:iCs/>
        </w:rPr>
        <w:t>Comparative overlap analysis between datasets</w:t>
      </w:r>
    </w:p>
    <w:p w14:paraId="394F205A" w14:textId="05BC8755" w:rsidR="00311FC0" w:rsidRDefault="00B67150" w:rsidP="000B2F87">
      <w:pPr>
        <w:ind w:firstLine="720"/>
        <w:jc w:val="both"/>
      </w:pPr>
      <w:r w:rsidRPr="00B67150">
        <w:t xml:space="preserve">To compare the rhythmically expressed </w:t>
      </w:r>
      <w:r w:rsidR="00D740E9">
        <w:t>transcriptomes</w:t>
      </w:r>
      <w:r w:rsidR="00D740E9" w:rsidRPr="00B67150">
        <w:t xml:space="preserve"> </w:t>
      </w:r>
      <w:r w:rsidRPr="00B67150">
        <w:t xml:space="preserve">across experimental conditions, pairwise overlaps between the osmotic stress, dexamethasone, heat shock, and cartilage circadian </w:t>
      </w:r>
      <w:proofErr w:type="spellStart"/>
      <w:r w:rsidRPr="00B67150">
        <w:t>timecourse</w:t>
      </w:r>
      <w:proofErr w:type="spellEnd"/>
      <w:r w:rsidRPr="00B67150">
        <w:t xml:space="preserve"> datasets were assessed. Rhythmically expressed genes were identified in each dataset by filtering for </w:t>
      </w:r>
      <w:proofErr w:type="gramStart"/>
      <w:r w:rsidRPr="00B67150">
        <w:t>BH.Q</w:t>
      </w:r>
      <w:proofErr w:type="gramEnd"/>
      <w:r w:rsidRPr="00B67150">
        <w:t xml:space="preserve"> &lt; 0.05, with a secondary analysis performed at the more stringent threshold of </w:t>
      </w:r>
      <w:proofErr w:type="gramStart"/>
      <w:r w:rsidRPr="00B67150">
        <w:t>BH.Q</w:t>
      </w:r>
      <w:proofErr w:type="gramEnd"/>
      <w:r w:rsidRPr="00B67150">
        <w:t xml:space="preserve"> &lt; 0.01</w:t>
      </w:r>
      <w:r w:rsidR="007E0BE0">
        <w:t>.</w:t>
      </w:r>
      <w:r w:rsidRPr="00B67150">
        <w:t xml:space="preserve"> </w:t>
      </w:r>
      <w:r w:rsidR="008E0B81" w:rsidRPr="008E0B81">
        <w:t xml:space="preserve">The statistical significance of pairwise rhythmic-gene overlaps was evaluated using a one-sided hypergeometric test, assessing whether the observed number of genes rhythmic in both datasets exceeded that expected by chance. For each pairwise comparison, the background universe was defined as all genes that passed expression filtering and were tested for rhythmicity in both datasets, i.e. the intersection of the two </w:t>
      </w:r>
      <w:proofErr w:type="spellStart"/>
      <w:proofErr w:type="gramStart"/>
      <w:r w:rsidR="008E0B81" w:rsidRPr="008E0B81">
        <w:t>datasets’</w:t>
      </w:r>
      <w:proofErr w:type="spellEnd"/>
      <w:proofErr w:type="gramEnd"/>
      <w:r w:rsidR="008E0B81" w:rsidRPr="008E0B81">
        <w:t xml:space="preserve"> expressed/tested gene sets.</w:t>
      </w:r>
      <w:r w:rsidR="00886EFD">
        <w:t xml:space="preserve"> </w:t>
      </w:r>
      <w:r w:rsidR="00886EFD" w:rsidRPr="00886EFD">
        <w:t>A one-sided test was used because the prespecified hypothesis was enrichment of shared rhythmic genes above chance expectation, rather than either enrichment or depletion.</w:t>
      </w:r>
      <w:r w:rsidRPr="00B67150">
        <w:t xml:space="preserve"> </w:t>
      </w:r>
    </w:p>
    <w:p w14:paraId="2E72CFDF" w14:textId="2575DA22" w:rsidR="00311FC0" w:rsidRPr="00311FC0" w:rsidRDefault="00311FC0" w:rsidP="000B2F87">
      <w:pPr>
        <w:ind w:firstLine="720"/>
        <w:jc w:val="both"/>
      </w:pPr>
      <w:r w:rsidRPr="00311FC0">
        <w:t>For each dataset pair, genes rhythmic in both datasets (BH-adjusted </w:t>
      </w:r>
      <w:r w:rsidRPr="00311FC0">
        <w:rPr>
          <w:i/>
          <w:iCs/>
        </w:rPr>
        <w:t>q</w:t>
      </w:r>
      <w:r w:rsidRPr="00311FC0">
        <w:t> &lt; 0.05) were compared by their clock-relative phase (CRP), defined as each gene's circadian phase expressed relative to </w:t>
      </w:r>
      <w:r w:rsidRPr="00311FC0">
        <w:rPr>
          <w:i/>
          <w:iCs/>
        </w:rPr>
        <w:t>Bmal1</w:t>
      </w:r>
      <w:r w:rsidRPr="00311FC0">
        <w:t> within that dataset. Two genes were considered phase-concordant if their circular distance</w:t>
      </w:r>
      <w:r>
        <w:t>,</w:t>
      </w:r>
      <w:r w:rsidRPr="00311FC0">
        <w:t xml:space="preserve"> the minimum arc on a 24 h clock</w:t>
      </w:r>
      <w:r>
        <w:t>,</w:t>
      </w:r>
      <w:r w:rsidRPr="00311FC0">
        <w:t xml:space="preserve"> was ≤ 4 h (one timepoint resolution). To test whether the observed proportion of concordant genes exceeded chance, a permutation null distribution was generated by randomly shuffling the CRP values of one dataset across genes (1,000 permutations) while holding the other fixed and recomputing the concordant proportion each time. </w:t>
      </w:r>
      <w:r w:rsidR="00862585" w:rsidRPr="00862585">
        <w:t>For pairwise comparisons, the theoretical expectation for a randomly placed phase to fall within a ±4 h window on a 24 h circle is 8/24 = 33.3%. However, because observed rhythmic genes are not uniformly distributed across phase, significance was assessed using a permutation null. For the three-way comparison, the expected concordance is lower because all three pairwise distances must fall within the threshold; therefore, a separate permutation null was generated.</w:t>
      </w:r>
      <w:r w:rsidRPr="00311FC0">
        <w:t xml:space="preserve"> The empirical </w:t>
      </w:r>
      <w:r w:rsidRPr="00311FC0">
        <w:rPr>
          <w:i/>
          <w:iCs/>
        </w:rPr>
        <w:t>p</w:t>
      </w:r>
      <w:r w:rsidRPr="00311FC0">
        <w:t>-value was the proportion of permutations yielding a concordant fraction ≥ the observed value, and Benjamini–Hochberg correction was applied across the six pairwise comparisons.</w:t>
      </w:r>
      <w:r w:rsidR="008A2DE3">
        <w:t xml:space="preserve"> </w:t>
      </w:r>
      <w:r w:rsidRPr="00311FC0">
        <w:t>For the three-way analysis (genes rhythmic in Osmo, Dex, and HS simultaneously), a gene was classified as concordant if all three pairwise circular distances were ≤ 4 h. Osmo CRP values were held fixed while Dex and HS values were permuted independently (1,000 permutations), and the </w:t>
      </w:r>
      <w:r w:rsidRPr="00311FC0">
        <w:rPr>
          <w:i/>
          <w:iCs/>
        </w:rPr>
        <w:t>p</w:t>
      </w:r>
      <w:r w:rsidRPr="00311FC0">
        <w:t>-value was calculated as above.</w:t>
      </w:r>
      <w:r w:rsidR="00D616F0">
        <w:t xml:space="preserve"> Complete analysis pipeline including figures, tables and data files for the </w:t>
      </w:r>
      <w:proofErr w:type="spellStart"/>
      <w:r w:rsidR="00D616F0">
        <w:t>BodyClocks</w:t>
      </w:r>
      <w:proofErr w:type="spellEnd"/>
      <w:r w:rsidR="00D616F0">
        <w:t xml:space="preserve"> application is available at GitHub </w:t>
      </w:r>
      <w:r w:rsidR="00D616F0" w:rsidRPr="00265AAE">
        <w:t>(</w:t>
      </w:r>
      <w:hyperlink r:id="rId10" w:history="1">
        <w:r w:rsidR="00D616F0">
          <w:rPr>
            <w:rStyle w:val="Hyperlink"/>
          </w:rPr>
          <w:t>https://github.com/Michal0110/BodyClocks_data</w:t>
        </w:r>
      </w:hyperlink>
      <w:r w:rsidR="00D616F0" w:rsidRPr="00265AAE">
        <w:t>).</w:t>
      </w:r>
    </w:p>
    <w:p w14:paraId="2E8BAD23" w14:textId="77777777" w:rsidR="00265AAE" w:rsidRPr="00355707" w:rsidRDefault="00265AAE" w:rsidP="00EC5866">
      <w:pPr>
        <w:jc w:val="both"/>
        <w:rPr>
          <w:i/>
          <w:iCs/>
        </w:rPr>
      </w:pPr>
      <w:r w:rsidRPr="00355707">
        <w:rPr>
          <w:i/>
          <w:iCs/>
        </w:rPr>
        <w:lastRenderedPageBreak/>
        <w:t>Web Application Design</w:t>
      </w:r>
    </w:p>
    <w:p w14:paraId="3F7DD84E" w14:textId="551E41EB" w:rsidR="00265AAE" w:rsidRPr="000B2F87" w:rsidRDefault="00265AAE" w:rsidP="00EC5866">
      <w:pPr>
        <w:jc w:val="both"/>
        <w:rPr>
          <w:i/>
          <w:iCs/>
        </w:rPr>
      </w:pPr>
      <w:r w:rsidRPr="00265AAE">
        <w:t xml:space="preserve">The </w:t>
      </w:r>
      <w:proofErr w:type="spellStart"/>
      <w:r w:rsidRPr="00265AAE">
        <w:t>BodyClocks</w:t>
      </w:r>
      <w:proofErr w:type="spellEnd"/>
      <w:r w:rsidRPr="00265AAE">
        <w:t xml:space="preserve"> web application was developed using R Shiny (version ≥1.7) as an interactive platform for exploration of circadian RNA sequencing datasets. The application follows a modular architecture, with a reusable </w:t>
      </w:r>
      <w:proofErr w:type="spellStart"/>
      <w:r w:rsidRPr="00265AAE">
        <w:t>explorerServer</w:t>
      </w:r>
      <w:proofErr w:type="spellEnd"/>
      <w:r w:rsidRPr="00265AAE">
        <w:t>/</w:t>
      </w:r>
      <w:proofErr w:type="spellStart"/>
      <w:r w:rsidRPr="00265AAE">
        <w:t>explorerUI</w:t>
      </w:r>
      <w:proofErr w:type="spellEnd"/>
      <w:r w:rsidRPr="00265AAE">
        <w:t> module pair handling the Circadian</w:t>
      </w:r>
      <w:r w:rsidR="007E0BE0">
        <w:t xml:space="preserve"> Explorer </w:t>
      </w:r>
      <w:r w:rsidRPr="00265AAE">
        <w:t>tab</w:t>
      </w:r>
      <w:r w:rsidR="007E0BE0">
        <w:t xml:space="preserve"> and allowing future expansion with other specialised tabs</w:t>
      </w:r>
      <w:r w:rsidRPr="00265AAE">
        <w:t xml:space="preserve">. Protein–protein interaction networks were pre-computed using the STRINGdb database and rendered interactively using the </w:t>
      </w:r>
      <w:proofErr w:type="spellStart"/>
      <w:r w:rsidRPr="00265AAE">
        <w:t>visNetwork</w:t>
      </w:r>
      <w:proofErr w:type="spellEnd"/>
      <w:r w:rsidRPr="00265AAE">
        <w:t xml:space="preserve"> package</w:t>
      </w:r>
      <w:r w:rsidR="00FD2211">
        <w:t xml:space="preserve"> </w:t>
      </w:r>
      <w:r w:rsidR="00FD2211">
        <w:fldChar w:fldCharType="begin"/>
      </w:r>
      <w:r w:rsidR="009B21A9">
        <w:instrText xml:space="preserve"> ADDIN ZOTERO_ITEM CSL_CITATION {"citationID":"JC3wb6Dh","properties":{"formattedCitation":"[31]","plainCitation":"[31]","noteIndex":0},"citationItems":[{"id":"fmCYmJCr/YeBVCrpK","uris":["http://zotero.org/users/local/QFmVNDJO/items/MBYKDAF7"],"itemData":{"id":603,"type":"software","abstract":"Provides an R interface to the 'vis.js' JavaScript charting library. It allows an interactive visualization of networks.","license":"MIT + file LICENSE","source":"R-Packages","title":"visNetwork: Network Visualization using 'vis.js' Library","title-short":"visNetwork","URL":"https://cran.r-project.org/web/packages/visNetwork/index.html","version":"2.1.4","author":[{"family":"Almende","given":"B.V."}],"accessed":{"date-parts":[["2026",5,20]]},"issued":{"date-parts":[["2025",9,4]]}}}],"schema":"https://github.com/citation-style-language/schema/raw/master/csl-citation.json"} </w:instrText>
      </w:r>
      <w:r w:rsidR="00FD2211">
        <w:fldChar w:fldCharType="separate"/>
      </w:r>
      <w:r w:rsidR="009B21A9" w:rsidRPr="009B21A9">
        <w:rPr>
          <w:rFonts w:ascii="Calibri" w:hAnsi="Calibri" w:cs="Calibri"/>
        </w:rPr>
        <w:t>[31]</w:t>
      </w:r>
      <w:r w:rsidR="00FD2211">
        <w:fldChar w:fldCharType="end"/>
      </w:r>
      <w:r w:rsidRPr="00265AAE">
        <w:t xml:space="preserve">, with nodes representing genes and edges weighted by interaction confidence. Functional enrichment annotations, including GO Biological Process, KEGG Pathway, </w:t>
      </w:r>
      <w:proofErr w:type="spellStart"/>
      <w:r w:rsidRPr="00265AAE">
        <w:t>Reactome</w:t>
      </w:r>
      <w:proofErr w:type="spellEnd"/>
      <w:r w:rsidRPr="00265AAE">
        <w:t xml:space="preserve">, and </w:t>
      </w:r>
      <w:proofErr w:type="spellStart"/>
      <w:r w:rsidRPr="00265AAE">
        <w:t>WikiPathways</w:t>
      </w:r>
      <w:proofErr w:type="spellEnd"/>
      <w:r w:rsidRPr="00265AAE">
        <w:t xml:space="preserve"> terms, were pre-computed and linked to network clusters, enabling users to highlight gene sets of interest directly within the network. Gene expression data are displayed as temporal profiles fitted with nonlinear least-squares (NLS) sine and cosine models using a multi-start strategy to identify the best-fitting oscillatory curve; model selection was based on a composite score combining residual deviance and deviation from the expected circadian frequency. The data table, built with the DT package, supports multi-row selection for gene expression plotting, and all visualisations are rendered dynamically using ggplot2. </w:t>
      </w:r>
      <w:r w:rsidR="003978C4">
        <w:t>The methods described in the above paragraph “</w:t>
      </w:r>
      <w:r w:rsidR="003978C4" w:rsidRPr="00355707">
        <w:rPr>
          <w:i/>
          <w:iCs/>
        </w:rPr>
        <w:t xml:space="preserve">Comparative overlap analysis between </w:t>
      </w:r>
      <w:proofErr w:type="gramStart"/>
      <w:r w:rsidR="003978C4" w:rsidRPr="00355707">
        <w:rPr>
          <w:i/>
          <w:iCs/>
        </w:rPr>
        <w:t>datasets</w:t>
      </w:r>
      <w:r w:rsidR="003978C4">
        <w:t>“</w:t>
      </w:r>
      <w:r w:rsidR="00FD2211">
        <w:t xml:space="preserve"> </w:t>
      </w:r>
      <w:r w:rsidR="003978C4">
        <w:t>are</w:t>
      </w:r>
      <w:proofErr w:type="gramEnd"/>
      <w:r w:rsidR="003978C4">
        <w:t xml:space="preserve"> implemented as a separate interactive tab that allows pairwise comparisons between any two datasets of the same species. </w:t>
      </w:r>
      <w:r w:rsidRPr="00265AAE">
        <w:t xml:space="preserve">The application is deployed as a standard Shiny application </w:t>
      </w:r>
      <w:r w:rsidR="00355707">
        <w:t xml:space="preserve">at </w:t>
      </w:r>
      <w:r w:rsidR="003978C4" w:rsidRPr="000B2F87">
        <w:t>www.</w:t>
      </w:r>
      <w:r w:rsidR="003978C4">
        <w:t>BodyClocks.org</w:t>
      </w:r>
      <w:r w:rsidR="00355707">
        <w:t xml:space="preserve"> </w:t>
      </w:r>
      <w:r w:rsidRPr="00265AAE">
        <w:t>and the source code is available at GitHub (</w:t>
      </w:r>
      <w:hyperlink r:id="rId11" w:history="1">
        <w:r w:rsidRPr="00265AAE">
          <w:rPr>
            <w:rStyle w:val="Hyperlink"/>
          </w:rPr>
          <w:t>https://github.com/Michal0110/BodyClocks</w:t>
        </w:r>
      </w:hyperlink>
      <w:r w:rsidRPr="00265AAE">
        <w:t>).</w:t>
      </w:r>
    </w:p>
    <w:p w14:paraId="2FB65A1D" w14:textId="77777777" w:rsidR="00265AAE" w:rsidRPr="00B67150" w:rsidRDefault="00265AAE" w:rsidP="00EC5866">
      <w:pPr>
        <w:jc w:val="both"/>
      </w:pPr>
    </w:p>
    <w:p w14:paraId="56284541" w14:textId="77777777" w:rsidR="00812CC6" w:rsidRDefault="00812CC6" w:rsidP="00EC5866">
      <w:pPr>
        <w:jc w:val="both"/>
      </w:pPr>
    </w:p>
    <w:p w14:paraId="2FC2FB8C" w14:textId="260F32CF" w:rsidR="004D6406" w:rsidRDefault="001A3BBE" w:rsidP="00EC5866">
      <w:pPr>
        <w:jc w:val="both"/>
        <w:rPr>
          <w:b/>
          <w:bCs/>
        </w:rPr>
      </w:pPr>
      <w:r>
        <w:rPr>
          <w:b/>
          <w:bCs/>
        </w:rPr>
        <w:t>RESULTS</w:t>
      </w:r>
    </w:p>
    <w:p w14:paraId="0AA2EDD8" w14:textId="77777777" w:rsidR="002B0ED9" w:rsidRDefault="002B0ED9" w:rsidP="00EC5866">
      <w:pPr>
        <w:jc w:val="both"/>
        <w:rPr>
          <w:b/>
          <w:bCs/>
        </w:rPr>
      </w:pPr>
    </w:p>
    <w:p w14:paraId="2F811B80" w14:textId="18641FC0" w:rsidR="002B0ED9" w:rsidRPr="000B2F87" w:rsidRDefault="002B0ED9" w:rsidP="00EC5866">
      <w:pPr>
        <w:jc w:val="both"/>
        <w:rPr>
          <w:i/>
          <w:iCs/>
        </w:rPr>
      </w:pPr>
      <w:r w:rsidRPr="002B0ED9">
        <w:rPr>
          <w:i/>
          <w:iCs/>
        </w:rPr>
        <w:t>Distinct synchronising cues generate robust but differently phased chondrocyte clocks</w:t>
      </w:r>
      <w:r>
        <w:rPr>
          <w:i/>
          <w:iCs/>
        </w:rPr>
        <w:t>.</w:t>
      </w:r>
    </w:p>
    <w:p w14:paraId="1E4FC758" w14:textId="46EE59DF" w:rsidR="00A42A45" w:rsidRDefault="00EB7F01" w:rsidP="00EC5866">
      <w:pPr>
        <w:ind w:firstLine="720"/>
        <w:jc w:val="both"/>
      </w:pPr>
      <w:r>
        <w:t xml:space="preserve">We have previously established that osmotic stress </w:t>
      </w:r>
      <w:r w:rsidR="0032634C">
        <w:fldChar w:fldCharType="begin"/>
      </w:r>
      <w:r w:rsidR="009B21A9">
        <w:instrText xml:space="preserve"> ADDIN ZOTERO_ITEM CSL_CITATION {"citationID":"l6rTrVIR","properties":{"formattedCitation":"[12]","plainCitation":"[12]","noteIndex":0},"citationItems":[{"id":"fmCYmJCr/oA0Ras37","uris":["http://zotero.org/users/local/QFmVNDJO/items/NVJ3R6SZ"],"itemData":{"id":538,"type":"article-journal","abstract":"Daily rhythms in mammalian behaviour and physiology are generated by a multi-oscillator circadian system entrained through environmental cues (e.g. light and feeding). The presence of tissue niche-dependent physiological time cues has been proposed, allowing tissues the ability of circadian phase adjustment based on local signals. However, to date, such stimuli have remained elusive. Here we show that daily patterns of mechanical loading and associated osmotic challenge within physiological ranges reset circadian clock phase and amplitude in cartilage and intervertebral disc tissues in vivo and in tissue explant cultures. Hyperosmolarity (but not hypo-osmolarity) resets clocks in young and ageing skeletal tissues and induce genome-wide expression of rhythmic genes in cells. Mechanistically, RNAseq and biochemical analysis revealed the PLD2-mTORC2-AKT-GSK3β axis as a convergent pathway for both in vivo loading and hyperosmolarity-induced clock changes. These results reveal diurnal patterns of mechanical loading and consequent daily oscillations in osmolarity as a bona fide tissue niche-specific time cue to maintain skeletal circadian rhythms in sync.","container-title":"Nature Communications","DOI":"10.1038/s41467-023-42056-1","ISSN":"2041-1723","issue":"1","journalAbbreviation":"Nat Commun","language":"en","license":"2023 The Author(s)","page":"7237","publisher":"Nature Publishing Group","source":"www.nature.com","title":"Mechanical loading and hyperosmolarity as a daily resetting cue for skeletal circadian clocks","volume":"14","author":[{"family":"Dudek","given":"Michal"},{"family":"Pathiranage","given":"Dharshika R. J."},{"family":"Bano-Otalora","given":"Beatriz"},{"family":"Paszek","given":"Anna"},{"family":"Rogers","given":"Natalie"},{"family":"Gonçalves","given":"Cátia F."},{"family":"Lawless","given":"Craig"},{"family":"Wang","given":"Dong"},{"family":"Luo","given":"Zhuojing"},{"family":"Yang","given":"Liu"},{"family":"Guilak","given":"Farshid"},{"family":"Hoyland","given":"Judith A."},{"family":"Meng","given":"Qing-Jun"}],"issued":{"date-parts":[["2023",11,14]]}}}],"schema":"https://github.com/citation-style-language/schema/raw/master/csl-citation.json"} </w:instrText>
      </w:r>
      <w:r w:rsidR="0032634C">
        <w:fldChar w:fldCharType="separate"/>
      </w:r>
      <w:r w:rsidR="0032634C" w:rsidRPr="0032634C">
        <w:rPr>
          <w:rFonts w:ascii="Calibri" w:hAnsi="Calibri" w:cs="Calibri"/>
        </w:rPr>
        <w:t>[12]</w:t>
      </w:r>
      <w:r w:rsidR="0032634C">
        <w:fldChar w:fldCharType="end"/>
      </w:r>
      <w:r>
        <w:t xml:space="preserve"> and heat shock </w:t>
      </w:r>
      <w:r w:rsidR="0032634C">
        <w:fldChar w:fldCharType="begin"/>
      </w:r>
      <w:r w:rsidR="009B21A9">
        <w:instrText xml:space="preserve"> ADDIN ZOTERO_ITEM CSL_CITATION {"citationID":"05fDBsMk","properties":{"formattedCitation":"[11]","plainCitation":"[11]","noteIndex":0},"citationItems":[{"id":"fmCYmJCr/nxxnQNKg","uris":["http://zotero.org/users/local/QFmVNDJO/items/PE3ZMC8P"],"itemData":{"id":536,"type":"article","abstract":"Objective Prior studies have shown that disruption of the circadian clock leads to cartilage degeneration in mice while shift work is associated with higher risk of osteoarthritis (OA) in humans. In this study we investigated the potential of heat pulses to restore dampened circadian rhythms in articular cartilage.\nMethods Femoral head cartilage explants and primary chondrocytes were isolated from PER2::LUC mice. Human femoral condyle cartilage was obtained from osteoarthritic patients undergoing total knee replacement. Tissues and cells were exposed to heat shock at various temperatures (37-43 °C) and incubation lengths. Bioluminescence from explants and cells was recorded in real-time. RNA sequencing and qPCR were used to assess gene expression changes in response to heat.\nResults We established that a 60-min pulse at 43 °C was sufficient to restore dampened PER2::LUC rhythms in mouse cartilage explants or in primary chondrocytes. Transcriptome analysis in mouse articular cartilage showed an up-regulation of genes encoding heat shock proteins and collagens, and a transient down-regulation of Sox9, Runx2, Per1, Clock and Cry2. Heat induced the expression of circadian clock genes in human osteoarthritic knee cartilage. Mechanistically, inhibition of HSP90 activity or perturbation of F-actin polymerisation blocked the heat-induced resynchronisation of circadian rhythms.\nConclusion Together, these data have contributed to a greater understanding of the multifaceted nature of the connections between circadian timekeeping, heat stress responses and homeostasis in articular cartilage. These findings also suggest that time-prescribed temperature increases could be developed into a non-invasive intervention to slow down tissue ageing and restore homeostasis in osteoarthritic joints by improving circadian oscillations of cartilage rhythmic pathways.","DOI":"10.1101/2024.01.26.577368","language":"en","license":"© 2024, Posted by Cold Spring Harbor Laboratory. The copyright holder for this pre-print is the author. All rights reserved. The material may not be redistributed, re-used or adapted without the author's permission.","note":"page: 2024.01.26.577368\nsection: New Results","publisher":"bioRxiv","source":"bioRxiv","title":"Modulation of circadian rhythms in articular cartilage by heat pulses","URL":"https://www.biorxiv.org/content/10.1101/2024.01.26.577368v1","author":[{"family":"Gonçalves","given":"Cátia F."},{"family":"Dudek","given":"Michal"},{"family":"Pathiranage","given":"Dharshika RJ"},{"family":"Paszek","given":"Anna"},{"family":"El-Houni","given":"Zeyad"},{"family":"Li","given":"Shiyang"},{"family":"Tawy","given":"Gwenllian"},{"family":"Biant","given":"Leela"},{"family":"Hoyland","given":"Judith A."},{"family":"Meng","given":"Qing-Jun"}],"accessed":{"date-parts":[["2026",3,17]]},"issued":{"date-parts":[["2024",1,26]]}}}],"schema":"https://github.com/citation-style-language/schema/raw/master/csl-citation.json"} </w:instrText>
      </w:r>
      <w:r w:rsidR="0032634C">
        <w:fldChar w:fldCharType="separate"/>
      </w:r>
      <w:r w:rsidR="0032634C" w:rsidRPr="0032634C">
        <w:rPr>
          <w:rFonts w:ascii="Calibri" w:hAnsi="Calibri" w:cs="Calibri"/>
        </w:rPr>
        <w:t>[11]</w:t>
      </w:r>
      <w:r w:rsidR="0032634C">
        <w:fldChar w:fldCharType="end"/>
      </w:r>
      <w:r>
        <w:t xml:space="preserve"> are potent clock resetting stimuli for cartilage </w:t>
      </w:r>
      <w:r w:rsidRPr="000B2F87">
        <w:rPr>
          <w:i/>
          <w:iCs/>
        </w:rPr>
        <w:t>ex vivo</w:t>
      </w:r>
      <w:r>
        <w:t xml:space="preserve">, while dexamethasone remains </w:t>
      </w:r>
      <w:r w:rsidR="00E46CF1">
        <w:t xml:space="preserve">one of the </w:t>
      </w:r>
      <w:r>
        <w:t xml:space="preserve">most widely used </w:t>
      </w:r>
      <w:r w:rsidR="00676382">
        <w:t xml:space="preserve">synchronisation </w:t>
      </w:r>
      <w:r>
        <w:t>method</w:t>
      </w:r>
      <w:r w:rsidR="00E46CF1">
        <w:t>s</w:t>
      </w:r>
      <w:r>
        <w:t xml:space="preserve"> in circadian studies</w:t>
      </w:r>
      <w:r w:rsidR="0032634C">
        <w:t xml:space="preserve"> </w:t>
      </w:r>
      <w:r w:rsidR="0032634C">
        <w:fldChar w:fldCharType="begin"/>
      </w:r>
      <w:r w:rsidR="009B21A9">
        <w:instrText xml:space="preserve"> ADDIN ZOTERO_ITEM CSL_CITATION {"citationID":"iXq1ZENo","properties":{"formattedCitation":"[32]","plainCitation":"[32]","noteIndex":0},"citationItems":[{"id":"fmCYmJCr/2Iy4YKMn","uris":["http://zotero.org/users/local/QFmVNDJO/items/3M6RNKXE"],"itemData":{"id":546,"type":"article-journal","abstract":"Circadian clock genes are regulated by glucocorticoids; however, whether this regulation is a direct or secondary effect and the physiological consequences of this regulation were unknown. Here, we identified glucocorticoid response elements (GREs) at multiple clock genes and showed that 3 were directly regulated by the glucocorticoid receptor. We determined that a GRE within the core clock gene Per2 was continuously occupied during rhythmic expression and essential for glucocorticoid regulation of that gene in vivo. We further demonstrated that mice with a genomic deletion spanning this GRE expressed elevated leptin levels and were protected from glucose intolerance and insulin resistance on glucocorticoid treatment but not from muscle wasting. We conclude that Per2 is an integral component of a particular glucocorticoid regulatory pathway and that glucocorticoid regulation of the peripheral clock is selectively required for some actions of glucocorticoids.","container-title":"Proceedings of the National Academy of Sciences","DOI":"10.1073/pnas.0909733106","issue":"41","page":"17582-17587","publisher":"Proceedings of the National Academy of Sciences","source":"pnas.org (Atypon)","title":"Glucocorticoid regulation of the circadian clock modulates glucose homeostasis","volume":"106","author":[{"family":"So","given":"Alex Y.-L."},{"family":"Bernal","given":"Teresita U."},{"family":"Pillsbury","given":"Marlisa L."},{"family":"Yamamoto","given":"Keith R."},{"family":"Feldman","given":"Brian J."}],"issued":{"date-parts":[["2009",10,13]]}}}],"schema":"https://github.com/citation-style-language/schema/raw/master/csl-citation.json"} </w:instrText>
      </w:r>
      <w:r w:rsidR="0032634C">
        <w:fldChar w:fldCharType="separate"/>
      </w:r>
      <w:r w:rsidR="009B21A9" w:rsidRPr="009B21A9">
        <w:rPr>
          <w:rFonts w:ascii="Calibri" w:hAnsi="Calibri" w:cs="Calibri"/>
        </w:rPr>
        <w:t>[32]</w:t>
      </w:r>
      <w:r w:rsidR="0032634C">
        <w:fldChar w:fldCharType="end"/>
      </w:r>
      <w:r>
        <w:t xml:space="preserve">. </w:t>
      </w:r>
      <w:r w:rsidR="00833B23" w:rsidRPr="00DF59C0">
        <w:t xml:space="preserve">To systematically evaluate the impact of </w:t>
      </w:r>
      <w:r w:rsidR="00834B22">
        <w:t>synchronisation</w:t>
      </w:r>
      <w:r w:rsidR="00833B23" w:rsidRPr="00DF59C0">
        <w:t xml:space="preserve"> modality on the circadian output of a peripheral clock, we conducted </w:t>
      </w:r>
      <w:r w:rsidR="00AC121C">
        <w:t>a</w:t>
      </w:r>
      <w:r w:rsidR="00EA5007">
        <w:t>n</w:t>
      </w:r>
      <w:r w:rsidR="00AC121C">
        <w:t xml:space="preserve"> </w:t>
      </w:r>
      <w:r w:rsidR="00833B23" w:rsidRPr="00DF59C0">
        <w:t xml:space="preserve">RNA-sequencing time-series investigation using </w:t>
      </w:r>
      <w:r w:rsidR="00C55FCA">
        <w:t xml:space="preserve">mouse </w:t>
      </w:r>
      <w:r w:rsidR="00833B23" w:rsidRPr="00DF59C0">
        <w:t xml:space="preserve">primary articular chondrocytes. </w:t>
      </w:r>
      <w:r w:rsidR="009D3ED6" w:rsidRPr="009D3ED6">
        <w:t>We first tested whether three synchronising cues produced comparable circadian transcriptomes in primary chondrocytes.</w:t>
      </w:r>
      <w:r w:rsidR="00833B23" w:rsidRPr="00DF59C0">
        <w:t xml:space="preserve"> </w:t>
      </w:r>
      <w:r w:rsidR="003A504A">
        <w:t>All three methods result</w:t>
      </w:r>
      <w:r w:rsidR="00676382">
        <w:t>ed</w:t>
      </w:r>
      <w:r w:rsidR="003A504A">
        <w:t xml:space="preserve"> in re-synchronisation </w:t>
      </w:r>
      <w:r w:rsidR="00676382">
        <w:t xml:space="preserve">and </w:t>
      </w:r>
      <w:r w:rsidR="003A504A">
        <w:t>robust amplitude rhythm</w:t>
      </w:r>
      <w:r w:rsidR="00C55FCA">
        <w:t>s</w:t>
      </w:r>
      <w:r w:rsidR="003A504A">
        <w:t xml:space="preserve"> of PER</w:t>
      </w:r>
      <w:proofErr w:type="gramStart"/>
      <w:r w:rsidR="003A504A">
        <w:t>2::</w:t>
      </w:r>
      <w:proofErr w:type="gramEnd"/>
      <w:r w:rsidR="003A504A">
        <w:t>L</w:t>
      </w:r>
      <w:r w:rsidR="00700973">
        <w:t>UC</w:t>
      </w:r>
      <w:r w:rsidR="003A504A">
        <w:t xml:space="preserve"> </w:t>
      </w:r>
      <w:r w:rsidR="00EA5007">
        <w:t xml:space="preserve">clock </w:t>
      </w:r>
      <w:r w:rsidR="003A504A">
        <w:t>reporter chondrocytes (</w:t>
      </w:r>
      <w:proofErr w:type="gramStart"/>
      <w:r w:rsidR="00AA271B">
        <w:t xml:space="preserve">Figure  </w:t>
      </w:r>
      <w:r w:rsidR="003A504A">
        <w:t>1</w:t>
      </w:r>
      <w:proofErr w:type="gramEnd"/>
      <w:r w:rsidR="003A504A">
        <w:t xml:space="preserve">a). </w:t>
      </w:r>
      <w:r w:rsidR="00AC6BE6">
        <w:t xml:space="preserve">RNA sequencing of </w:t>
      </w:r>
      <w:r w:rsidR="001F36B1">
        <w:t>48-</w:t>
      </w:r>
      <w:r w:rsidR="00AC6BE6">
        <w:t xml:space="preserve">hour circadian </w:t>
      </w:r>
      <w:r w:rsidR="00700973">
        <w:t>time series</w:t>
      </w:r>
      <w:r w:rsidR="00AC6BE6">
        <w:t xml:space="preserve"> revealed that all three methods induce transcriptome</w:t>
      </w:r>
      <w:r w:rsidR="0032634C">
        <w:t>-</w:t>
      </w:r>
      <w:r w:rsidR="00AC6BE6">
        <w:t xml:space="preserve">wide rhythms. Osmotic stress, heat shock and dexamethasone </w:t>
      </w:r>
      <w:r w:rsidR="006113A5" w:rsidRPr="006113A5">
        <w:t>resulted in detection of</w:t>
      </w:r>
      <w:r w:rsidR="00AC6BE6">
        <w:t xml:space="preserve"> 871, 5255 and 2008 rhythmic transcripts, respectively (</w:t>
      </w:r>
      <w:proofErr w:type="gramStart"/>
      <w:r w:rsidR="00AA271B">
        <w:t xml:space="preserve">Figure  </w:t>
      </w:r>
      <w:r w:rsidR="00AC6BE6">
        <w:t>1</w:t>
      </w:r>
      <w:proofErr w:type="gramEnd"/>
      <w:r w:rsidR="00AC6BE6">
        <w:t>b).</w:t>
      </w:r>
      <w:r w:rsidR="00040007">
        <w:t xml:space="preserve"> </w:t>
      </w:r>
      <w:r w:rsidR="007F3325">
        <w:t>T</w:t>
      </w:r>
      <w:r w:rsidR="0075792E">
        <w:t xml:space="preserve">he overlap between </w:t>
      </w:r>
      <w:r w:rsidR="00257CDD">
        <w:t xml:space="preserve">lists of </w:t>
      </w:r>
      <w:r w:rsidR="0075792E">
        <w:t>rhythmic gene</w:t>
      </w:r>
      <w:r w:rsidR="00257CDD">
        <w:t>s</w:t>
      </w:r>
      <w:r w:rsidR="0075792E">
        <w:t xml:space="preserve"> </w:t>
      </w:r>
      <w:r w:rsidR="00257CDD">
        <w:t xml:space="preserve">in </w:t>
      </w:r>
      <w:r w:rsidR="0075792E">
        <w:t>the three chondrocyte datasets was only 6</w:t>
      </w:r>
      <w:r w:rsidR="00CF3F72">
        <w:t>4</w:t>
      </w:r>
      <w:r w:rsidR="0075792E">
        <w:t xml:space="preserve"> genes </w:t>
      </w:r>
      <w:r w:rsidR="00757526">
        <w:t>(</w:t>
      </w:r>
      <w:r w:rsidR="00AA271B">
        <w:t xml:space="preserve">Supplementary </w:t>
      </w:r>
      <w:r w:rsidR="00757526" w:rsidRPr="00B001B2">
        <w:t>Table</w:t>
      </w:r>
      <w:r w:rsidR="00B6224A">
        <w:t xml:space="preserve"> 1</w:t>
      </w:r>
      <w:r w:rsidR="00757526">
        <w:t xml:space="preserve">) </w:t>
      </w:r>
      <w:r w:rsidR="0075792E">
        <w:t xml:space="preserve">and when cartilage </w:t>
      </w:r>
      <w:r w:rsidR="00A452D8">
        <w:t xml:space="preserve">tissue </w:t>
      </w:r>
      <w:r w:rsidR="0075792E">
        <w:t xml:space="preserve">rhythmic genes were added to the comparison, only 15 genes were common between all datasets. This common set contained largely core circadian clock genes </w:t>
      </w:r>
      <w:r w:rsidR="008464B2">
        <w:t>(</w:t>
      </w:r>
      <w:r w:rsidR="00C44527" w:rsidRPr="009C10BA">
        <w:rPr>
          <w:i/>
          <w:iCs/>
        </w:rPr>
        <w:t>Bmal1</w:t>
      </w:r>
      <w:r w:rsidR="00C44527">
        <w:rPr>
          <w:i/>
          <w:iCs/>
        </w:rPr>
        <w:t xml:space="preserve">, </w:t>
      </w:r>
      <w:r w:rsidR="00C44527" w:rsidRPr="009C10BA">
        <w:rPr>
          <w:i/>
          <w:iCs/>
        </w:rPr>
        <w:t>Npas2</w:t>
      </w:r>
      <w:r w:rsidR="00C44527">
        <w:rPr>
          <w:i/>
          <w:iCs/>
        </w:rPr>
        <w:t xml:space="preserve">, </w:t>
      </w:r>
      <w:r w:rsidR="008464B2" w:rsidRPr="009C10BA">
        <w:rPr>
          <w:i/>
          <w:iCs/>
        </w:rPr>
        <w:t>Cry1</w:t>
      </w:r>
      <w:r w:rsidR="008464B2">
        <w:t xml:space="preserve">, </w:t>
      </w:r>
      <w:r w:rsidR="008464B2" w:rsidRPr="009C10BA">
        <w:rPr>
          <w:i/>
          <w:iCs/>
        </w:rPr>
        <w:t>Nr1d1</w:t>
      </w:r>
      <w:r w:rsidR="008464B2">
        <w:t xml:space="preserve">, </w:t>
      </w:r>
      <w:r w:rsidR="008464B2" w:rsidRPr="009C10BA">
        <w:rPr>
          <w:i/>
          <w:iCs/>
        </w:rPr>
        <w:t>Per1</w:t>
      </w:r>
      <w:r w:rsidR="009C10BA">
        <w:t xml:space="preserve">, </w:t>
      </w:r>
      <w:r w:rsidR="009C10BA" w:rsidRPr="009C10BA">
        <w:rPr>
          <w:i/>
          <w:iCs/>
        </w:rPr>
        <w:t>Per2</w:t>
      </w:r>
      <w:r w:rsidR="009C10BA">
        <w:t xml:space="preserve">, </w:t>
      </w:r>
      <w:r w:rsidR="009C10BA" w:rsidRPr="009C10BA">
        <w:rPr>
          <w:i/>
          <w:iCs/>
        </w:rPr>
        <w:t>Per3</w:t>
      </w:r>
      <w:r w:rsidR="009C10BA">
        <w:t xml:space="preserve">, </w:t>
      </w:r>
      <w:r w:rsidR="00C44527" w:rsidRPr="009C10BA">
        <w:rPr>
          <w:i/>
          <w:iCs/>
        </w:rPr>
        <w:t>DBP</w:t>
      </w:r>
      <w:r w:rsidR="009C10BA">
        <w:t>,</w:t>
      </w:r>
      <w:r w:rsidR="00B001B2">
        <w:t xml:space="preserve"> </w:t>
      </w:r>
      <w:r w:rsidR="009C10BA">
        <w:t>and</w:t>
      </w:r>
      <w:r w:rsidR="00217DA2">
        <w:t xml:space="preserve"> </w:t>
      </w:r>
      <w:r w:rsidR="00C44527" w:rsidRPr="009C10BA">
        <w:rPr>
          <w:i/>
          <w:iCs/>
        </w:rPr>
        <w:t>Tef</w:t>
      </w:r>
      <w:r w:rsidR="009C10BA">
        <w:t xml:space="preserve">) </w:t>
      </w:r>
      <w:r w:rsidR="0075792E">
        <w:t xml:space="preserve">and their temporal pattern </w:t>
      </w:r>
      <w:r w:rsidR="00BD02D5">
        <w:t>differed</w:t>
      </w:r>
      <w:r w:rsidR="0075792E">
        <w:t xml:space="preserve"> between the synchronisation modalities (</w:t>
      </w:r>
      <w:r w:rsidR="00AA271B">
        <w:t xml:space="preserve">Figure </w:t>
      </w:r>
      <w:r w:rsidR="005A3C9D">
        <w:t>1C</w:t>
      </w:r>
      <w:r w:rsidR="0075792E">
        <w:t>).</w:t>
      </w:r>
    </w:p>
    <w:p w14:paraId="497649FA" w14:textId="77777777" w:rsidR="002B0ED9" w:rsidRDefault="002B0ED9" w:rsidP="002B0ED9">
      <w:pPr>
        <w:jc w:val="both"/>
      </w:pPr>
    </w:p>
    <w:p w14:paraId="1DD97E74" w14:textId="50CB2A74" w:rsidR="002B0ED9" w:rsidRPr="000B2F87" w:rsidRDefault="002B0ED9" w:rsidP="000B2F87">
      <w:pPr>
        <w:jc w:val="both"/>
        <w:rPr>
          <w:i/>
          <w:iCs/>
        </w:rPr>
      </w:pPr>
      <w:r w:rsidRPr="002B0ED9">
        <w:rPr>
          <w:i/>
          <w:iCs/>
        </w:rPr>
        <w:t>Rhythmic gene overlap between synchronisation methods is low</w:t>
      </w:r>
      <w:r>
        <w:rPr>
          <w:i/>
          <w:iCs/>
        </w:rPr>
        <w:t>.</w:t>
      </w:r>
    </w:p>
    <w:p w14:paraId="78D9DF4E" w14:textId="6E1FC52C" w:rsidR="00367839" w:rsidRDefault="009D3ED6" w:rsidP="00EC5866">
      <w:pPr>
        <w:ind w:firstLine="720"/>
        <w:jc w:val="both"/>
      </w:pPr>
      <w:r w:rsidRPr="009D3ED6">
        <w:lastRenderedPageBreak/>
        <w:t>We next tested whether pairwise overlaps between rhythmic gene lists exceeded those expected by chance</w:t>
      </w:r>
      <w:r w:rsidR="00367839">
        <w:t>. Th</w:t>
      </w:r>
      <w:r w:rsidR="00BF3B4B">
        <w:t>e analysis</w:t>
      </w:r>
      <w:r w:rsidR="00367839">
        <w:t xml:space="preserve"> showed that there </w:t>
      </w:r>
      <w:r w:rsidR="00BF3B4B">
        <w:t>are</w:t>
      </w:r>
      <w:r w:rsidR="00367839">
        <w:t xml:space="preserve"> more </w:t>
      </w:r>
      <w:r w:rsidR="00A70A4A">
        <w:t xml:space="preserve">genes than there would </w:t>
      </w:r>
      <w:r w:rsidR="008F4028">
        <w:t xml:space="preserve">be </w:t>
      </w:r>
      <w:r w:rsidR="00A70A4A">
        <w:t xml:space="preserve">purely by chance in </w:t>
      </w:r>
      <w:r w:rsidR="00217DA2">
        <w:t>heat shock – dexamethasone, heat shock – cartilage and dexamethasone – cartilage comparisons but none of the comparisons involving osmotic stress reached statistical significance</w:t>
      </w:r>
      <w:r w:rsidR="00A70A4A">
        <w:t>.</w:t>
      </w:r>
      <w:r w:rsidR="00217DA2">
        <w:t xml:space="preserve"> </w:t>
      </w:r>
      <w:r w:rsidR="00A70A4A">
        <w:t xml:space="preserve">However, the fold enrichment over random overlap </w:t>
      </w:r>
      <w:r w:rsidR="009A3919">
        <w:t xml:space="preserve">even in the statistically significant comparisons </w:t>
      </w:r>
      <w:r w:rsidR="00A70A4A">
        <w:t xml:space="preserve">ranged only from </w:t>
      </w:r>
      <w:proofErr w:type="gramStart"/>
      <w:r w:rsidR="00A70A4A">
        <w:t>1.</w:t>
      </w:r>
      <w:r w:rsidR="00217DA2">
        <w:t>08</w:t>
      </w:r>
      <w:r w:rsidR="00A70A4A">
        <w:t xml:space="preserve"> fold</w:t>
      </w:r>
      <w:proofErr w:type="gramEnd"/>
      <w:r w:rsidR="00A70A4A">
        <w:t xml:space="preserve"> for heat shock - </w:t>
      </w:r>
      <w:r w:rsidR="00F01477">
        <w:t>dexamethasone</w:t>
      </w:r>
      <w:r w:rsidR="00A70A4A">
        <w:t xml:space="preserve"> to </w:t>
      </w:r>
      <w:proofErr w:type="gramStart"/>
      <w:r w:rsidR="00A70A4A">
        <w:t>1.2 fold</w:t>
      </w:r>
      <w:proofErr w:type="gramEnd"/>
      <w:r w:rsidR="00A70A4A">
        <w:t xml:space="preserve"> for dexamethasone</w:t>
      </w:r>
      <w:r w:rsidR="00F01477">
        <w:t xml:space="preserve"> - cartilage</w:t>
      </w:r>
      <w:r w:rsidR="00A70A4A">
        <w:t xml:space="preserve"> (</w:t>
      </w:r>
      <w:r w:rsidR="00AA271B">
        <w:t xml:space="preserve">Supplementary </w:t>
      </w:r>
      <w:r w:rsidR="00A70A4A" w:rsidRPr="00F01477">
        <w:t xml:space="preserve">Table </w:t>
      </w:r>
      <w:r w:rsidR="00B6224A">
        <w:t>2</w:t>
      </w:r>
      <w:r w:rsidR="00A70A4A">
        <w:t>).</w:t>
      </w:r>
      <w:r w:rsidR="00BF3B4B">
        <w:t xml:space="preserve"> This corresponds to overlap similarity</w:t>
      </w:r>
      <w:r w:rsidR="006619A3">
        <w:t xml:space="preserve"> analysis</w:t>
      </w:r>
      <w:r w:rsidR="00BF3B4B">
        <w:t xml:space="preserve"> (measured by Jaccard index where 0 is no overlap and 1 is complete overlap) of 0.1</w:t>
      </w:r>
      <w:r w:rsidR="00F01477">
        <w:t>45</w:t>
      </w:r>
      <w:r w:rsidR="00BF3B4B">
        <w:t xml:space="preserve"> an</w:t>
      </w:r>
      <w:r w:rsidR="00F01477">
        <w:t>d</w:t>
      </w:r>
      <w:r w:rsidR="00BF3B4B">
        <w:t xml:space="preserve"> 0.</w:t>
      </w:r>
      <w:r w:rsidR="00F01477">
        <w:t>093</w:t>
      </w:r>
      <w:r w:rsidR="00BF3B4B">
        <w:t xml:space="preserve"> for heat</w:t>
      </w:r>
      <w:r w:rsidR="00F01477">
        <w:t xml:space="preserve"> </w:t>
      </w:r>
      <w:r w:rsidR="00BF3B4B">
        <w:t xml:space="preserve">shock </w:t>
      </w:r>
      <w:r w:rsidR="00F01477">
        <w:t>–</w:t>
      </w:r>
      <w:r w:rsidR="00BF3B4B">
        <w:t xml:space="preserve"> dexamethasone</w:t>
      </w:r>
      <w:r w:rsidR="00F01477">
        <w:t xml:space="preserve"> and dexamethasone - cartilage</w:t>
      </w:r>
      <w:r w:rsidR="00BF3B4B">
        <w:t xml:space="preserve"> comparisons, respectively (</w:t>
      </w:r>
      <w:r w:rsidR="00AA271B">
        <w:t xml:space="preserve">Figure </w:t>
      </w:r>
      <w:r w:rsidR="005A3C9D">
        <w:t>1D</w:t>
      </w:r>
      <w:r w:rsidR="00BF3B4B">
        <w:t>)</w:t>
      </w:r>
      <w:r w:rsidR="00C776BC">
        <w:t>.</w:t>
      </w:r>
      <w:r w:rsidR="00CA66A1">
        <w:t xml:space="preserve"> </w:t>
      </w:r>
      <w:r w:rsidR="000F6A66">
        <w:t xml:space="preserve">Increasing the stringency to </w:t>
      </w:r>
      <w:proofErr w:type="gramStart"/>
      <w:r w:rsidR="000F6A66">
        <w:t>BH.Q</w:t>
      </w:r>
      <w:proofErr w:type="gramEnd"/>
      <w:r w:rsidR="000F6A66">
        <w:t xml:space="preserve"> &lt; 0.01 for detection of rhythm</w:t>
      </w:r>
      <w:r w:rsidR="00DE5BEE">
        <w:t>ic genes</w:t>
      </w:r>
      <w:r w:rsidR="000F6A66">
        <w:t xml:space="preserve"> resulted in modest increase in fold enrichment however the overlaps were not statistically significant except dexamethasone</w:t>
      </w:r>
      <w:r w:rsidR="00F01477">
        <w:t xml:space="preserve"> – heat shock</w:t>
      </w:r>
      <w:r w:rsidR="000F6A66">
        <w:t xml:space="preserve"> (</w:t>
      </w:r>
      <w:proofErr w:type="gramStart"/>
      <w:r w:rsidR="000F6A66">
        <w:t>1.</w:t>
      </w:r>
      <w:r w:rsidR="00F01477">
        <w:t>27</w:t>
      </w:r>
      <w:r w:rsidR="000F6A66">
        <w:t xml:space="preserve"> fold</w:t>
      </w:r>
      <w:proofErr w:type="gramEnd"/>
      <w:r w:rsidR="000F6A66">
        <w:t xml:space="preserve"> enrichment) and heat shock</w:t>
      </w:r>
      <w:r w:rsidR="00F01477">
        <w:t xml:space="preserve"> - cartilage</w:t>
      </w:r>
      <w:r w:rsidR="000F6A66">
        <w:t xml:space="preserve"> (</w:t>
      </w:r>
      <w:proofErr w:type="gramStart"/>
      <w:r w:rsidR="000F6A66">
        <w:t>1.</w:t>
      </w:r>
      <w:r w:rsidR="00F01477">
        <w:t>63</w:t>
      </w:r>
      <w:r w:rsidR="000F6A66">
        <w:t xml:space="preserve"> fold</w:t>
      </w:r>
      <w:proofErr w:type="gramEnd"/>
      <w:r w:rsidR="000F6A66">
        <w:t xml:space="preserve"> enrichment) (</w:t>
      </w:r>
      <w:r w:rsidR="00AA271B">
        <w:t xml:space="preserve">Supplementary </w:t>
      </w:r>
      <w:r w:rsidR="000F6A66" w:rsidRPr="001E6825">
        <w:t xml:space="preserve">Table </w:t>
      </w:r>
      <w:r w:rsidR="00B6224A">
        <w:t>2</w:t>
      </w:r>
      <w:r w:rsidR="000F6A66">
        <w:t xml:space="preserve">). </w:t>
      </w:r>
      <w:r w:rsidR="00F70622" w:rsidRPr="00F70622">
        <w:t>Thus, although several overlaps were statistically enriched, the magnitude of overlap was small, indicating low similarity between rhythmic transcriptomes.</w:t>
      </w:r>
      <w:r w:rsidR="005A3C9D">
        <w:t xml:space="preserve"> Furthermore, the chondrocyte rhythmic gene sets </w:t>
      </w:r>
      <w:r w:rsidR="008972A2">
        <w:t>show lower overlap between each other than the average overlap between any two mouse tissues (</w:t>
      </w:r>
      <w:r w:rsidR="00AA271B">
        <w:t xml:space="preserve">Figure </w:t>
      </w:r>
      <w:r w:rsidR="008972A2">
        <w:t>1E)</w:t>
      </w:r>
      <w:r w:rsidR="005A3C9D">
        <w:t xml:space="preserve">. When clustered based on fold enrichment against other publicly available mouse datasets the chondrocytes form a pocket of low </w:t>
      </w:r>
      <w:r w:rsidR="008972A2">
        <w:t>enrichment</w:t>
      </w:r>
      <w:r w:rsidR="00F76840">
        <w:t xml:space="preserve"> joined by another in vitro dataset of podocyte cells synchronised with dexamethasone (</w:t>
      </w:r>
      <w:r w:rsidR="00AA271B">
        <w:t xml:space="preserve">Figure </w:t>
      </w:r>
      <w:r w:rsidR="00F76840">
        <w:t>1</w:t>
      </w:r>
      <w:r w:rsidR="008972A2">
        <w:t>F</w:t>
      </w:r>
      <w:r w:rsidR="00F76840">
        <w:t>).</w:t>
      </w:r>
    </w:p>
    <w:p w14:paraId="08AAEDB9" w14:textId="70D03CF0" w:rsidR="002B0ED9" w:rsidRDefault="002B0ED9" w:rsidP="002B0ED9">
      <w:pPr>
        <w:jc w:val="both"/>
      </w:pPr>
    </w:p>
    <w:p w14:paraId="76DD1632" w14:textId="63B31D85" w:rsidR="00A600E5" w:rsidRDefault="00AA271B" w:rsidP="00A600E5">
      <w:pPr>
        <w:jc w:val="both"/>
      </w:pPr>
      <w:proofErr w:type="gramStart"/>
      <w:r>
        <w:rPr>
          <w:b/>
          <w:bCs/>
        </w:rPr>
        <w:t xml:space="preserve">Figure </w:t>
      </w:r>
      <w:r w:rsidR="00A600E5" w:rsidRPr="00E207C3">
        <w:rPr>
          <w:b/>
          <w:bCs/>
        </w:rPr>
        <w:t xml:space="preserve"> 1</w:t>
      </w:r>
      <w:proofErr w:type="gramEnd"/>
      <w:r w:rsidR="00A600E5" w:rsidRPr="00E207C3">
        <w:rPr>
          <w:b/>
          <w:bCs/>
        </w:rPr>
        <w:t>. Circadian clock synchronisation with stress and glucocorticoids results in diverse rhythmic transcriptomes in mouse primary chondrocytes.</w:t>
      </w:r>
      <w:r w:rsidR="00A600E5">
        <w:rPr>
          <w:b/>
          <w:bCs/>
        </w:rPr>
        <w:t xml:space="preserve"> A. </w:t>
      </w:r>
      <w:r w:rsidR="00A600E5">
        <w:t>Live bioluminescence recording of PER</w:t>
      </w:r>
      <w:proofErr w:type="gramStart"/>
      <w:r w:rsidR="00A600E5">
        <w:t>2::</w:t>
      </w:r>
      <w:proofErr w:type="gramEnd"/>
      <w:r w:rsidR="00A600E5">
        <w:t xml:space="preserve">LUC mouse primary chondrocytes synchronised with Osmotic Stress, Heat Shock, Dexamethasone, as well as Cartilage explant with endogenous rhythm. </w:t>
      </w:r>
      <w:r w:rsidR="00A600E5">
        <w:rPr>
          <w:b/>
          <w:bCs/>
        </w:rPr>
        <w:t xml:space="preserve">B. </w:t>
      </w:r>
      <w:r w:rsidR="00A600E5">
        <w:t xml:space="preserve">Heatmaps of the rhythmic transcriptomes resulting from the three synchronisation methods. </w:t>
      </w:r>
      <w:r w:rsidR="00A600E5">
        <w:rPr>
          <w:b/>
          <w:bCs/>
        </w:rPr>
        <w:t xml:space="preserve">C. </w:t>
      </w:r>
      <w:r w:rsidR="00A600E5">
        <w:t xml:space="preserve">Gene expression patterns of rhythmic genes shared among the 4 datasets. </w:t>
      </w:r>
      <w:r w:rsidR="00A600E5">
        <w:rPr>
          <w:b/>
          <w:bCs/>
        </w:rPr>
        <w:t xml:space="preserve">D. </w:t>
      </w:r>
      <w:r w:rsidR="00A600E5">
        <w:t xml:space="preserve">Jaccard index illustrating similarity of rhythmic transcriptomes in pairwise comparisons between different conditions. </w:t>
      </w:r>
      <w:r w:rsidR="00A600E5">
        <w:rPr>
          <w:b/>
          <w:bCs/>
        </w:rPr>
        <w:t xml:space="preserve">E. </w:t>
      </w:r>
      <w:r w:rsidR="00A600E5">
        <w:t>M</w:t>
      </w:r>
      <w:r w:rsidR="00A600E5" w:rsidRPr="009A3919">
        <w:t xml:space="preserve">ean </w:t>
      </w:r>
      <w:r w:rsidR="00A600E5">
        <w:t xml:space="preserve">(+/- SD) </w:t>
      </w:r>
      <w:r w:rsidR="00A600E5" w:rsidRPr="009A3919">
        <w:t>fold enrichment</w:t>
      </w:r>
      <w:r w:rsidR="00A600E5">
        <w:t xml:space="preserve"> of chondrocyte vs chondrocyte (mean = 1.06, n = 3), chondrocyte vs </w:t>
      </w:r>
      <w:r w:rsidR="00A600E5" w:rsidRPr="00AE67A0">
        <w:rPr>
          <w:i/>
          <w:iCs/>
        </w:rPr>
        <w:t>in vivo</w:t>
      </w:r>
      <w:r w:rsidR="00A600E5">
        <w:t xml:space="preserve"> (mean = 1.08, n = 66) and </w:t>
      </w:r>
      <w:r w:rsidR="00A600E5" w:rsidRPr="00AE67A0">
        <w:rPr>
          <w:i/>
          <w:iCs/>
        </w:rPr>
        <w:t>in vivo</w:t>
      </w:r>
      <w:r w:rsidR="00A600E5">
        <w:t xml:space="preserve"> vs </w:t>
      </w:r>
      <w:r w:rsidR="00A600E5" w:rsidRPr="00AE67A0">
        <w:rPr>
          <w:i/>
          <w:iCs/>
        </w:rPr>
        <w:t>in vivo</w:t>
      </w:r>
      <w:r w:rsidR="00A600E5">
        <w:t xml:space="preserve"> (mean = 1.39, n =231) comparisons. </w:t>
      </w:r>
      <w:r w:rsidR="00A600E5" w:rsidRPr="00AE67A0">
        <w:rPr>
          <w:b/>
          <w:bCs/>
        </w:rPr>
        <w:t>F.</w:t>
      </w:r>
      <w:r w:rsidR="00A600E5">
        <w:rPr>
          <w:b/>
          <w:bCs/>
        </w:rPr>
        <w:t xml:space="preserve"> </w:t>
      </w:r>
      <w:r w:rsidR="00A600E5">
        <w:t xml:space="preserve">Heat map of pairwise rhythmic gene overlap fold enrichment of 25 circadian mouse datasets available in the </w:t>
      </w:r>
      <w:proofErr w:type="spellStart"/>
      <w:r w:rsidR="00A600E5">
        <w:t>BodyClocks</w:t>
      </w:r>
      <w:proofErr w:type="spellEnd"/>
      <w:r w:rsidR="00A600E5">
        <w:t xml:space="preserve"> </w:t>
      </w:r>
      <w:r w:rsidR="00A600E5" w:rsidRPr="00FD33D4">
        <w:t>analysis and visualisation platform</w:t>
      </w:r>
      <w:r w:rsidR="00A600E5">
        <w:t>.</w:t>
      </w:r>
    </w:p>
    <w:p w14:paraId="30777A2B" w14:textId="77777777" w:rsidR="00A600E5" w:rsidRDefault="00A600E5" w:rsidP="002B0ED9">
      <w:pPr>
        <w:jc w:val="both"/>
      </w:pPr>
    </w:p>
    <w:p w14:paraId="1F881ADE" w14:textId="1819BF64" w:rsidR="002B0ED9" w:rsidRPr="000B2F87" w:rsidRDefault="002B0ED9" w:rsidP="000B2F87">
      <w:pPr>
        <w:jc w:val="both"/>
        <w:rPr>
          <w:i/>
          <w:iCs/>
        </w:rPr>
      </w:pPr>
      <w:r w:rsidRPr="002B0ED9">
        <w:rPr>
          <w:i/>
          <w:iCs/>
        </w:rPr>
        <w:t>Shared rhythmic genes show limited conservation of clock-relative phase</w:t>
      </w:r>
      <w:r>
        <w:rPr>
          <w:i/>
          <w:iCs/>
        </w:rPr>
        <w:t>.</w:t>
      </w:r>
    </w:p>
    <w:p w14:paraId="226BB192" w14:textId="7FBEB680" w:rsidR="008B14E0" w:rsidRDefault="006D3D14" w:rsidP="00EC5866">
      <w:pPr>
        <w:ind w:firstLine="720"/>
        <w:jc w:val="both"/>
      </w:pPr>
      <w:r>
        <w:t>Lack of alignment of g</w:t>
      </w:r>
      <w:r w:rsidR="008B14E0">
        <w:t>ene expression patterns in Fig1</w:t>
      </w:r>
      <w:r w:rsidR="00172CC9">
        <w:t xml:space="preserve"> </w:t>
      </w:r>
      <w:r w:rsidR="005A3C9D">
        <w:t>C</w:t>
      </w:r>
      <w:r w:rsidR="008B14E0">
        <w:t xml:space="preserve"> </w:t>
      </w:r>
      <w:r>
        <w:t>suggested</w:t>
      </w:r>
      <w:r w:rsidR="008B14E0">
        <w:t xml:space="preserve"> that each sync</w:t>
      </w:r>
      <w:r w:rsidR="00604EB1">
        <w:t>h</w:t>
      </w:r>
      <w:r w:rsidR="008B14E0">
        <w:t>ronisation method results in a different phase of the clock oscillations.</w:t>
      </w:r>
      <w:r w:rsidR="00841B00">
        <w:t xml:space="preserve"> This may reflect the </w:t>
      </w:r>
      <w:r w:rsidR="00EB6280">
        <w:t xml:space="preserve">distinct clock resetting mechanisms </w:t>
      </w:r>
      <w:r w:rsidR="00090B66">
        <w:t>by</w:t>
      </w:r>
      <w:r w:rsidR="00EB6280">
        <w:t xml:space="preserve"> different stimuli</w:t>
      </w:r>
      <w:r w:rsidR="00090B66">
        <w:t>, leading to different clock phase</w:t>
      </w:r>
      <w:r w:rsidR="00EB6280">
        <w:t xml:space="preserve">. </w:t>
      </w:r>
      <w:r w:rsidR="008B14E0">
        <w:t xml:space="preserve"> </w:t>
      </w:r>
      <w:r w:rsidR="00AA54B7">
        <w:t>Indeed</w:t>
      </w:r>
      <w:r w:rsidR="00EB6280">
        <w:t>,</w:t>
      </w:r>
      <w:r w:rsidR="00AA54B7">
        <w:t xml:space="preserve"> </w:t>
      </w:r>
      <w:r w:rsidR="008A2DE3">
        <w:t>all four datasets exhibit different phase distribution of rhythmic genes (</w:t>
      </w:r>
      <w:r w:rsidR="00AA271B">
        <w:t xml:space="preserve">Figure </w:t>
      </w:r>
      <w:r w:rsidR="008A2DE3">
        <w:t xml:space="preserve">2A). Moreover, </w:t>
      </w:r>
      <w:r w:rsidR="00AA54B7">
        <w:t>when we compared phases of core clock genes between datasets there was little agreement between datasets (</w:t>
      </w:r>
      <w:r w:rsidR="00AA271B">
        <w:t xml:space="preserve">Supplementary </w:t>
      </w:r>
      <w:r w:rsidR="00AA54B7" w:rsidRPr="001E6825">
        <w:t xml:space="preserve">Table </w:t>
      </w:r>
      <w:r w:rsidR="00B6224A">
        <w:t>3</w:t>
      </w:r>
      <w:r w:rsidR="00AA54B7">
        <w:t xml:space="preserve">). </w:t>
      </w:r>
      <w:r w:rsidR="00D722EA">
        <w:t xml:space="preserve">Core clock genes are known to show </w:t>
      </w:r>
      <w:r w:rsidR="006967C6">
        <w:t xml:space="preserve">a </w:t>
      </w:r>
      <w:r w:rsidR="007E5845">
        <w:t>well</w:t>
      </w:r>
      <w:r w:rsidR="00FC66AE">
        <w:t>-</w:t>
      </w:r>
      <w:r w:rsidR="007E5845">
        <w:t>preserved</w:t>
      </w:r>
      <w:r w:rsidR="006967C6">
        <w:t xml:space="preserve"> phase</w:t>
      </w:r>
      <w:r w:rsidR="00D722EA">
        <w:t xml:space="preserve"> </w:t>
      </w:r>
      <w:r w:rsidR="006967C6">
        <w:t xml:space="preserve">relationship among each other </w:t>
      </w:r>
      <w:r w:rsidR="00D66349">
        <w:fldChar w:fldCharType="begin"/>
      </w:r>
      <w:r w:rsidR="009B21A9">
        <w:instrText xml:space="preserve"> ADDIN ZOTERO_ITEM CSL_CITATION {"citationID":"9HUzb9a5","properties":{"formattedCitation":"[33]","plainCitation":"[33]","noteIndex":0},"citationItems":[{"id":"fmCYmJCr/q8ACt1C9","uris":["http://zotero.org/users/local/QFmVNDJO/items/VF3N26VV"],"itemData":{"id":568,"type":"article-journal","abstract":"The discovery that half of the mammalian protein-coding genome is regulated by the circadian clock has clear implications for medicine. Recent studies demonstrated that the circadian clock influences therapeutic outcomes in human heart disease and cancer. However, biological time is rarely given clinical consideration. A key barrier is the absence of information on tissue-specific molecular rhythms in the human body. We have applied the cyclic ordering by periodic structure (CYCLOPS) algorithm, designed to reconstruct sample temporal order in the absence of time-of-day information, to the gene expression collection of 13 tissues from 632 human donors. We identified rhythms in gene expression across the body; nearly half of protein-coding genes were shown to be cycling in at least 1 of the 13 tissues analyzed. One thousand of these cycling genes encode proteins that either transport or metabolize drugs or are themselves drug targets. These results provide a useful resource for studying the role of circadian rhythms in medicine and support the idea that biological time might play a role in determining drug response.","container-title":"Science translational medicine","DOI":"10.1126/scitranslmed.aat8806","ISSN":"1946-6234","issue":"458","journalAbbreviation":"Sci Transl Med","page":"eaat8806","PMID":"30209245","PMCID":"PMC8961342","source":"PubMed Central","title":"A database of tissue-specific rhythmically expressed human genes has potential applications in circadian medicine","volume":"10","author":[{"family":"Ruben","given":"Marc D."},{"family":"Wu","given":"Gang"},{"family":"Smith","given":"David F."},{"family":"Schmidt","given":"Robert E."},{"family":"Francey","given":"Lauren J."},{"family":"Lee","given":"Yin Yeng"},{"family":"Anafi","given":"Ron C."},{"family":"Hogenesch","given":"John B."}],"issued":{"date-parts":[["2018",9,12]]}}}],"schema":"https://github.com/citation-style-language/schema/raw/master/csl-citation.json"} </w:instrText>
      </w:r>
      <w:r w:rsidR="00D66349">
        <w:fldChar w:fldCharType="separate"/>
      </w:r>
      <w:r w:rsidR="009B21A9" w:rsidRPr="009B21A9">
        <w:rPr>
          <w:rFonts w:ascii="Calibri" w:hAnsi="Calibri" w:cs="Calibri"/>
        </w:rPr>
        <w:t>[33]</w:t>
      </w:r>
      <w:r w:rsidR="00D66349">
        <w:fldChar w:fldCharType="end"/>
      </w:r>
      <w:r w:rsidR="006967C6">
        <w:t xml:space="preserve">.  </w:t>
      </w:r>
      <w:r w:rsidR="009D3ED6" w:rsidRPr="009D3ED6">
        <w:t xml:space="preserve">To account for different absolute clock phases between synchronisation methods, phases were recalculated relative to </w:t>
      </w:r>
      <w:r w:rsidR="009D3ED6" w:rsidRPr="009D3ED6">
        <w:rPr>
          <w:i/>
          <w:iCs/>
        </w:rPr>
        <w:t>Bmal1</w:t>
      </w:r>
      <w:r w:rsidR="009D3ED6" w:rsidRPr="009D3ED6">
        <w:t xml:space="preserve"> and compared on a circular 24-hour scale.</w:t>
      </w:r>
      <w:r w:rsidR="009D3ED6">
        <w:t xml:space="preserve"> </w:t>
      </w:r>
      <w:r w:rsidR="002C3201" w:rsidRPr="002C3201">
        <w:t xml:space="preserve">To assess whether clock-relative phase (CRP) consistency between dataset pairs exceeded chance, we computed the proportion of pairwise-overlap circadian genes maintaining a CRP distance ≤ 4 h between datasets and compared this to an empirical null distribution generated by permuting CRP values across genes (n = 1,000 permutations). Pairs involving </w:t>
      </w:r>
      <w:r w:rsidR="009D3ED6">
        <w:t>d</w:t>
      </w:r>
      <w:r w:rsidR="002C3201" w:rsidRPr="002C3201">
        <w:t xml:space="preserve">examethasone, </w:t>
      </w:r>
      <w:r w:rsidR="009D3ED6">
        <w:t>h</w:t>
      </w:r>
      <w:r w:rsidR="002C3201" w:rsidRPr="002C3201">
        <w:t xml:space="preserve">eat shock, and </w:t>
      </w:r>
      <w:r w:rsidR="009D3ED6">
        <w:t>c</w:t>
      </w:r>
      <w:r w:rsidR="002C3201" w:rsidRPr="002C3201">
        <w:t>artilage showed statistically significant enrichment above the permutation null</w:t>
      </w:r>
      <w:r w:rsidR="00DA02A6">
        <w:t xml:space="preserve"> of similar gene phases</w:t>
      </w:r>
      <w:r w:rsidR="00986041">
        <w:t xml:space="preserve"> (</w:t>
      </w:r>
      <w:r w:rsidR="00AA271B">
        <w:t xml:space="preserve">Figure </w:t>
      </w:r>
      <w:r w:rsidR="00986041">
        <w:t>2C)</w:t>
      </w:r>
      <w:r w:rsidR="002C3201" w:rsidRPr="002C3201">
        <w:t xml:space="preserve">. In contrast, all three pairs involving </w:t>
      </w:r>
      <w:r w:rsidR="009D3ED6">
        <w:t>o</w:t>
      </w:r>
      <w:r w:rsidR="002C3201" w:rsidRPr="002C3201">
        <w:t>smotic stress failed to exceed the permutation null</w:t>
      </w:r>
      <w:r w:rsidR="00DA02A6">
        <w:t xml:space="preserve"> </w:t>
      </w:r>
      <w:r w:rsidR="002C3201" w:rsidRPr="002C3201">
        <w:t xml:space="preserve">indicating that </w:t>
      </w:r>
      <w:r w:rsidR="009D3ED6">
        <w:t>o</w:t>
      </w:r>
      <w:r w:rsidR="002C3201" w:rsidRPr="002C3201">
        <w:t xml:space="preserve">smotic stress </w:t>
      </w:r>
      <w:r w:rsidR="002C3201" w:rsidRPr="002C3201">
        <w:lastRenderedPageBreak/>
        <w:t xml:space="preserve">synchronisation produces CRP </w:t>
      </w:r>
      <w:r w:rsidR="00DA02A6">
        <w:t>distribution</w:t>
      </w:r>
      <w:r w:rsidR="002C3201" w:rsidRPr="002C3201">
        <w:t xml:space="preserve"> that are statistically </w:t>
      </w:r>
      <w:r w:rsidR="00421C45">
        <w:t>least stable as compared</w:t>
      </w:r>
      <w:r w:rsidR="002C3201" w:rsidRPr="002C3201">
        <w:t xml:space="preserve"> to the other methods</w:t>
      </w:r>
      <w:r w:rsidR="00CF3F72">
        <w:t xml:space="preserve"> </w:t>
      </w:r>
      <w:r w:rsidR="00986041">
        <w:t>(</w:t>
      </w:r>
      <w:r w:rsidR="00AA271B">
        <w:t xml:space="preserve">Figure </w:t>
      </w:r>
      <w:r w:rsidR="00986041">
        <w:t>2C)</w:t>
      </w:r>
      <w:r w:rsidR="002C3201" w:rsidRPr="002C3201">
        <w:t xml:space="preserve">. </w:t>
      </w:r>
      <w:r w:rsidR="00D83D33">
        <w:t xml:space="preserve">Even when the gene set was limited to the 64 genes common between the three chondrocyte datasets </w:t>
      </w:r>
      <w:r w:rsidR="00BF3390">
        <w:t>(</w:t>
      </w:r>
      <w:r w:rsidR="00D90D4B">
        <w:t xml:space="preserve">presumably </w:t>
      </w:r>
      <w:r w:rsidR="00BF3390">
        <w:t xml:space="preserve">a highly conserved list of </w:t>
      </w:r>
      <w:proofErr w:type="gramStart"/>
      <w:r w:rsidR="001E45FD">
        <w:t>clock controlled</w:t>
      </w:r>
      <w:proofErr w:type="gramEnd"/>
      <w:r w:rsidR="00BF3390">
        <w:t xml:space="preserve"> genes)</w:t>
      </w:r>
      <w:r w:rsidR="00F6100E">
        <w:t>,</w:t>
      </w:r>
      <w:r w:rsidR="00BF3390">
        <w:t xml:space="preserve"> </w:t>
      </w:r>
      <w:r w:rsidR="00D83D33">
        <w:t xml:space="preserve">only 23 genes </w:t>
      </w:r>
      <w:r w:rsidR="00BF3390">
        <w:t>(35.9% vs</w:t>
      </w:r>
      <w:r w:rsidR="00143378">
        <w:t>.</w:t>
      </w:r>
      <w:r w:rsidR="00BF3390">
        <w:t xml:space="preserve"> permutation null 19.4%, </w:t>
      </w:r>
      <w:proofErr w:type="spellStart"/>
      <w:r w:rsidR="00BF3390">
        <w:t>perm_p</w:t>
      </w:r>
      <w:proofErr w:type="spellEnd"/>
      <w:r w:rsidR="00BF3390">
        <w:t xml:space="preserve"> </w:t>
      </w:r>
      <w:r w:rsidR="001E6825" w:rsidRPr="002C3201">
        <w:t>≤</w:t>
      </w:r>
      <w:r w:rsidR="00BF3390">
        <w:t xml:space="preserve"> 0.001) </w:t>
      </w:r>
      <w:r w:rsidR="00D83D33">
        <w:t>oscillated with similar CRP (</w:t>
      </w:r>
      <w:r w:rsidR="00AA271B">
        <w:t xml:space="preserve">Figure </w:t>
      </w:r>
      <w:r w:rsidR="00D83D33">
        <w:t xml:space="preserve">2D and </w:t>
      </w:r>
      <w:r w:rsidR="00AA271B">
        <w:t xml:space="preserve">Supplementary </w:t>
      </w:r>
      <w:r w:rsidR="00D83D33">
        <w:t xml:space="preserve">Table </w:t>
      </w:r>
      <w:r w:rsidR="00B6224A">
        <w:t>1</w:t>
      </w:r>
      <w:r w:rsidR="00D83D33">
        <w:t xml:space="preserve">). </w:t>
      </w:r>
      <w:r w:rsidR="002C3201" w:rsidRPr="002C3201">
        <w:t xml:space="preserve">Taken together, these results indicate that </w:t>
      </w:r>
      <w:r w:rsidR="00DF6A9E">
        <w:t xml:space="preserve">genes common between </w:t>
      </w:r>
      <w:r w:rsidR="009D3ED6">
        <w:t>dexamethasone</w:t>
      </w:r>
      <w:r w:rsidR="002C3201" w:rsidRPr="002C3201">
        <w:t xml:space="preserve">, </w:t>
      </w:r>
      <w:r w:rsidR="009D3ED6">
        <w:t>heat shock</w:t>
      </w:r>
      <w:r w:rsidR="002C3201" w:rsidRPr="002C3201">
        <w:t xml:space="preserve">, and </w:t>
      </w:r>
      <w:r w:rsidR="009D3ED6">
        <w:t>c</w:t>
      </w:r>
      <w:r w:rsidR="002C3201" w:rsidRPr="002C3201">
        <w:t>artilage</w:t>
      </w:r>
      <w:r w:rsidR="00F71230">
        <w:t xml:space="preserve"> </w:t>
      </w:r>
      <w:r w:rsidR="00DF6A9E">
        <w:t xml:space="preserve">pairs </w:t>
      </w:r>
      <w:r w:rsidR="00F71230">
        <w:t xml:space="preserve">oscillate in </w:t>
      </w:r>
      <w:r w:rsidR="00DF6A9E">
        <w:t>similar clock relative phases, however the proportion is</w:t>
      </w:r>
      <w:r w:rsidR="00F71230">
        <w:t xml:space="preserve"> </w:t>
      </w:r>
      <w:r w:rsidR="00DF6A9E">
        <w:t>not overwhelming</w:t>
      </w:r>
      <w:r w:rsidR="002C3201" w:rsidRPr="002C3201">
        <w:t>.</w:t>
      </w:r>
    </w:p>
    <w:p w14:paraId="03D5EAF9" w14:textId="4343C7F5" w:rsidR="00A600E5" w:rsidRDefault="00A600E5" w:rsidP="002B0ED9">
      <w:pPr>
        <w:jc w:val="both"/>
      </w:pPr>
    </w:p>
    <w:p w14:paraId="55339CE4" w14:textId="62F39D86" w:rsidR="00A600E5" w:rsidRDefault="00AA271B" w:rsidP="00A600E5">
      <w:pPr>
        <w:jc w:val="both"/>
      </w:pPr>
      <w:proofErr w:type="gramStart"/>
      <w:r>
        <w:rPr>
          <w:b/>
          <w:bCs/>
        </w:rPr>
        <w:t xml:space="preserve">Figure </w:t>
      </w:r>
      <w:r w:rsidR="00A600E5" w:rsidRPr="004A42B0">
        <w:rPr>
          <w:b/>
          <w:bCs/>
        </w:rPr>
        <w:t xml:space="preserve"> 2</w:t>
      </w:r>
      <w:proofErr w:type="gramEnd"/>
      <w:r w:rsidR="00A600E5" w:rsidRPr="004A42B0">
        <w:rPr>
          <w:b/>
          <w:bCs/>
        </w:rPr>
        <w:t xml:space="preserve">. </w:t>
      </w:r>
      <w:r w:rsidR="00A600E5" w:rsidRPr="00F76D8D">
        <w:rPr>
          <w:b/>
          <w:bCs/>
        </w:rPr>
        <w:t>Shared rhythmic genes show limited conservation of clock-relative phase.</w:t>
      </w:r>
      <w:r w:rsidR="00A600E5" w:rsidRPr="004A42B0">
        <w:rPr>
          <w:b/>
          <w:bCs/>
        </w:rPr>
        <w:t xml:space="preserve"> A. </w:t>
      </w:r>
      <w:r w:rsidR="00A600E5">
        <w:t xml:space="preserve">Rose plots showing absolute phase distribution of rhythmic genes in the datasets. </w:t>
      </w:r>
      <w:r w:rsidR="00A600E5">
        <w:rPr>
          <w:b/>
          <w:bCs/>
        </w:rPr>
        <w:t xml:space="preserve">B. </w:t>
      </w:r>
      <w:r w:rsidR="00A600E5">
        <w:t xml:space="preserve">Scatter plots showing clock relative phase agreement (within +/-4 h window) of rhythmic genes common between the comparison. </w:t>
      </w:r>
      <w:r w:rsidR="00A600E5">
        <w:rPr>
          <w:b/>
          <w:bCs/>
        </w:rPr>
        <w:t xml:space="preserve">C. </w:t>
      </w:r>
      <w:r w:rsidR="00A600E5">
        <w:t xml:space="preserve"> Enrichment of genes with coherent clock relative phases over permutation null (grey bar, mean +/- SD). </w:t>
      </w:r>
      <w:r w:rsidR="00A600E5">
        <w:rPr>
          <w:b/>
          <w:bCs/>
        </w:rPr>
        <w:t xml:space="preserve">D. </w:t>
      </w:r>
      <w:r w:rsidR="00A600E5">
        <w:t xml:space="preserve">Heatmap of 23 genes with coherent clock relative phase shared between the 3 conditions. Colour scale represents peak times (phase) in hours relative to </w:t>
      </w:r>
      <w:r w:rsidR="00A600E5" w:rsidRPr="000B2F87">
        <w:rPr>
          <w:i/>
          <w:iCs/>
        </w:rPr>
        <w:t>Bmal1</w:t>
      </w:r>
      <w:r w:rsidR="00A600E5">
        <w:t xml:space="preserve"> peak.</w:t>
      </w:r>
    </w:p>
    <w:p w14:paraId="712FE365" w14:textId="77777777" w:rsidR="00A600E5" w:rsidRPr="00A600E5" w:rsidRDefault="00A600E5" w:rsidP="000B2F87">
      <w:pPr>
        <w:jc w:val="both"/>
      </w:pPr>
    </w:p>
    <w:p w14:paraId="4964C088" w14:textId="69E0D3F2" w:rsidR="002B0ED9" w:rsidRPr="000B2F87" w:rsidRDefault="002B0ED9" w:rsidP="000B2F87">
      <w:pPr>
        <w:jc w:val="both"/>
        <w:rPr>
          <w:i/>
          <w:iCs/>
        </w:rPr>
      </w:pPr>
      <w:r w:rsidRPr="002B0ED9">
        <w:rPr>
          <w:i/>
          <w:iCs/>
        </w:rPr>
        <w:t>Pathway-level overlap remains modest and annotation-category dependent</w:t>
      </w:r>
      <w:r>
        <w:rPr>
          <w:i/>
          <w:iCs/>
        </w:rPr>
        <w:t>.</w:t>
      </w:r>
    </w:p>
    <w:p w14:paraId="0A8AE10C" w14:textId="526C3B51" w:rsidR="00785C85" w:rsidRDefault="00462F3F" w:rsidP="00EC5866">
      <w:pPr>
        <w:ind w:firstLine="720"/>
        <w:jc w:val="both"/>
      </w:pPr>
      <w:r w:rsidRPr="00462F3F">
        <w:t xml:space="preserve">Although the overlap </w:t>
      </w:r>
      <w:r w:rsidR="00CC3754">
        <w:t xml:space="preserve">of </w:t>
      </w:r>
      <w:r w:rsidR="00CC3754" w:rsidRPr="00462F3F">
        <w:t>rhythmic gene</w:t>
      </w:r>
      <w:r w:rsidR="00CC3754">
        <w:t>s</w:t>
      </w:r>
      <w:r w:rsidR="00CC3754" w:rsidRPr="00462F3F">
        <w:t xml:space="preserve"> </w:t>
      </w:r>
      <w:r w:rsidRPr="00462F3F">
        <w:t>between the datasets was low, we hypothesised that perhaps the genes could be</w:t>
      </w:r>
      <w:r w:rsidR="00722442">
        <w:t xml:space="preserve">long to </w:t>
      </w:r>
      <w:r w:rsidRPr="00462F3F">
        <w:t xml:space="preserve">similar </w:t>
      </w:r>
      <w:r w:rsidR="00DF6A9E">
        <w:t xml:space="preserve">rhythmic </w:t>
      </w:r>
      <w:r w:rsidRPr="00462F3F">
        <w:t>pathways</w:t>
      </w:r>
      <w:r w:rsidR="00C534E3">
        <w:t>.</w:t>
      </w:r>
      <w:r w:rsidRPr="00462F3F">
        <w:t xml:space="preserve"> To test </w:t>
      </w:r>
      <w:r w:rsidR="00C534E3">
        <w:t xml:space="preserve">whether </w:t>
      </w:r>
      <w:r w:rsidR="00C534E3" w:rsidRPr="00462F3F">
        <w:t xml:space="preserve">there </w:t>
      </w:r>
      <w:r w:rsidR="00C534E3">
        <w:t>is</w:t>
      </w:r>
      <w:r w:rsidR="00C534E3" w:rsidRPr="00462F3F">
        <w:t xml:space="preserve"> more overlap at a higher level</w:t>
      </w:r>
      <w:r w:rsidRPr="00462F3F">
        <w:t xml:space="preserve">, functional enrichment analysis was performed on the rhythmically expressed genes from each dataset using the STRING database, querying </w:t>
      </w:r>
      <w:r>
        <w:t xml:space="preserve">GO Terms, </w:t>
      </w:r>
      <w:r w:rsidRPr="00462F3F">
        <w:t xml:space="preserve">KEGG pathways, </w:t>
      </w:r>
      <w:proofErr w:type="spellStart"/>
      <w:r w:rsidRPr="00462F3F">
        <w:t>Reactome</w:t>
      </w:r>
      <w:proofErr w:type="spellEnd"/>
      <w:r w:rsidRPr="00462F3F">
        <w:t xml:space="preserve"> pathways, and </w:t>
      </w:r>
      <w:proofErr w:type="spellStart"/>
      <w:r w:rsidRPr="00462F3F">
        <w:t>WikiPathways</w:t>
      </w:r>
      <w:proofErr w:type="spellEnd"/>
      <w:r w:rsidR="000E4824">
        <w:t xml:space="preserve"> (</w:t>
      </w:r>
      <w:r w:rsidR="00AA271B">
        <w:t xml:space="preserve">Figure </w:t>
      </w:r>
      <w:r w:rsidR="000E4824">
        <w:t xml:space="preserve">3A and </w:t>
      </w:r>
      <w:r w:rsidR="00AA271B">
        <w:t xml:space="preserve">Supplementary Figure </w:t>
      </w:r>
      <w:r w:rsidR="00B92645">
        <w:t>1</w:t>
      </w:r>
      <w:r w:rsidR="000E4824">
        <w:t>)</w:t>
      </w:r>
      <w:r w:rsidRPr="00462F3F">
        <w:t>. Pairwise overlaps between enriched terms were then assessed using hypergeometric tests</w:t>
      </w:r>
      <w:r w:rsidR="001E6825">
        <w:t xml:space="preserve"> (</w:t>
      </w:r>
      <w:r w:rsidR="00AA271B">
        <w:t xml:space="preserve">Supplementary </w:t>
      </w:r>
      <w:r w:rsidR="001E6825">
        <w:t>Table 4)</w:t>
      </w:r>
      <w:r w:rsidRPr="00462F3F">
        <w:t xml:space="preserve">. Despite the limited gene-level overlap, </w:t>
      </w:r>
      <w:r w:rsidR="00B01EA0">
        <w:t>some</w:t>
      </w:r>
      <w:r w:rsidRPr="00462F3F">
        <w:t xml:space="preserve"> </w:t>
      </w:r>
      <w:r w:rsidR="002D326E">
        <w:t>overlap</w:t>
      </w:r>
      <w:r w:rsidR="002D326E" w:rsidRPr="00462F3F">
        <w:t xml:space="preserve"> </w:t>
      </w:r>
      <w:r w:rsidRPr="00462F3F">
        <w:t xml:space="preserve">of enriched pathways was observed across datasets. </w:t>
      </w:r>
      <w:r w:rsidR="000E4824">
        <w:t xml:space="preserve">Highest similarity scores were observed for </w:t>
      </w:r>
      <w:r w:rsidR="003F45C9">
        <w:t>heat shock</w:t>
      </w:r>
      <w:r w:rsidR="000E4824">
        <w:t xml:space="preserve"> </w:t>
      </w:r>
      <w:r w:rsidR="00593F54">
        <w:t>-</w:t>
      </w:r>
      <w:r w:rsidR="000E4824">
        <w:t xml:space="preserve"> </w:t>
      </w:r>
      <w:r w:rsidR="003F45C9">
        <w:t>dexamethasone</w:t>
      </w:r>
      <w:r w:rsidR="000E4824">
        <w:t xml:space="preserve"> in </w:t>
      </w:r>
      <w:proofErr w:type="spellStart"/>
      <w:r w:rsidR="000E4824">
        <w:t>Reactome</w:t>
      </w:r>
      <w:proofErr w:type="spellEnd"/>
      <w:r w:rsidR="000E4824">
        <w:t xml:space="preserve">, </w:t>
      </w:r>
      <w:r w:rsidR="003F45C9">
        <w:t>heat shock</w:t>
      </w:r>
      <w:r w:rsidR="000E4824">
        <w:t xml:space="preserve"> </w:t>
      </w:r>
      <w:r w:rsidR="00593F54">
        <w:t>-</w:t>
      </w:r>
      <w:r w:rsidR="000E4824">
        <w:t xml:space="preserve"> </w:t>
      </w:r>
      <w:r w:rsidR="003F45C9">
        <w:t>c</w:t>
      </w:r>
      <w:r w:rsidR="000E4824">
        <w:t xml:space="preserve">artilage in KEGG and </w:t>
      </w:r>
      <w:r w:rsidR="003F45C9">
        <w:t xml:space="preserve">osmotic stress – dexamethasone in </w:t>
      </w:r>
      <w:proofErr w:type="spellStart"/>
      <w:r w:rsidR="000E4824">
        <w:t>WikiPathways</w:t>
      </w:r>
      <w:proofErr w:type="spellEnd"/>
      <w:r w:rsidR="000E4824">
        <w:t xml:space="preserve"> categories (</w:t>
      </w:r>
      <w:r w:rsidR="00AA271B">
        <w:t xml:space="preserve">Figure </w:t>
      </w:r>
      <w:r w:rsidR="000E4824">
        <w:t>3</w:t>
      </w:r>
      <w:r w:rsidR="00B92645">
        <w:t>B</w:t>
      </w:r>
      <w:r w:rsidR="000E4824">
        <w:t xml:space="preserve">). </w:t>
      </w:r>
      <w:r w:rsidRPr="00462F3F">
        <w:t xml:space="preserve">However, the pathway-level overlaps were not statistically significant in any pairwise comparison. In KEGG pathways, enriched terms common to multiple datasets included </w:t>
      </w:r>
      <w:r w:rsidR="00B01EA0">
        <w:t xml:space="preserve">circadian rhythm, </w:t>
      </w:r>
      <w:r w:rsidR="002E2745">
        <w:t>MAPK signalling, focal adhesion, endocytosis and HIF-1 signalling</w:t>
      </w:r>
      <w:r w:rsidRPr="00462F3F">
        <w:t xml:space="preserve">. </w:t>
      </w:r>
      <w:proofErr w:type="spellStart"/>
      <w:r w:rsidRPr="00462F3F">
        <w:t>Reactome</w:t>
      </w:r>
      <w:proofErr w:type="spellEnd"/>
      <w:r w:rsidRPr="00462F3F">
        <w:t xml:space="preserve"> analysis revealed shared enrichment in immune system-related terms and signalling by Rho GTPases</w:t>
      </w:r>
      <w:r w:rsidR="002E2745">
        <w:t xml:space="preserve"> as well as post-translational protein modification</w:t>
      </w:r>
      <w:r w:rsidRPr="00462F3F">
        <w:t xml:space="preserve">. </w:t>
      </w:r>
      <w:proofErr w:type="spellStart"/>
      <w:r w:rsidRPr="00462F3F">
        <w:t>WikiPathways</w:t>
      </w:r>
      <w:proofErr w:type="spellEnd"/>
      <w:r w:rsidRPr="00462F3F">
        <w:t xml:space="preserve"> enrichment was </w:t>
      </w:r>
      <w:proofErr w:type="gramStart"/>
      <w:r w:rsidRPr="00462F3F">
        <w:t>more sparse</w:t>
      </w:r>
      <w:proofErr w:type="gramEnd"/>
      <w:r w:rsidRPr="00462F3F">
        <w:t>, with fewer terms shared across datasets, though focal adhesion and exercise-induced circadian regulation appeared across multiple conditions</w:t>
      </w:r>
      <w:r w:rsidR="000E4824">
        <w:t xml:space="preserve"> (</w:t>
      </w:r>
      <w:r w:rsidR="00AA271B">
        <w:t xml:space="preserve">Figure </w:t>
      </w:r>
      <w:r w:rsidR="000E4824">
        <w:t xml:space="preserve">3 A and </w:t>
      </w:r>
      <w:r w:rsidR="00AA271B">
        <w:t xml:space="preserve">Supplementary Figure </w:t>
      </w:r>
      <w:r w:rsidR="00B92645">
        <w:t>1</w:t>
      </w:r>
      <w:r w:rsidR="000E4824">
        <w:t>)</w:t>
      </w:r>
      <w:r w:rsidRPr="00462F3F">
        <w:t>.</w:t>
      </w:r>
    </w:p>
    <w:p w14:paraId="442495EF" w14:textId="35B5FEE7" w:rsidR="00A61ACC" w:rsidRDefault="00A61ACC" w:rsidP="00A61ACC">
      <w:pPr>
        <w:jc w:val="both"/>
      </w:pPr>
    </w:p>
    <w:p w14:paraId="230D815D" w14:textId="76C37584" w:rsidR="00E775A1" w:rsidRPr="00200A2F" w:rsidRDefault="00AA271B" w:rsidP="00E775A1">
      <w:pPr>
        <w:jc w:val="both"/>
      </w:pPr>
      <w:proofErr w:type="gramStart"/>
      <w:r>
        <w:rPr>
          <w:b/>
          <w:bCs/>
        </w:rPr>
        <w:t xml:space="preserve">Figure </w:t>
      </w:r>
      <w:r w:rsidR="00E775A1" w:rsidRPr="000E6E6B">
        <w:rPr>
          <w:b/>
          <w:bCs/>
        </w:rPr>
        <w:t xml:space="preserve"> 3</w:t>
      </w:r>
      <w:proofErr w:type="gramEnd"/>
      <w:r w:rsidR="00E775A1" w:rsidRPr="000E6E6B">
        <w:rPr>
          <w:b/>
          <w:bCs/>
        </w:rPr>
        <w:t xml:space="preserve">. </w:t>
      </w:r>
      <w:r w:rsidR="00E775A1" w:rsidRPr="00834B22">
        <w:rPr>
          <w:b/>
          <w:bCs/>
        </w:rPr>
        <w:t>Functional enrichment overlap is limited and depends strongly on annotation category.</w:t>
      </w:r>
      <w:r w:rsidR="00E775A1">
        <w:rPr>
          <w:b/>
          <w:bCs/>
        </w:rPr>
        <w:t xml:space="preserve"> A. </w:t>
      </w:r>
      <w:r w:rsidR="00E775A1">
        <w:t xml:space="preserve">Top 5 enrichments terms by dataset and category regardless of overlap. </w:t>
      </w:r>
      <w:r w:rsidR="00E775A1">
        <w:rPr>
          <w:b/>
          <w:bCs/>
        </w:rPr>
        <w:t xml:space="preserve">B. </w:t>
      </w:r>
      <w:r w:rsidR="00E775A1">
        <w:t>Jaccard index illustrating similarity of functional enrichment terms in pairwise comparisons between the chondrocyte and cartilage datasets.</w:t>
      </w:r>
    </w:p>
    <w:p w14:paraId="41D5365F" w14:textId="77777777" w:rsidR="00E775A1" w:rsidRDefault="00E775A1" w:rsidP="00A61ACC">
      <w:pPr>
        <w:jc w:val="both"/>
      </w:pPr>
    </w:p>
    <w:p w14:paraId="0FCA95A5" w14:textId="30647D35" w:rsidR="00A61ACC" w:rsidRPr="000B2F87" w:rsidRDefault="00A61ACC" w:rsidP="000B2F87">
      <w:pPr>
        <w:jc w:val="both"/>
        <w:rPr>
          <w:i/>
          <w:iCs/>
        </w:rPr>
      </w:pPr>
      <w:proofErr w:type="spellStart"/>
      <w:r w:rsidRPr="00A61ACC">
        <w:rPr>
          <w:i/>
          <w:iCs/>
        </w:rPr>
        <w:t>BodyClocks</w:t>
      </w:r>
      <w:proofErr w:type="spellEnd"/>
      <w:r w:rsidRPr="00A61ACC">
        <w:rPr>
          <w:i/>
          <w:iCs/>
        </w:rPr>
        <w:t xml:space="preserve"> enables interactive exploration and pairwise comparison of circadian datasets</w:t>
      </w:r>
      <w:r>
        <w:rPr>
          <w:i/>
          <w:iCs/>
        </w:rPr>
        <w:t>.</w:t>
      </w:r>
    </w:p>
    <w:p w14:paraId="0170AD82" w14:textId="07D26030" w:rsidR="00E775A1" w:rsidRDefault="00D3454F" w:rsidP="0087477C">
      <w:pPr>
        <w:ind w:firstLine="720"/>
        <w:jc w:val="both"/>
      </w:pPr>
      <w:r w:rsidRPr="00D3454F">
        <w:t xml:space="preserve">To make the analytical framework used in this study accessible across </w:t>
      </w:r>
      <w:r>
        <w:t xml:space="preserve">public </w:t>
      </w:r>
      <w:r w:rsidRPr="00D3454F">
        <w:t xml:space="preserve">circadian datasets, we developed </w:t>
      </w:r>
      <w:proofErr w:type="spellStart"/>
      <w:r w:rsidRPr="00D3454F">
        <w:t>BodyClocks</w:t>
      </w:r>
      <w:proofErr w:type="spellEnd"/>
      <w:r w:rsidRPr="00D3454F">
        <w:t xml:space="preserve"> as an interactive web resource for gene, pathway, network, and dataset-level exploration.</w:t>
      </w:r>
      <w:r>
        <w:t xml:space="preserve"> </w:t>
      </w:r>
      <w:r w:rsidR="0087477C" w:rsidRPr="0087477C">
        <w:t xml:space="preserve">The resource </w:t>
      </w:r>
      <w:r>
        <w:t xml:space="preserve">initially </w:t>
      </w:r>
      <w:r w:rsidR="0087477C" w:rsidRPr="0087477C">
        <w:t xml:space="preserve">contains </w:t>
      </w:r>
      <w:r w:rsidR="003F45C9">
        <w:t>over</w:t>
      </w:r>
      <w:r w:rsidR="0087477C" w:rsidRPr="0087477C">
        <w:t xml:space="preserve"> 90 circadian transcriptomic datasets processed </w:t>
      </w:r>
      <w:r w:rsidR="0087477C" w:rsidRPr="0087477C">
        <w:lastRenderedPageBreak/>
        <w:t>into a common structure, including rhythmic gene calls, peak phase estimates, functional enrichment results, and STRING protein-protein interaction networks</w:t>
      </w:r>
      <w:r w:rsidR="003F45C9">
        <w:t xml:space="preserve"> (</w:t>
      </w:r>
      <w:proofErr w:type="gramStart"/>
      <w:r w:rsidR="00AA271B">
        <w:t xml:space="preserve">Figure </w:t>
      </w:r>
      <w:r w:rsidR="003F45C9">
        <w:t xml:space="preserve"> 4</w:t>
      </w:r>
      <w:proofErr w:type="gramEnd"/>
      <w:r w:rsidR="003F45C9">
        <w:t>A)</w:t>
      </w:r>
      <w:r w:rsidR="0087477C" w:rsidRPr="0087477C">
        <w:t xml:space="preserve">. Individual gene profiles can be visualised by direct search, table selection, enrichment term selection, or by selecting nodes within the protein-protein interaction network. Functional enrichment results, including GO Biological Process, KEGG, </w:t>
      </w:r>
      <w:proofErr w:type="spellStart"/>
      <w:r w:rsidR="0087477C" w:rsidRPr="0087477C">
        <w:t>Reactome</w:t>
      </w:r>
      <w:proofErr w:type="spellEnd"/>
      <w:r w:rsidR="0087477C" w:rsidRPr="0087477C">
        <w:t xml:space="preserve">, and </w:t>
      </w:r>
      <w:proofErr w:type="spellStart"/>
      <w:r w:rsidR="0087477C" w:rsidRPr="0087477C">
        <w:t>WikiPathways</w:t>
      </w:r>
      <w:proofErr w:type="spellEnd"/>
      <w:r w:rsidR="0087477C" w:rsidRPr="0087477C">
        <w:t xml:space="preserve"> terms, are linked to the corresponding STRING networks, allowing pathway-associated rhythmic genes to be highlighted within their interaction context</w:t>
      </w:r>
      <w:r w:rsidR="003F45C9">
        <w:t xml:space="preserve"> (</w:t>
      </w:r>
      <w:proofErr w:type="gramStart"/>
      <w:r w:rsidR="00AA271B">
        <w:t xml:space="preserve">Figure </w:t>
      </w:r>
      <w:r w:rsidR="003F45C9">
        <w:t xml:space="preserve"> 4</w:t>
      </w:r>
      <w:proofErr w:type="gramEnd"/>
      <w:r w:rsidR="003F45C9">
        <w:t>B and C)</w:t>
      </w:r>
      <w:r w:rsidR="0087477C" w:rsidRPr="0087477C">
        <w:t>. This allows users to assess whether genes belonging to the same biological process are connected at the protein level and whether they peak within a similar circadian time window, indicating potential phase alignment (</w:t>
      </w:r>
      <w:proofErr w:type="gramStart"/>
      <w:r w:rsidR="00AA271B">
        <w:t xml:space="preserve">Figure </w:t>
      </w:r>
      <w:r w:rsidR="0087477C" w:rsidRPr="0087477C">
        <w:t xml:space="preserve"> 4</w:t>
      </w:r>
      <w:proofErr w:type="gramEnd"/>
      <w:r w:rsidR="003F45C9">
        <w:t xml:space="preserve">B and </w:t>
      </w:r>
      <w:r w:rsidR="0087477C" w:rsidRPr="0087477C">
        <w:t>C).</w:t>
      </w:r>
      <w:r w:rsidR="0087477C">
        <w:t xml:space="preserve"> </w:t>
      </w:r>
    </w:p>
    <w:p w14:paraId="1EE64CB3" w14:textId="1D2C8525" w:rsidR="00E775A1" w:rsidRDefault="00E775A1" w:rsidP="00E775A1">
      <w:pPr>
        <w:jc w:val="both"/>
      </w:pPr>
    </w:p>
    <w:p w14:paraId="4C65842E" w14:textId="7C9C5C2A" w:rsidR="00E775A1" w:rsidRDefault="00AA271B" w:rsidP="00E775A1">
      <w:pPr>
        <w:jc w:val="both"/>
      </w:pPr>
      <w:proofErr w:type="gramStart"/>
      <w:r>
        <w:rPr>
          <w:b/>
          <w:bCs/>
        </w:rPr>
        <w:t xml:space="preserve">Figure </w:t>
      </w:r>
      <w:r w:rsidR="00E775A1" w:rsidRPr="00AA652A">
        <w:rPr>
          <w:b/>
          <w:bCs/>
        </w:rPr>
        <w:t xml:space="preserve"> 4</w:t>
      </w:r>
      <w:proofErr w:type="gramEnd"/>
      <w:r w:rsidR="00E775A1" w:rsidRPr="00AA652A">
        <w:rPr>
          <w:b/>
          <w:bCs/>
        </w:rPr>
        <w:t xml:space="preserve">. </w:t>
      </w:r>
      <w:proofErr w:type="spellStart"/>
      <w:r w:rsidR="00E775A1" w:rsidRPr="00AA652A">
        <w:rPr>
          <w:b/>
          <w:bCs/>
        </w:rPr>
        <w:t>BodyClocks</w:t>
      </w:r>
      <w:proofErr w:type="spellEnd"/>
      <w:r w:rsidR="00E775A1" w:rsidRPr="00AA652A">
        <w:rPr>
          <w:b/>
          <w:bCs/>
        </w:rPr>
        <w:t xml:space="preserve"> enables functional exploration of circadian transcriptomes.</w:t>
      </w:r>
      <w:r w:rsidR="00E775A1">
        <w:rPr>
          <w:b/>
          <w:bCs/>
        </w:rPr>
        <w:t xml:space="preserve"> </w:t>
      </w:r>
      <w:r w:rsidR="00E775A1" w:rsidRPr="00AA652A">
        <w:rPr>
          <w:b/>
          <w:bCs/>
        </w:rPr>
        <w:t xml:space="preserve">A. </w:t>
      </w:r>
      <w:r w:rsidR="00E775A1" w:rsidRPr="000B2F87">
        <w:t xml:space="preserve">The Circadian Explorer module provides access to rhythmic transcriptomic datasets organised by species, tissue, and dataset. Users can search for genes, browse circadian statistics, and explore functional enrichment results across GO Biological Process, KEGG, </w:t>
      </w:r>
      <w:proofErr w:type="spellStart"/>
      <w:r w:rsidR="00E775A1" w:rsidRPr="000B2F87">
        <w:t>Reactome</w:t>
      </w:r>
      <w:proofErr w:type="spellEnd"/>
      <w:r w:rsidR="00E775A1" w:rsidRPr="000B2F87">
        <w:t xml:space="preserve">, and </w:t>
      </w:r>
      <w:proofErr w:type="spellStart"/>
      <w:r w:rsidR="00E775A1" w:rsidRPr="000B2F87">
        <w:t>WikiPathways</w:t>
      </w:r>
      <w:proofErr w:type="spellEnd"/>
      <w:r w:rsidR="00E775A1" w:rsidRPr="000B2F87">
        <w:t xml:space="preserve"> categories. Gene expression profiles can be plotted directly from gene searches, enrichment-term selections, or the data table.</w:t>
      </w:r>
      <w:r w:rsidR="00E775A1">
        <w:rPr>
          <w:b/>
          <w:bCs/>
        </w:rPr>
        <w:t xml:space="preserve"> </w:t>
      </w:r>
      <w:r w:rsidR="00E775A1" w:rsidRPr="00AA652A">
        <w:rPr>
          <w:b/>
          <w:bCs/>
        </w:rPr>
        <w:t xml:space="preserve">B. </w:t>
      </w:r>
      <w:r w:rsidR="00E775A1" w:rsidRPr="000B2F87">
        <w:t>Functional enrichment terms are linked to STRING protein-protein interaction networks, enabling rhythmic genes associated with a selected biological process or pathway to be highlighted in their interaction context.</w:t>
      </w:r>
      <w:r w:rsidR="00E775A1">
        <w:rPr>
          <w:b/>
          <w:bCs/>
        </w:rPr>
        <w:t xml:space="preserve"> </w:t>
      </w:r>
      <w:r w:rsidR="00E775A1" w:rsidRPr="00AA652A">
        <w:rPr>
          <w:b/>
          <w:bCs/>
        </w:rPr>
        <w:t xml:space="preserve">C. </w:t>
      </w:r>
      <w:r w:rsidR="00E775A1" w:rsidRPr="000B2F87">
        <w:t>Interactive network exploration allows users to zoom, reposition nodes, select genes, and inspect neighbouring interactions. Selecting a node plots the corresponding gene expression profile, while hovering over a node displays gene annotation and associated enrichment terms.</w:t>
      </w:r>
    </w:p>
    <w:p w14:paraId="53C8D599" w14:textId="77777777" w:rsidR="00E775A1" w:rsidRDefault="00E775A1" w:rsidP="00E775A1">
      <w:pPr>
        <w:jc w:val="both"/>
      </w:pPr>
    </w:p>
    <w:p w14:paraId="7B84BABE" w14:textId="38C21DE3" w:rsidR="0087477C" w:rsidRDefault="0087477C" w:rsidP="0087477C">
      <w:pPr>
        <w:ind w:firstLine="720"/>
        <w:jc w:val="both"/>
      </w:pPr>
      <w:r w:rsidRPr="0087477C">
        <w:t xml:space="preserve">Importantly, </w:t>
      </w:r>
      <w:proofErr w:type="spellStart"/>
      <w:r w:rsidRPr="0087477C">
        <w:t>BodyClocks</w:t>
      </w:r>
      <w:proofErr w:type="spellEnd"/>
      <w:r w:rsidRPr="0087477C">
        <w:t xml:space="preserve"> also implements the pairwise comparison framework used here to compare osmotic stress, dexamethasone, heat shock, and in vivo cartilage-associated rhythmic transcriptomes. Users can compare any two datasets from the same species to quantify rhythmic gene overlap, pathway overlap, and phase relationships among shared rhythmic genes. In this way, the chondrocyte analysis presented here serves both as a biological demonstration of zeitgeber-specific circadian output and as a worked example of the comparative workflow now available across public circadian datasets (</w:t>
      </w:r>
      <w:proofErr w:type="gramStart"/>
      <w:r w:rsidR="00AA271B">
        <w:t xml:space="preserve">Figure </w:t>
      </w:r>
      <w:r w:rsidRPr="0087477C">
        <w:t xml:space="preserve"> </w:t>
      </w:r>
      <w:r w:rsidR="003F45C9">
        <w:t>5</w:t>
      </w:r>
      <w:proofErr w:type="gramEnd"/>
      <w:r w:rsidRPr="0087477C">
        <w:t>).</w:t>
      </w:r>
    </w:p>
    <w:p w14:paraId="3E2C5934" w14:textId="4FFC9370" w:rsidR="00E775A1" w:rsidRDefault="00E775A1" w:rsidP="00E775A1">
      <w:pPr>
        <w:jc w:val="both"/>
      </w:pPr>
    </w:p>
    <w:p w14:paraId="6E7A4398" w14:textId="73EA813C" w:rsidR="00E775A1" w:rsidRPr="000B2F87" w:rsidRDefault="00AA271B" w:rsidP="00E775A1">
      <w:pPr>
        <w:jc w:val="both"/>
      </w:pPr>
      <w:proofErr w:type="gramStart"/>
      <w:r>
        <w:rPr>
          <w:b/>
          <w:bCs/>
        </w:rPr>
        <w:t xml:space="preserve">Figure </w:t>
      </w:r>
      <w:r w:rsidR="00E775A1" w:rsidRPr="00AA652A">
        <w:rPr>
          <w:b/>
          <w:bCs/>
        </w:rPr>
        <w:t xml:space="preserve"> 5</w:t>
      </w:r>
      <w:proofErr w:type="gramEnd"/>
      <w:r w:rsidR="00E775A1" w:rsidRPr="00AA652A">
        <w:rPr>
          <w:b/>
          <w:bCs/>
        </w:rPr>
        <w:t xml:space="preserve">. </w:t>
      </w:r>
      <w:proofErr w:type="spellStart"/>
      <w:r w:rsidR="00E775A1" w:rsidRPr="00AA652A">
        <w:rPr>
          <w:b/>
          <w:bCs/>
        </w:rPr>
        <w:t>BodyClocks</w:t>
      </w:r>
      <w:proofErr w:type="spellEnd"/>
      <w:r w:rsidR="00E775A1" w:rsidRPr="00AA652A">
        <w:rPr>
          <w:b/>
          <w:bCs/>
        </w:rPr>
        <w:t xml:space="preserve"> enables comparative analysis of circadian datasets.</w:t>
      </w:r>
      <w:r w:rsidR="00E775A1">
        <w:rPr>
          <w:b/>
          <w:bCs/>
        </w:rPr>
        <w:t xml:space="preserve"> </w:t>
      </w:r>
      <w:r w:rsidR="00E775A1" w:rsidRPr="000B2F87">
        <w:t xml:space="preserve">The Dataset Comparison module implements the pairwise comparison framework used in this study across </w:t>
      </w:r>
      <w:proofErr w:type="spellStart"/>
      <w:r w:rsidR="00E775A1" w:rsidRPr="000B2F87">
        <w:t>BodyClocks</w:t>
      </w:r>
      <w:proofErr w:type="spellEnd"/>
      <w:r w:rsidR="00E775A1" w:rsidRPr="000B2F87">
        <w:t xml:space="preserve"> datasets. Users can compare two datasets from the same species to quantify rhythmic gene-list overlap, assess whether the observed overlap differs from that expected by chance, and identify shared genes with similar clock-relative phase. Absolute phase relationships among shared rhythmic genes are shown in the polar plot, while clock-relative phase relationships are summarised in the bubble plot. Selecting a bubble displays expression profiles for genes at the corresponding phase intersection. The Enrichment Overlap section identifies functional terms shared between datasets and enables plotting of either shared rhythmic genes or all rhythmic genes associated with a selected term. A data table provides detailed circadian statistics for genes shared between the two datasets.</w:t>
      </w:r>
    </w:p>
    <w:p w14:paraId="4412F5D2" w14:textId="77777777" w:rsidR="00A42A45" w:rsidRDefault="00A42A45" w:rsidP="00EC5866">
      <w:pPr>
        <w:jc w:val="both"/>
      </w:pPr>
    </w:p>
    <w:p w14:paraId="5F30E1A7" w14:textId="14E51B87" w:rsidR="00F13AA3" w:rsidRPr="00E775A1" w:rsidRDefault="001A3BBE" w:rsidP="00E775A1">
      <w:pPr>
        <w:jc w:val="both"/>
        <w:rPr>
          <w:b/>
          <w:bCs/>
        </w:rPr>
      </w:pPr>
      <w:r w:rsidRPr="00666C85">
        <w:rPr>
          <w:b/>
          <w:bCs/>
        </w:rPr>
        <w:t>DISCUSSION</w:t>
      </w:r>
    </w:p>
    <w:p w14:paraId="7325B9C1" w14:textId="2AB06C96" w:rsidR="00B31047" w:rsidRPr="00B31047" w:rsidRDefault="007B7D4C" w:rsidP="000B2F87">
      <w:pPr>
        <w:ind w:firstLine="720"/>
        <w:jc w:val="both"/>
      </w:pPr>
      <w:r>
        <w:lastRenderedPageBreak/>
        <w:t>Our</w:t>
      </w:r>
      <w:r w:rsidRPr="007B7D4C">
        <w:t xml:space="preserve"> study shows that robust synchronisation of the core molecular clock is not sufficient to produce a conserved downstream circadian transcriptome. Although heat shock, dexamethasone, and osmotic stress all reset the chondrocyte clock, each stimulus generated a largely distinct rhythmic output with limited overlap and poor concordance with in vivo cartilage.</w:t>
      </w:r>
      <w:r w:rsidR="00B31047" w:rsidRPr="00B31047">
        <w:t xml:space="preserve"> The overlap between these </w:t>
      </w:r>
      <w:r w:rsidR="001E7ED8">
        <w:t>rhythmic gene</w:t>
      </w:r>
      <w:r w:rsidR="001E7ED8" w:rsidRPr="00B31047">
        <w:t xml:space="preserve"> </w:t>
      </w:r>
      <w:r w:rsidR="00B31047" w:rsidRPr="00B31047">
        <w:t>pools was minimal (enrichment of only 1.</w:t>
      </w:r>
      <w:r w:rsidR="00A50C4D">
        <w:t>0</w:t>
      </w:r>
      <w:r w:rsidR="009A3919">
        <w:t>2</w:t>
      </w:r>
      <w:r w:rsidR="00B31047" w:rsidRPr="00B31047">
        <w:t xml:space="preserve"> to </w:t>
      </w:r>
      <w:r w:rsidR="004C293F" w:rsidRPr="00B31047">
        <w:t>1.</w:t>
      </w:r>
      <w:r w:rsidR="00A50C4D">
        <w:t>2</w:t>
      </w:r>
      <w:r w:rsidR="004C293F" w:rsidRPr="00B31047">
        <w:t>-fold</w:t>
      </w:r>
      <w:r w:rsidR="00B31047">
        <w:t xml:space="preserve"> in pairwise comparisons</w:t>
      </w:r>
      <w:r w:rsidR="00B31047" w:rsidRPr="00B31047">
        <w:t xml:space="preserve">), performing only slightly above chance. These findings challenge the idea of a rigid, hardwired cell type-specific circadian output, suggesting instead that the peripheral clock functions as a highly </w:t>
      </w:r>
      <w:r w:rsidR="003D4A1C">
        <w:t xml:space="preserve">flexible </w:t>
      </w:r>
      <w:r w:rsidR="00B31047" w:rsidRPr="00B31047">
        <w:t xml:space="preserve">environmental integrator. </w:t>
      </w:r>
      <w:r w:rsidR="00F85878" w:rsidRPr="00F85878">
        <w:t>These findings are consistent with a model in which downstream rhythmic output is shaped by interactions between the clock machinery and stimulus-activated signalling pathways.</w:t>
      </w:r>
    </w:p>
    <w:p w14:paraId="73CB742A" w14:textId="7ECA06F8" w:rsidR="00B31047" w:rsidRPr="00B31047" w:rsidRDefault="002074B7" w:rsidP="000B2F87">
      <w:pPr>
        <w:ind w:firstLine="720"/>
        <w:jc w:val="both"/>
      </w:pPr>
      <w:r w:rsidRPr="002074B7">
        <w:t>The limited overlap among enriched pathways further supports the contextual nature of circadian output.</w:t>
      </w:r>
      <w:r w:rsidR="00B31047" w:rsidRPr="00B31047">
        <w:t xml:space="preserve"> Dexamethasone acts via the glucocorticoid receptor, directly driving the expression of genes possessing glucocorticoid-responsive elements, which include several clock genes </w:t>
      </w:r>
      <w:r w:rsidR="00436536">
        <w:t>such as</w:t>
      </w:r>
      <w:r w:rsidR="00436536" w:rsidRPr="00B31047">
        <w:t xml:space="preserve"> </w:t>
      </w:r>
      <w:r w:rsidR="00B31047" w:rsidRPr="000B2F87">
        <w:rPr>
          <w:i/>
          <w:iCs/>
        </w:rPr>
        <w:t xml:space="preserve">Per2 </w:t>
      </w:r>
      <w:r w:rsidR="00B31047" w:rsidRPr="00B31047">
        <w:t>but also a vast number of non-clock related genes that likely interact with the clock network</w:t>
      </w:r>
      <w:r w:rsidR="00B31047">
        <w:t xml:space="preserve"> </w:t>
      </w:r>
      <w:r w:rsidR="00B31047">
        <w:fldChar w:fldCharType="begin"/>
      </w:r>
      <w:r w:rsidR="009B21A9">
        <w:instrText xml:space="preserve"> ADDIN ZOTERO_ITEM CSL_CITATION {"citationID":"rwDpUTCs","properties":{"formattedCitation":"[32,34]","plainCitation":"[32,34]","noteIndex":0},"citationItems":[{"id":"fmCYmJCr/2Iy4YKMn","uris":["http://zotero.org/users/local/QFmVNDJO/items/3M6RNKXE"],"itemData":{"id":546,"type":"article-journal","abstract":"Circadian clock genes are regulated by glucocorticoids; however, whether this regulation is a direct or secondary effect and the physiological consequences of this regulation were unknown. Here, we identified glucocorticoid response elements (GREs) at multiple clock genes and showed that 3 were directly regulated by the glucocorticoid receptor. We determined that a GRE within the core clock gene Per2 was continuously occupied during rhythmic expression and essential for glucocorticoid regulation of that gene in vivo. We further demonstrated that mice with a genomic deletion spanning this GRE expressed elevated leptin levels and were protected from glucose intolerance and insulin resistance on glucocorticoid treatment but not from muscle wasting. We conclude that Per2 is an integral component of a particular glucocorticoid regulatory pathway and that glucocorticoid regulation of the peripheral clock is selectively required for some actions of glucocorticoids.","container-title":"Proceedings of the National Academy of Sciences","DOI":"10.1073/pnas.0909733106","issue":"41","page":"17582-17587","publisher":"Proceedings of the National Academy of Sciences","source":"pnas.org (Atypon)","title":"Glucocorticoid regulation of the circadian clock modulates glucose homeostasis","volume":"106","author":[{"family":"So","given":"Alex Y.-L."},{"family":"Bernal","given":"Teresita U."},{"family":"Pillsbury","given":"Marlisa L."},{"family":"Yamamoto","given":"Keith R."},{"family":"Feldman","given":"Brian J."}],"issued":{"date-parts":[["2009",10,13]]}}},{"id":"fmCYmJCr/RehFcAod","uris":["http://zotero.org/users/local/QFmVNDJO/items/J6FHSB7Q"],"itemData":{"id":548,"type":"article-journal","abstract":"Glucocorticoids (GCs) are endogenous hormones that are crucial for the homeostasis of the organism and adaptation to the external environment. Because of their anti-inflammatory effects, synthetic GCs are also extensively used in clinical practice. However, almost all cells in the body are sensitive to GC regulation. As a result, these mediators have pleiotropic effects, which may be undesirable or detrimental to human health. Here, we summarize the recent findings that contribute to deciphering the molecular mechanisms downstream of glucocorticoid receptor activation. We also discuss the complex role of GCs in infectious diseases such as sepsis and COVID-19, in which the balance between pathogen elimination and protection against excessive inflammation and immunopathology needs to be tightly regulated. An understanding of the cell type- and context-specific actions of GCs from the molecular to the organismal level would help to optimize their therapeutic use.","container-title":"Cellular &amp; Molecular Immunology","DOI":"10.1038/s41423-020-00526-2","ISSN":"2042-0226","issue":"2","journalAbbreviation":"Cell Mol Immunol","language":"en","license":"2020 The Author(s)","page":"269-278","publisher":"Nature Publishing Group","source":"www.nature.com","title":"New insights into the cell- and tissue-specificity of glucocorticoid actions","volume":"18","author":[{"family":"Quatrini","given":"Linda"},{"family":"Ugolini","given":"Sophie"}],"issued":{"date-parts":[["2021",2]]}}}],"schema":"https://github.com/citation-style-language/schema/raw/master/csl-citation.json"} </w:instrText>
      </w:r>
      <w:r w:rsidR="00B31047">
        <w:fldChar w:fldCharType="separate"/>
      </w:r>
      <w:r w:rsidR="009B21A9" w:rsidRPr="009B21A9">
        <w:rPr>
          <w:rFonts w:ascii="Calibri" w:hAnsi="Calibri" w:cs="Calibri"/>
        </w:rPr>
        <w:t>[32,34]</w:t>
      </w:r>
      <w:r w:rsidR="00B31047">
        <w:fldChar w:fldCharType="end"/>
      </w:r>
      <w:r w:rsidR="00B31047">
        <w:t xml:space="preserve">. </w:t>
      </w:r>
      <w:r w:rsidR="00B31047" w:rsidRPr="00B31047">
        <w:t xml:space="preserve">Heat shock, conversely, initiates a cellular stress response, mediated through </w:t>
      </w:r>
      <w:r w:rsidR="008C251F">
        <w:t>heat shock proteins</w:t>
      </w:r>
      <w:r w:rsidR="00B31047" w:rsidRPr="00B31047">
        <w:t xml:space="preserve"> and rearrangement of the actin cytoskeleton, driving a distinct transcriptional cascade</w:t>
      </w:r>
      <w:r w:rsidR="00B31047">
        <w:t xml:space="preserve"> </w:t>
      </w:r>
      <w:r w:rsidR="00B31047">
        <w:fldChar w:fldCharType="begin"/>
      </w:r>
      <w:r w:rsidR="009B21A9">
        <w:instrText xml:space="preserve"> ADDIN ZOTERO_ITEM CSL_CITATION {"citationID":"ImbTmeM2","properties":{"formattedCitation":"[11,35,36]","plainCitation":"[11,35,36]","noteIndex":0},"citationItems":[{"id":"fmCYmJCr/nxxnQNKg","uris":["http://zotero.org/users/local/QFmVNDJO/items/PE3ZMC8P"],"itemData":{"id":536,"type":"article","abstract":"Objective Prior studies have shown that disruption of the circadian clock leads to cartilage degeneration in mice while shift work is associated with higher risk of osteoarthritis (OA) in humans. In this study we investigated the potential of heat pulses to restore dampened circadian rhythms in articular cartilage.\nMethods Femoral head cartilage explants and primary chondrocytes were isolated from PER2::LUC mice. Human femoral condyle cartilage was obtained from osteoarthritic patients undergoing total knee replacement. Tissues and cells were exposed to heat shock at various temperatures (37-43 °C) and incubation lengths. Bioluminescence from explants and cells was recorded in real-time. RNA sequencing and qPCR were used to assess gene expression changes in response to heat.\nResults We established that a 60-min pulse at 43 °C was sufficient to restore dampened PER2::LUC rhythms in mouse cartilage explants or in primary chondrocytes. Transcriptome analysis in mouse articular cartilage showed an up-regulation of genes encoding heat shock proteins and collagens, and a transient down-regulation of Sox9, Runx2, Per1, Clock and Cry2. Heat induced the expression of circadian clock genes in human osteoarthritic knee cartilage. Mechanistically, inhibition of HSP90 activity or perturbation of F-actin polymerisation blocked the heat-induced resynchronisation of circadian rhythms.\nConclusion Together, these data have contributed to a greater understanding of the multifaceted nature of the connections between circadian timekeeping, heat stress responses and homeostasis in articular cartilage. These findings also suggest that time-prescribed temperature increases could be developed into a non-invasive intervention to slow down tissue ageing and restore homeostasis in osteoarthritic joints by improving circadian oscillations of cartilage rhythmic pathways.","DOI":"10.1101/2024.01.26.577368","language":"en","license":"© 2024, Posted by Cold Spring Harbor Laboratory. The copyright holder for this pre-print is the author. All rights reserved. The material may not be redistributed, re-used or adapted without the author's permission.","note":"page: 2024.01.26.577368\nsection: New Results","publisher":"bioRxiv","source":"bioRxiv","title":"Modulation of circadian rhythms in articular cartilage by heat pulses","URL":"https://www.biorxiv.org/content/10.1101/2024.01.26.577368v1","author":[{"family":"Gonçalves","given":"Cátia F."},{"family":"Dudek","given":"Michal"},{"family":"Pathiranage","given":"Dharshika RJ"},{"family":"Paszek","given":"Anna"},{"family":"El-Houni","given":"Zeyad"},{"family":"Li","given":"Shiyang"},{"family":"Tawy","given":"Gwenllian"},{"family":"Biant","given":"Leela"},{"family":"Hoyland","given":"Judith A."},{"family":"Meng","given":"Qing-Jun"}],"accessed":{"date-parts":[["2026",3,17]]},"issued":{"date-parts":[["2024",1,26]]}}},{"id":"fmCYmJCr/ItAvmfLW","uris":["http://zotero.org/users/local/QFmVNDJO/items/WUG2948Y"],"itemData":{"id":550,"type":"article-journal","abstract":"A biweekly scientific journal publishing high-quality research in molecular biology and genetics, cancer biology, biochemistry, and related fields","container-title":"Genes &amp; Development","DOI":"10.1101/gad.12.24.3788","ISSN":"0890-9369, 1549-5477","issue":"24","journalAbbreviation":"Genes Dev.","language":"en","page":"3788-3796","publisher":"Cold Spring Harbor Lab","source":"genesdev.cshlp.org","title":"Regulation of the heat shock transcriptional response: cross talk between a family of heat shock factors, molecular chaperones, and negative regulators","title-short":"Regulation of the heat shock transcriptional response","volume":"12","author":[{"family":"Morimoto","given":"Richard I."}],"issued":{"date-parts":[["1998",12,15]]}}},{"id":"fmCYmJCr/vlX8CWD6","uris":["http://zotero.org/users/local/QFmVNDJO/items/BWP24988"],"itemData":{"id":552,"type":"article-journal","abstract":"The heat shock transcription factors (HSFs) were discovered over 30 years ago as direct transcriptional activators of genes regulated by thermal stress, encoding heat shock proteins. The accepted paradigm posited that HSFs exclusively activate the expression of protein chaperones in response to conditions that cause protein misfolding by recognizing a simple promoter binding site referred to as a heat shock element. However, we now realize that the mammalian family of HSFs comprises proteins that independently or in concert drive combinatorial gene regulation events that activate or repress transcription in different contexts. Advances in our understanding of HSF structure, post-translational modifications and the breadth of HSF-regulated target genes have revealed exciting new mechanisms that modulate HSFs and shed new light on their roles in physiology and pathology. For example, the ability of HSF1 to protect cells from proteotoxicity and cell death is impaired in neurodegenerative diseases but can be exploited by cancer cells to support their growth, survival and metastasis. These new insights into HSF structure, function and regulation should facilitate the development tof new disease therapeutics to manipulate this transcription factor family.","container-title":"Nature reviews. Molecular cell biology","DOI":"10.1038/nrm.2017.73","ISSN":"1471-0072","issue":"1","journalAbbreviation":"Nat Rev Mol Cell Biol","page":"4-19","PMID":"28852220","PMCID":"PMC5794010","source":"PubMed Central","title":"Regulation of heat shock transcription factors and their roles in physiology and disease","volume":"19","author":[{"family":"Gomez-Pastor","given":"Rocio"},{"family":"Burchfiel","given":"Eileen T."},{"family":"Thiele","given":"Dennis J."}],"issued":{"date-parts":[["2018",1]]}}}],"schema":"https://github.com/citation-style-language/schema/raw/master/csl-citation.json"} </w:instrText>
      </w:r>
      <w:r w:rsidR="00B31047">
        <w:fldChar w:fldCharType="separate"/>
      </w:r>
      <w:r w:rsidR="009B21A9" w:rsidRPr="009B21A9">
        <w:rPr>
          <w:rFonts w:ascii="Calibri" w:hAnsi="Calibri" w:cs="Calibri"/>
        </w:rPr>
        <w:t>[11,35,36]</w:t>
      </w:r>
      <w:r w:rsidR="00B31047">
        <w:fldChar w:fldCharType="end"/>
      </w:r>
      <w:r w:rsidR="00B31047">
        <w:t xml:space="preserve">. </w:t>
      </w:r>
      <w:r w:rsidR="00B31047" w:rsidRPr="00B31047">
        <w:t xml:space="preserve">Osmotic stress, a highly relevant physiological cue for articular cartilage, results in a completely different cellular stress response involving mTOR, NFAT5, and MAP kinases </w:t>
      </w:r>
      <w:r w:rsidR="00B31047">
        <w:fldChar w:fldCharType="begin"/>
      </w:r>
      <w:r w:rsidR="009B21A9">
        <w:instrText xml:space="preserve"> ADDIN ZOTERO_ITEM CSL_CITATION {"citationID":"lN4nVpDE","properties":{"formattedCitation":"[12,37\\uc0\\u8211{}39]","plainCitation":"[12,37–39]","noteIndex":0},"citationItems":[{"id":"fmCYmJCr/oA0Ras37","uris":["http://zotero.org/users/local/QFmVNDJO/items/NVJ3R6SZ"],"itemData":{"id":538,"type":"article-journal","abstract":"Daily rhythms in mammalian behaviour and physiology are generated by a multi-oscillator circadian system entrained through environmental cues (e.g. light and feeding). The presence of tissue niche-dependent physiological time cues has been proposed, allowing tissues the ability of circadian phase adjustment based on local signals. However, to date, such stimuli have remained elusive. Here we show that daily patterns of mechanical loading and associated osmotic challenge within physiological ranges reset circadian clock phase and amplitude in cartilage and intervertebral disc tissues in vivo and in tissue explant cultures. Hyperosmolarity (but not hypo-osmolarity) resets clocks in young and ageing skeletal tissues and induce genome-wide expression of rhythmic genes in cells. Mechanistically, RNAseq and biochemical analysis revealed the PLD2-mTORC2-AKT-GSK3β axis as a convergent pathway for both in vivo loading and hyperosmolarity-induced clock changes. These results reveal diurnal patterns of mechanical loading and consequent daily oscillations in osmolarity as a bona fide tissue niche-specific time cue to maintain skeletal circadian rhythms in sync.","container-title":"Nature Communications","DOI":"10.1038/s41467-023-42056-1","ISSN":"2041-1723","issue":"1","journalAbbreviation":"Nat Commun","language":"en","license":"2023 The Author(s)","page":"7237","publisher":"Nature Publishing Group","source":"www.nature.com","title":"Mechanical loading and hyperosmolarity as a daily resetting cue for skeletal circadian clocks","volume":"14","author":[{"family":"Dudek","given":"Michal"},{"family":"Pathiranage","given":"Dharshika R. J."},{"family":"Bano-Otalora","given":"Beatriz"},{"family":"Paszek","given":"Anna"},{"family":"Rogers","given":"Natalie"},{"family":"Gonçalves","given":"Cátia F."},{"family":"Lawless","given":"Craig"},{"family":"Wang","given":"Dong"},{"family":"Luo","given":"Zhuojing"},{"family":"Yang","given":"Liu"},{"family":"Guilak","given":"Farshid"},{"family":"Hoyland","given":"Judith A."},{"family":"Meng","given":"Qing-Jun"}],"issued":{"date-parts":[["2023",11,14]]}}},{"id":"fmCYmJCr/4RYbkI3p","uris":["http://zotero.org/users/local/QFmVNDJO/items/YBXZBERY"],"itemData":{"id":554,"type":"article-journal","abstract":"Although stress can suppress growth and proliferation, cells can induce adaptive responses that allow them to maintain these functions under stress. While numerous studies have focused on the inhibitory effects of stress on cell growth, less is known on how growth-promoting pathways influence stress responses. We have approached this question by analyzing the effect of mammalian target of rapamycin (mTOR), a central growth controller, on the osmotic stress response. Our results showed that mammalian cells exposed to moderate hypertonicity maintained active mTOR, which was required to sustain their cell size and proliferative capacity. Moreover, mTOR regulated the induction of diverse osmostress response genes, including targets of the tonicity-responsive transcription factor NFAT5 as well as NFAT5-independent genes. Genes sensitive to mTOR-included regulators of stress responses, growth and proliferation. Among them, we identified REDD1 and REDD2, which had been previously characterized as mTOR inhibitors in other stress contexts. We observed that mTOR facilitated transcription-permissive conditions for several osmoresponsive genes by enhancing histone H4 acetylation and the recruitment of RNA polymerase II. Altogether, these results reveal a previously unappreciated role of mTOR in regulating transcriptional mechanisms that control gene expression during cellular stress responses.","container-title":"Nucleic Acids Research","DOI":"10.1093/nar/gks038","ISSN":"1362-4962","issue":"10","journalAbbreviation":"Nucleic Acids Res","language":"eng","page":"4368-4384","PMID":"22287635","PMCID":"PMC3378878","source":"PubMed","title":"Transcriptional regulation of gene expression during osmotic stress responses by the mammalian target of rapamycin","volume":"40","author":[{"family":"Ortells","given":"M. Carmen"},{"family":"Morancho","given":"Beatriz"},{"family":"Drews-Elger","given":"Katherine"},{"family":"Viollet","given":"Benoit"},{"family":"Laderoute","given":"Keith R."},{"family":"López-Rodríguez","given":"Cristina"},{"family":"Aramburu","given":"Jose"}],"issued":{"date-parts":[["2012",5]]}}},{"id":"fmCYmJCr/M6LGsZKD","uris":["http://zotero.org/users/local/QFmVNDJO/items/QZW8XJGW"],"itemData":{"id":557,"type":"article-journal","container-title":"Molecular Cell","DOI":"10.1016/j.molcel.2023.11.028","ISSN":"1097-2765","issue":"1","journalAbbreviation":"Molecular Cell","language":"English","page":"142-155","PMID":"38118452","publisher":"Elsevier","source":"www.cell.com","title":"Mechanisms underlying sensing of cellular stress signals by mammalian MAP3 kinases","volume":"84","author":[{"family":"Mordente","given":"Kelly"},{"family":"Ryder","given":"Laura"},{"family":"Bekker-Jensen","given":"Simon"}],"issued":{"date-parts":[["2024",1,4]]}}},{"id":"fmCYmJCr/vBcwSRoa","uris":["http://zotero.org/users/local/QFmVNDJO/items/TDD29TR7"],"itemData":{"id":560,"type":"article-journal","abstract":"Aims:The circadian clock oscillates in a cell-autonomous manner with a period of </w:instrText>
      </w:r>
      <w:r w:rsidR="009B21A9">
        <w:rPr>
          <w:rFonts w:ascii="Cambria Math" w:hAnsi="Cambria Math" w:cs="Cambria Math"/>
        </w:rPr>
        <w:instrText>∼</w:instrText>
      </w:r>
      <w:r w:rsidR="009B21A9">
        <w:instrText>24</w:instrText>
      </w:r>
      <w:r w:rsidR="009B21A9">
        <w:rPr>
          <w:rFonts w:ascii="Calibri" w:hAnsi="Calibri" w:cs="Calibri"/>
        </w:rPr>
        <w:instrText> </w:instrText>
      </w:r>
      <w:r w:rsidR="009B21A9">
        <w:instrText xml:space="preserve">h, and the phase is regulated by various time cues such as light and temperature through multiple clock input pathways. We previously found that osmotic and oxidative stress strongly affected the circadian period and phase of cellular rhythms, and triple knockout of apoptosis signal-regulating kinase (ASK) family members, Ask1, Ask2, and Ask3, abolished the phase shift (clock resetting) induced by hyperosmotic pulse treatment. We aimed at exploring a key molecule(s) and signaling events in the clock input pathway dependent on ASK kinases.Results:The phase shift of the cellular clock induced by the hyperosmotic pulse treatment was significantly reduced by combined deficiencies of the clock(-related) genes, Dec1, Dec2, and E4 promoter-binding protein 4 (also known as Nfil3) (E4bp4). In addition, liquid chromatography mass/mass spectrometry (LC-MS/MS)-based proteomic analysis identified hyperosmotic pulse-induced phosphorylation of circadian locomotor output cycles caput (CLOCK) Ser845 in an AKT-dependent manner. We found that AKT kinase was phosphorylated at Ser473 (i.e., activated) in response to the hyperosmotic pulse experiments. Inhibition of mechanistic target of rapamycin (mTOR) kinase by Torin 1 treatment completely abolished the AKT activation, suppressed the phosphorylation of CLOCK Ser845, and blocked the clock resetting induced by the hyperosmotic pulse treatment.Innovation and Conclusions:We conclude that mTOR-AKT signaling is indispensable for the CLOCK Ser845 phosphorylation, which correlates with the clock resetting induced by the hyperosmotic pulse treatment. Immediate early induction of the clock(-related) genes and CLOCK carboxyl-terminal (C-terminal) region containing Ser845 also play important roles in the clock input pathway through redox-sensitive ASK kinases. Antioxid. Redox Signal. 37, 631–646.","container-title":"Antioxidants &amp; Redox Signaling","DOI":"10.1089/ars.2021.0059","ISSN":"1523-0864","issue":"10-12","language":"EN","page":"631-646","publisher":"SAGE Publications","source":"SAGE Journals","title":"mTOR-AKT Signaling in Cellular Clock Resetting Triggered by Osmotic Stress","volume":"37","author":[{"family":"Yoshitane","given":"Hikari"},{"family":"Imamura","given":"Kiyomichi"},{"family":"Okubo","given":"Takenori"},{"family":"Otobe","given":"Yuta"},{"family":"Kawakami","given":"Satoshi"},{"family":"Ito","given":"Shunsuke"},{"family":"Takumi","given":"Toru"},{"family":"Hattori","given":"Kazuki"},{"family":"Naguro","given":"Isao"},{"family":"Ichijo","given":"Hidenori"},{"family":"Fukada","given":"Yoshitaka"}],"issued":{"date-parts":[["2022",10,1]]}}}],"schema":"https://github.com/citation-style-language/schema/raw/master/csl-citation.json"} </w:instrText>
      </w:r>
      <w:r w:rsidR="00B31047">
        <w:fldChar w:fldCharType="separate"/>
      </w:r>
      <w:r w:rsidR="009B21A9" w:rsidRPr="009B21A9">
        <w:rPr>
          <w:rFonts w:ascii="Calibri" w:hAnsi="Calibri" w:cs="Calibri"/>
          <w:kern w:val="0"/>
        </w:rPr>
        <w:t>[12,37–39]</w:t>
      </w:r>
      <w:r w:rsidR="00B31047">
        <w:fldChar w:fldCharType="end"/>
      </w:r>
      <w:r w:rsidR="00B31047">
        <w:t xml:space="preserve">. </w:t>
      </w:r>
      <w:r w:rsidR="00B31047" w:rsidRPr="00B31047">
        <w:t xml:space="preserve">Therefore, what we often define as "circadian genes" in a cell culture model </w:t>
      </w:r>
      <w:r w:rsidR="00A50C4D">
        <w:t>may be</w:t>
      </w:r>
      <w:r w:rsidR="00B31047" w:rsidRPr="00B31047">
        <w:t xml:space="preserve">, </w:t>
      </w:r>
      <w:proofErr w:type="gramStart"/>
      <w:r w:rsidR="00B31047" w:rsidRPr="00B31047">
        <w:t>in reality, genes</w:t>
      </w:r>
      <w:proofErr w:type="gramEnd"/>
      <w:r w:rsidR="00B31047" w:rsidRPr="00B31047">
        <w:t xml:space="preserve"> whose rhythmic expression is </w:t>
      </w:r>
      <w:r w:rsidR="002F3C0D">
        <w:t>largely</w:t>
      </w:r>
      <w:r w:rsidR="002F3C0D" w:rsidRPr="00B31047">
        <w:t xml:space="preserve"> </w:t>
      </w:r>
      <w:r w:rsidR="00B31047" w:rsidRPr="00B31047">
        <w:t>contingent upon the continuous or acute presence of a specific stimulus. This aligns with emerging literature highlighting how perturbations, such as aging</w:t>
      </w:r>
      <w:r w:rsidR="00265618">
        <w:t xml:space="preserve"> </w:t>
      </w:r>
      <w:r w:rsidR="00B31047">
        <w:fldChar w:fldCharType="begin"/>
      </w:r>
      <w:r w:rsidR="009B21A9">
        <w:instrText xml:space="preserve"> ADDIN ZOTERO_ITEM CSL_CITATION {"citationID":"wK4RLxp7","properties":{"formattedCitation":"[40,41]","plainCitation":"[40,41]","noteIndex":0},"citationItems":[{"id":"fmCYmJCr/7yTcxnDx","uris":["http://zotero.org/users/local/QFmVNDJO/items/C5DHJ64E"],"itemData":{"id":476,"type":"article-journal","abstract":"Normal homeostatic functions of adult stem cells have rhythmic daily oscillations that are believed to become arrhythmic during aging. Unexpectedly, we find that aged mice remain behaviorally circadian and that their epidermal and muscle stem cells retain a robustly rhythmic core circadian machinery. However, the oscillating transcriptome is extensively reprogrammed in aged stem cells, switching from genes involved in homeostasis to those involved in tissue-specific stresses, such as DNA damage or inefficient autophagy. Importantly, deletion of circadian clock components did not reproduce the hallmarks of this reprogramming, underscoring that rewiring, rather than arrhythmia, is associated with physiological aging. While age-associated rewiring of the oscillatory diurnal transcriptome is not recapitulated by a high-fat diet in young adult mice, it is significantly prevented by long-term caloric restriction in aged mice. Thus, stem cells rewire their diurnal timed functions to adapt to metabolic cues and to tissue-specific age-related traits.","container-title":"Cell","DOI":"10.1016/j.cell.2017.07.035","ISSN":"0092-8674","issue":"4","journalAbbreviation":"Cell","page":"678-692.e20","source":"ScienceDirect","title":"Aged Stem Cells Reprogram Their Daily Rhythmic Functions to Adapt to Stress","volume":"170","author":[{"family":"Solanas","given":"Guiomar"},{"family":"Peixoto","given":"Francisca Oliveira"},{"family":"Perdiguero","given":"Eusebio"},{"family":"Jardí","given":"Mercè"},{"family":"Ruiz-Bonilla","given":"Vanessa"},{"family":"Datta","given":"Debayan"},{"family":"Symeonidi","given":"Aikaterini"},{"family":"Castellanos","given":"Andrés"},{"family":"Welz","given":"Patrick-Simon"},{"family":"Caballero","given":"Juan Martín"},{"family":"Sassone-Corsi","given":"Paolo"},{"family":"Muñoz-Cánoves","given":"Pura"},{"family":"Benitah","given":"Salvador Aznar"}],"issued":{"date-parts":[["2017",8,10]]}}},{"id":"fmCYmJCr/gqSAssms","uris":["http://zotero.org/users/local/QFmVNDJO/items/9X858V5G"],"itemData":{"id":479,"type":"article-journal","abstract":"The process of aging and circadian rhythms are intimately intertwined, but how peripheral clocks involved in metabolic homeostasis contribute to aging remains unknown. Importantly, caloric restriction (CR) extends lifespan in several organisms and rewires circadian metabolism. Using young versus old mice, fed ad libitum or under CR, we reveal reprogramming of the circadian transcriptome in the liver. These age-dependent changes occur in a highly tissue-specific manner, as demonstrated by comparing circadian gene expression in the liver versus epidermal and skeletal muscle stem cells. Moreover, de novo oscillating genes under CR show an enrichment in SIRT1 targets in the liver. This is accompanied by distinct circadian hepatic signatures in NAD+-related metabolites and cyclic global protein acetylation. Strikingly, this oscillation in acetylation is absent in old mice while CR robustly rescues global protein acetylation. Our findings indicate that the clock operates at the crossroad between protein acetylation, liver metabolism, and aging.","container-title":"Cell","DOI":"10.1016/j.cell.2017.07.042","ISSN":"0092-8674","issue":"4","journalAbbreviation":"Cell","page":"664-677.e11","source":"ScienceDirect","title":"Circadian Reprogramming in the Liver Identifies Metabolic Pathways of Aging","volume":"170","author":[{"family":"Sato","given":"Shogo"},{"family":"Solanas","given":"Guiomar"},{"family":"Peixoto","given":"Francisca Oliveira"},{"family":"Bee","given":"Leonardo"},{"family":"Symeonidi","given":"Aikaterini"},{"family":"Schmidt","given":"Mark S."},{"family":"Brenner","given":"Charles"},{"family":"Masri","given":"Selma"},{"family":"Benitah","given":"Salvador Aznar"},{"family":"Sassone-Corsi","given":"Paolo"}],"issued":{"date-parts":[["2017",8,10]]}}}],"schema":"https://github.com/citation-style-language/schema/raw/master/csl-citation.json"} </w:instrText>
      </w:r>
      <w:r w:rsidR="00B31047">
        <w:fldChar w:fldCharType="separate"/>
      </w:r>
      <w:r w:rsidR="009B21A9" w:rsidRPr="009B21A9">
        <w:rPr>
          <w:rFonts w:ascii="Calibri" w:hAnsi="Calibri" w:cs="Calibri"/>
        </w:rPr>
        <w:t>[40,41]</w:t>
      </w:r>
      <w:r w:rsidR="00B31047">
        <w:fldChar w:fldCharType="end"/>
      </w:r>
      <w:r w:rsidR="00B31047">
        <w:t>,</w:t>
      </w:r>
      <w:r w:rsidR="00B31047" w:rsidRPr="00666C85">
        <w:t xml:space="preserve"> </w:t>
      </w:r>
      <w:r w:rsidR="001A6E38">
        <w:t>cancer</w:t>
      </w:r>
      <w:r w:rsidR="00265618">
        <w:t xml:space="preserve"> </w:t>
      </w:r>
      <w:r w:rsidR="00DF136F">
        <w:fldChar w:fldCharType="begin"/>
      </w:r>
      <w:r w:rsidR="009B21A9">
        <w:instrText xml:space="preserve"> ADDIN ZOTERO_ITEM CSL_CITATION {"citationID":"BqOIGZ4i","properties":{"formattedCitation":"[42]","plainCitation":"[42]","noteIndex":0},"citationItems":[{"id":"fmCYmJCr/CjYm2Cpk","uris":["http://zotero.org/users/local/QFmVNDJO/items/RVNBPFT2"],"itemData":{"id":570,"type":"article-journal","abstract":"Studies in shift workers and model organisms link circadian disruption to breast cancer. However, molecular circadian rhythms in noncancerous and cancerous human breast tissues and their clinical relevance are largely unknown. We reconstructed rhythms informatically, integrating locally collected, time-stamped biopsies with public datasets. For noncancerous breast tissue, inflammatory, epithelial–mesenchymal transition (EMT), and estrogen responsiveness pathways show circadian modulation. Among tumors, clock correlation analysis demonstrates subtype-specific changes in circadian organization. Luminal A organoids and informatic ordering of luminal A samples exhibit continued, albeit dampened and reprogrammed rhythms. However, CYCLOPS magnitude, a measure of global rhythm strength, varied widely among luminal A samples. Cycling of EMT pathway genes was markedly increased in high-magnitude luminal A tumors. Surprisingly, patients with high-magnitude tumors had reduced 5-y survival. Correspondingly, 3D luminal A cultures show reduced invasion following molecular clock disruption. This study links subtype-specific circadian disruption in breast cancer to EMT, metastatic potential, and prognosis.","container-title":"Proceedings of the National Academy of Sciences","DOI":"10.1073/pnas.2311854121","issue":"7","page":"e2311854121","publisher":"Proceedings of the National Academy of Sciences","source":"pnas.org (Atypon)","title":"Tumor circadian clock strength influences metastatic potential and predicts patient prognosis in luminal A breast cancer","volume":"121","author":[{"family":"Li","given":"Shi-Yang"},{"family":"Hammarlund","given":"Jan A."},{"family":"Wu","given":"Gang"},{"family":"Lian","given":"Jia-Wen"},{"family":"Howell","given":"Sacha J."},{"family":"Clarke","given":"Robert B."},{"family":"Adamson","given":"Antony D."},{"family":"Gonçalves","given":"Cátia F."},{"family":"Hogenesch","given":"John B."},{"family":"Anafi","given":"Ron C."},{"family":"Meng","given":"Qing-Jun"}],"issued":{"date-parts":[["2024",2,13]]}}}],"schema":"https://github.com/citation-style-language/schema/raw/master/csl-citation.json"} </w:instrText>
      </w:r>
      <w:r w:rsidR="00DF136F">
        <w:fldChar w:fldCharType="separate"/>
      </w:r>
      <w:r w:rsidR="009B21A9" w:rsidRPr="009B21A9">
        <w:rPr>
          <w:rFonts w:ascii="Calibri" w:hAnsi="Calibri" w:cs="Calibri"/>
        </w:rPr>
        <w:t>[42]</w:t>
      </w:r>
      <w:r w:rsidR="00DF136F">
        <w:fldChar w:fldCharType="end"/>
      </w:r>
      <w:r w:rsidR="006F69D0">
        <w:t xml:space="preserve">, </w:t>
      </w:r>
      <w:r w:rsidR="00B31047" w:rsidRPr="00666C85">
        <w:t>sleep</w:t>
      </w:r>
      <w:r w:rsidR="002A6BED">
        <w:t xml:space="preserve"> deprivation</w:t>
      </w:r>
      <w:r w:rsidR="00B31047" w:rsidRPr="00666C85">
        <w:t xml:space="preserve"> </w:t>
      </w:r>
      <w:r w:rsidR="00B31047">
        <w:fldChar w:fldCharType="begin"/>
      </w:r>
      <w:r w:rsidR="009B21A9">
        <w:instrText xml:space="preserve"> ADDIN ZOTERO_ITEM CSL_CITATION {"citationID":"k4q7bXYr","properties":{"formattedCitation":"[43]","plainCitation":"[43]","noteIndex":0},"citationItems":[{"id":"fmCYmJCr/uDo0Xei6","uris":["http://zotero.org/users/local/QFmVNDJO/items/ZXM9MQE5"],"itemData":{"id":423,"type":"article-journal","abstract":"Shortened or mistimed sleep affects metabolic homeostasis, which may in part be mediated by dysregulation of endogenous circadian clocks. In this study, we assessed the contribution of sleep disruption to metabolic dysregulation by analysing diurnal transcriptome regulation in metabolic tissues of mice subjected to a sleep restriction (SR) paradigm.Male mice were subjected to 2 × 5 days of SR with enforced waking during the first 6 hours of the light phase. SR and control mice were sacrificed at different time points of the day and RNA preparations from the mediobasal hypothalamus (MBH), liver, and epididymal white adipose tissue (eWAT) were subjected to whole-genome microarray hybridization. Transcriptional rhythms were associated with changes in behavioral and physiological parameters such as sleep, body temperature, and food intake. Rhythm detection was performed with CircWave and transcription profiles were compared by 2-way analysis of variance and t-tests with Benjamini–Hochberg corrections.Clock gene rhythms were blunted in all tissues, while transcriptome regulation was associated with either clock gene expression, sleep patterns, or food intake in a tissue-specific manner. Clock gene expression was associated with apoptosis pathways in the MBH and with tumor necrosis factor alpha signalling in liver. Food intake-associated genes included cilium movement genes in the MBH and lipid metabolism-associated transcripts in liver.In mice, repeated SR profoundly alters behavioral and molecular diurnal rhythms, disrupting essential signalling pathways in MBH, liver, and eWAT, which may underlie the metabolic and cognitive disturbances observed in sleep-restricted humans such as shift workers.","container-title":"Sleep","DOI":"10.1093/sleep/zsx068","ISSN":"0161-8105","issue":"6","journalAbbreviation":"Sleep","page":"zsx068","source":"Silverchair","title":"Tissue-Specific Dissociation of Diurnal Transcriptome Rhythms During Sleep Restriction in Mice","volume":"40","author":[{"family":"Husse","given":"Jana"},{"family":"Kiehn","given":"Jana-Thabea"},{"family":"Barclay","given":"Johanna L."},{"family":"Naujokat","given":"Nadine"},{"family":"Meyer-Kovac","given":"Judit"},{"family":"Lehnert","given":"Hendrik"},{"family":"Oster","given":"Henrik"}],"issued":{"date-parts":[["2017",6,1]]}}}],"schema":"https://github.com/citation-style-language/schema/raw/master/csl-citation.json"} </w:instrText>
      </w:r>
      <w:r w:rsidR="00B31047">
        <w:fldChar w:fldCharType="separate"/>
      </w:r>
      <w:r w:rsidR="009B21A9" w:rsidRPr="009B21A9">
        <w:rPr>
          <w:rFonts w:ascii="Calibri" w:hAnsi="Calibri" w:cs="Calibri"/>
        </w:rPr>
        <w:t>[43]</w:t>
      </w:r>
      <w:r w:rsidR="00B31047">
        <w:fldChar w:fldCharType="end"/>
      </w:r>
      <w:r w:rsidR="00B31047">
        <w:t xml:space="preserve"> or </w:t>
      </w:r>
      <w:r w:rsidR="001A6E38">
        <w:t xml:space="preserve">food </w:t>
      </w:r>
      <w:r w:rsidR="00B31047">
        <w:t xml:space="preserve">restriction </w:t>
      </w:r>
      <w:r w:rsidR="00B31047">
        <w:fldChar w:fldCharType="begin"/>
      </w:r>
      <w:r w:rsidR="009B21A9">
        <w:instrText xml:space="preserve"> ADDIN ZOTERO_ITEM CSL_CITATION {"citationID":"EqbegLOF","properties":{"formattedCitation":"[44\\uc0\\u8211{}47]","plainCitation":"[44–47]","noteIndex":0},"citationItems":[{"id":"fmCYmJCr/4hr3cXAM","uris":["http://zotero.org/users/local/QFmVNDJO/items/YA3S68N9"],"itemData":{"id":429,"type":"article-journal","container-title":"Cell Metabolism","DOI":"10.1016/j.cmet.2022.12.006","ISSN":"1550-4131","issue":"1","journalAbbreviation":"Cell Metabolism","language":"English","page":"150-165.e4","PMID":"36599299","publisher":"Elsevier","source":"www.cell.com","title":"Diurnal transcriptome landscape of a multi-tissue response to time-restricted feeding in mammals","volume":"35","author":[{"family":"Deota","given":"Shaunak"},{"family":"Lin","given":"Terry"},{"family":"Chaix","given":"Amandine"},{"family":"Williams","given":"April"},{"family":"Le","given":"Hiep"},{"family":"Calligaro","given":"Hugo"},{"family":"Ramasamy","given":"Ramesh"},{"family":"Huang","given":"Ling"},{"family":"Panda","given":"Satchidananda"}],"issued":{"date-parts":[["2023",1,3]]}}},{"id":"fmCYmJCr/aVcPh6rU","uris":["http://zotero.org/users/local/QFmVNDJO/items/LHALVYSE"],"itemData":{"id":432,"type":"article-journal","abstract":"The circadian clock and feeding rhythms are both important regulators of rhythmic gene expression in the liver. To further dissect the respective contributions of feeding and the clock, we analyzed differential rhythmicity of liver tissue samples across several conditions. We developed a statistical method tailored to compare rhythmic liver messenger RNA (mRNA) expression in mouse knockout models of multiple clock genes, as well as PARbZip output transcription factors (Hlf/Dbp/Tef). Mice were exposed to ad libitum or night-restricted feeding under regular light–dark cycles. During ad libitum feeding, genetic ablation of the core clock attenuated rhythmic-feeding patterns, which could be restored by the night-restricted feeding regimen. High-amplitude mRNA expression rhythms in wild-type livers were driven by the circadian clock, but rhythmic feeding also contributed to rhythmic gene expression, albeit with significantly lower amplitudes. We observed that Bmal1 and Cry1/2 knockouts differed in their residual rhythmic gene expression. Differences in mean expression levels between wild types and knockouts correlated with rhythmic gene expression in wild type. Surprisingly, in PARbZip knockout mice, the mean expression levels of PARbZip targets were more strongly impacted than their rhythms, potentially due to the rhythmic activity of the D-box–repressor NFIL3. Genes that lost rhythmicity in PARbZip knockouts were identified to be indirect targets. Our findings provide insights into the diurnal transcriptome in mouse liver as we identified the differential contributions of several core clock regulators. In addition, we gained more insights on the specific effects of the feeding–fasting cycle.","container-title":"Proceedings of the National Academy of Sciences","DOI":"10.1073/pnas.2015803118","issue":"3","page":"e2015803118","publisher":"Proceedings of the National Academy of Sciences","source":"pnas.org (Atypon)","title":"Systematic analysis of differential rhythmic liver gene expression mediated by the circadian clock and feeding rhythms","volume":"118","author":[{"family":"Weger","given":"Benjamin D."},{"family":"Gobet","given":"Cédric"},{"family":"David","given":"Fabrice P. A."},{"family":"Atger","given":"Florian"},{"family":"Martin","given":"Eva"},{"family":"Phillips","given":"Nicholas E."},{"family":"Charpagne","given":"Aline"},{"family":"Weger","given":"Meltem"},{"family":"Naef","given":"Felix"},{"family":"Gachon","given":"Frédéric"}],"issued":{"date-parts":[["2021",1,19]]}}},{"id":"fmCYmJCr/ntS3GNNS","uris":["http://zotero.org/users/local/QFmVNDJO/items/Q7W28RES"],"itemData":{"id":442,"type":"article-journal","abstract":"The mammalian circadian system consists of a central clock in the brain that synchronizes clocks in the peripheral tissues. Although the hierarchy between central and peripheral clocks is established, little is known regarding the specificity and functional organization of peripheral clocks. Here, we employ altered feeding paradigms in conjunction with liver-clock mutant mice to map disparities and interactions between peripheral rhythms. We find that peripheral clocks largely differ in their responses to feeding time. Disruption of the liver-clock, despite its prominent role in nutrient processing, does not affect the rhythmicity of clocks in other peripheral tissues. Yet, unexpectedly, liver-clock disruption strongly modulates the transcriptional rhythmicity of peripheral tissues, primarily on daytime feeding. Concomitantly, liver-clock mutant mice exhibit impaired glucose and lipid homeostasis, which are aggravated by daytime feeding. Overall, our findings suggest that, upon nutrient challenge, the liver-clock buffers the effect of feeding-related signals on rhythmicity of peripheral tissues, irrespective of their clocks.","container-title":"Nature Metabolism","DOI":"10.1038/s42255-021-00395-7","ISSN":"2522-5812","issue":"6","journalAbbreviation":"Nat Metab","language":"eng","page":"829-842","PMID":"34059820","PMCID":"PMC7611072","source":"PubMed","title":"The liver-clock coordinates rhythmicity of peripheral tissues in response to feeding","volume":"3","author":[{"family":"Manella","given":"Gal"},{"family":"Sabath","given":"Elizabeth"},{"family":"Aviram","given":"Rona"},{"family":"Dandavate","given":"Vaishnavi"},{"family":"Ezagouri","given":"Saar"},{"family":"Golik","given":"Marina"},{"family":"Adamovich","given":"Yaarit"},{"family":"Asher","given":"Gad"}],"issued":{"date-parts":[["2021",6]]}}},{"id":"fmCYmJCr/t1QHEBM8","uris":["http://zotero.org/users/local/QFmVNDJO/items/W5CNTJZA"],"itemData":{"id":437,"type":"article-journal","abstract":"In mammals, the circadian oscillator generates approximately 24-h rhythms in feeding behavior, even under constant environmental conditions. Livers of mice held under constant darkness exhibit circadian rhythm in abundance in up to 15% of expressed transcripts. Therefore, oscillations in hepatic transcripts could be driven by rhythmic food intake or sustained by the hepatic circadian oscillator, or a combination of both. To address this question, we used distinct feeding and fasting paradigms on wild-type (WT) and circadian clock-deficient mice. We monitored temporal patterns of feeding and hepatic transcription. Both food availability and the temporal pattern of feeding determined the repertoire, phase, and amplitude of the circadian transcriptome in WT liver. In the absence of feeding, only a small subset of transcripts continued to express circadian patterns. Conversely, temporally restricted feeding restored rhythmic transcription of hundreds of genes in oscillator-deficient mouse liver. Our findings show that both temporal pattern of food intake and the circadian clock drive rhythmic transcription, thereby highlighting temporal regulation of hepatic transcription as an emergent property of the circadian system.","container-title":"Proceedings of the National Academy of Sciences","DOI":"10.1073/pnas.0909591106","issue":"50","page":"21453-21458","publisher":"Proceedings of the National Academy of Sciences","source":"pnas.org (Atypon)","title":"Time of feeding and the intrinsic circadian clock drive rhythms in hepatic gene expression","volume":"106","author":[{"family":"Vollmers","given":"Christopher"},{"family":"Gill","given":"Shubhroz"},{"family":"DiTacchio","given":"Luciano"},{"family":"Pulivarthy","given":"Sandhya R."},{"family":"Le","given":"Hiep D."},{"family":"Panda","given":"Satchidananda"}],"issued":{"date-parts":[["2009",12,15]]}}}],"schema":"https://github.com/citation-style-language/schema/raw/master/csl-citation.json"} </w:instrText>
      </w:r>
      <w:r w:rsidR="00B31047">
        <w:fldChar w:fldCharType="separate"/>
      </w:r>
      <w:r w:rsidR="009B21A9" w:rsidRPr="009B21A9">
        <w:rPr>
          <w:rFonts w:ascii="Calibri" w:hAnsi="Calibri" w:cs="Calibri"/>
          <w:kern w:val="0"/>
        </w:rPr>
        <w:t>[44–47]</w:t>
      </w:r>
      <w:r w:rsidR="00B31047">
        <w:fldChar w:fldCharType="end"/>
      </w:r>
      <w:r w:rsidR="00B31047">
        <w:t xml:space="preserve">, </w:t>
      </w:r>
      <w:r w:rsidR="00B31047" w:rsidRPr="00B31047">
        <w:t>can fundamentally reprogram the diurnal transcriptome.</w:t>
      </w:r>
    </w:p>
    <w:p w14:paraId="5005FA4D" w14:textId="77777777" w:rsidR="008E0B81" w:rsidRDefault="00B31047" w:rsidP="004E2579">
      <w:pPr>
        <w:ind w:firstLine="720"/>
        <w:jc w:val="both"/>
      </w:pPr>
      <w:r w:rsidRPr="00B31047">
        <w:rPr>
          <w:i/>
          <w:iCs/>
        </w:rPr>
        <w:t>In vivo</w:t>
      </w:r>
      <w:r w:rsidRPr="00B31047">
        <w:t>, chondrocytes reside in a complex, three-dimensional matrix environment where they are simultaneously exposed to diurnal temperature fluctuations, cyclic biomechanical loading, and diffusion of nutrients and systemic hormonal cues</w:t>
      </w:r>
      <w:r w:rsidR="00344CD4">
        <w:t xml:space="preserve"> </w:t>
      </w:r>
      <w:r w:rsidR="00344CD4">
        <w:fldChar w:fldCharType="begin"/>
      </w:r>
      <w:r w:rsidR="009B21A9">
        <w:instrText xml:space="preserve"> ADDIN ZOTERO_ITEM CSL_CITATION {"citationID":"bTElITLL","properties":{"formattedCitation":"[48,49]","plainCitation":"[48,49]","noteIndex":0},"citationItems":[{"id":"fmCYmJCr/s8YBQHUo","uris":["http://zotero.org/users/local/QFmVNDJO/items/EB8J5NYU"],"itemData":{"id":562,"type":"article-journal","abstract":"Articular cartilage can withstand substantial compressive and shear forces within the joint and also reduces friction during motion. The exceptional mechanical properties of articular cartilage stem from its highly organized extracellular matrix (ECM). The ECM is composed mainly of collagen type II and is pivotal in conferring mechanical durability to the tissue within its proteoglycan-rich matrix. Articular cartilage is prone to injury and degeneration, and current treatments often fail to restore the mechanical function of this tissue. A key challenge is replicating the intricate collagen–proteoglycan network, which is essential for the long-lasting restoration and mechanical durability of the tissue. Understanding articular cartilage development, which arises between late embryonic and early juvenile development, is vital for the creation of durable therapeutic strategies. The development of the articular ECM involves the biosynthesis, fibrillogenesis and self-assembly of the collagen type II network, which, along with proteoglycans and minor ECM components, shapes the architecture of adult articular cartilage. A deeper understanding of these processes could inform biomaterial-based therapies aimed at improving therapeutic outcomes. Emerging biofabrication technologies offer new opportunities to integrate developmental principles into the creation of durable articular cartilage implants. Bridging fundamental biology with innovative engineering offers novel approaches to generating more-durable 3D implants for articular cartilage restoration.","container-title":"Nature Reviews Rheumatology","DOI":"10.1038/s41584-025-01236-7","ISSN":"1759-4804","issue":"5","journalAbbreviation":"Nat Rev Rheumatol","language":"en","license":"2025 Springer Nature Limited","page":"291-308","publisher":"Nature Publishing Group","source":"www.nature.com","title":"Restoring articular cartilage: insights from structure, composition and development","title-short":"Restoring articular cartilage","volume":"21","author":[{"family":"Pueyo Moliner","given":"Alba"},{"family":"Ito","given":"Keita"},{"family":"Zaucke","given":"Frank"},{"family":"Kelly","given":"Daniel J."},{"family":"Ruijter","given":"Mylène","non-dropping-particle":"de"},{"family":"Malda","given":"Jos"}],"issued":{"date-parts":[["2025",5]]}}},{"id":"fmCYmJCr/uDCUQOIS","uris":["http://zotero.org/users/local/QFmVNDJO/items/BY6TDEY6"],"itemData":{"id":564,"type":"article-journal","abstract":"Up to date, no information exists about the intra-articular temperature changes of the knee related to activity and ambient temperature.","container-title":"BMC Musculoskeletal Disorders","DOI":"10.1186/1471-2474-9-46","ISSN":"1471-2474","issue":"1","journalAbbreviation":"BMC Musculoskelet Disord","language":"en","page":"46","source":"Springer Link","title":"Intra-articular temperatures of the knee in sports – An in-vivo study of jogging and alpine skiing","volume":"9","author":[{"family":"Becher","given":"Christoph"},{"family":"Springer","given":"Jan"},{"family":"Feil","given":"Sven"},{"family":"Cerulli","given":"Guiliano"},{"family":"Paessler","given":"Hans H."}],"issued":{"date-parts":[["2008",4,11]]}}}],"schema":"https://github.com/citation-style-language/schema/raw/master/csl-citation.json"} </w:instrText>
      </w:r>
      <w:r w:rsidR="00344CD4">
        <w:fldChar w:fldCharType="separate"/>
      </w:r>
      <w:r w:rsidR="009B21A9" w:rsidRPr="009B21A9">
        <w:rPr>
          <w:rFonts w:ascii="Calibri" w:hAnsi="Calibri" w:cs="Calibri"/>
        </w:rPr>
        <w:t>[48,49]</w:t>
      </w:r>
      <w:r w:rsidR="00344CD4">
        <w:fldChar w:fldCharType="end"/>
      </w:r>
      <w:r w:rsidR="00344CD4">
        <w:t xml:space="preserve">. </w:t>
      </w:r>
      <w:r w:rsidR="007D600B" w:rsidRPr="007D600B">
        <w:t xml:space="preserve">Because primary cells, including chondrocytes, are known to alter their transcriptome and dedifferentiate during standard </w:t>
      </w:r>
      <w:r w:rsidR="007D600B" w:rsidRPr="007D600B">
        <w:rPr>
          <w:i/>
          <w:iCs/>
        </w:rPr>
        <w:t>in vitro</w:t>
      </w:r>
      <w:r w:rsidR="007D600B" w:rsidRPr="007D600B">
        <w:t xml:space="preserve"> culture</w:t>
      </w:r>
      <w:r w:rsidR="007D600B">
        <w:t xml:space="preserve"> </w:t>
      </w:r>
      <w:r w:rsidR="007D600B">
        <w:fldChar w:fldCharType="begin"/>
      </w:r>
      <w:r w:rsidR="009B21A9">
        <w:instrText xml:space="preserve"> ADDIN ZOTERO_ITEM CSL_CITATION {"citationID":"Zdvtuyeu","properties":{"formattedCitation":"[17,18]","plainCitation":"[17,18]","noteIndex":0},"citationItems":[{"id":"fmCYmJCr/uT15vAnH","uris":["http://zotero.org/users/local/QFmVNDJO/items/9VH33JYQ"],"itemData":{"id":518,"type":"article-journal","abstract":"Objective\nWhen primary chondrocytes are cultured in monolayer, they undergo dedifferentiation during which they lose their phenotype and their capacity to form cartilage. Dedifferentiation is an obstacle for cell therapy for cartilage degeneration. In this study, we aimed to systemically evaluate the changes in gene expression during dedifferentiation of human articular chondrocytes to identify underlying mechanisms.\nMethods\nRNA was isolated from monolayer-cultured primary human articular chondrocytes at serial passages. Gene expression was analyzed by microarray. Based on the microarray analysis, relevant genes and pathways were identified. Their functions in chondrocyte dedifferentiation were further investigated.\nResults\nIn vitro expanded human chondrocytes showed progressive changes in gene expression. Strikingly, an overall decrease in total gene expression was detected, which was both gradual and cumulative. DNA methylation was in part responsible for the expression downregulation of a number of genes. Genes involved in many pathways such as the extracellular-signal-regulated kinase (ERK) and Bone morphogenetic protein (BMP) pathways exhibited significant changes in expression. Inhibition of ERK pathway did not show dramatic effects in counteracting dedifferentiation process. BMP-2 was able to decelerate the dedifferentiation and reinforce the maintenance of chondrocyte phenotype in monolayer culture.\nConclusion\nOur study not only improves our knowledge of the intricate signaling network regulating maintenance of chondrocyte phenotype, but also contributes to improved chondrocyte expansion and chondrogenic performance for cell therapy.","container-title":"Osteoarthritis and Cartilage","DOI":"10.1016/j.joca.2013.01.014","ISSN":"1063-4584","issue":"4","journalAbbreviation":"Osteoarthritis and Cartilage","page":"599-603","source":"ScienceDirect","title":"Gene expression profiling of dedifferentiated human articular chondrocytes in monolayer culture","volume":"21","author":[{"family":"Ma","given":"B."},{"family":"Leijten","given":"J. C. H."},{"family":"Wu","given":"L."},{"family":"Kip","given":"M."},{"family":"Blitterswijk","given":"C. A.","non-dropping-particle":"van"},{"family":"Post","given":"J. N."},{"family":"Karperien","given":"M."}],"issued":{"date-parts":[["2013",4,1]]}}},{"id":"fmCYmJCr/7asGJBRi","uris":["http://zotero.org/users/local/QFmVNDJO/items/WNS2UB6K"],"itemData":{"id":523,"type":"article-journal","abstract":"Objective\nThree-dimensional (3D) cultures are widely used to redifferentiate chondrocytes. However, the rationale behind the choice for 3D above two-dimensional (2D) cultures is poorly systematically investigated and mainly based on mRNA expression and glycosaminoglycan (GAG) content. The objective was to determine the differential redifferentiation characteristics of human articular chondrocytes (HACs) in monolayer, alginate beads and pellet culture by investigating mRNA expression, protein expression, GAG content and cell proliferation.\nDesign\nDedifferentiated HACs from six individuals were redifferentiated in identical medium conditions for 7 days in monolayer, alginate beads or pellet culture. Read-out parameters were expression of chondrogenic and hypertrophic mRNAs and proteins, GAG content and cell proliferation.\nResults\n3D cultures specifically expressed chondrogenic mRNAs [collagen type II (COL2A1), SRY (sex determining region Y)-box 9 (SOX9), aggrecan (ACAN)), whereas 2D cultures did not. Hypertrophic mRNAs (collagen type X (COL10A1), runt-related transcription factor 2 (RUNX2), matrix metalloproteinase 13 (MMP13), vascular endothelial growth factor A (VEGFA), osteopontin (OPN), alkaline phosphatase (ALP)) were highly increased in 2D cultures and lower in 3D cultures. Collagen type I (COL1A1) mRNA expression was highest in 3D cultures. Protein expression supports most of the mRNA data, although an important discrepancy was found between mRNA and protein expression of COL2A1 and SOX9 in monolayer culture, stressing on the importance of protein expression analysis. GAG content was highest in 3D cultures, whereas chondrocyte proliferation was almost specific for 2D cultures.\nConclusions\nFor redifferentiation of dedifferentiated HACs, 3D cultures exhibit the most potent chondrogenic potential, whereas a hypertrophic phenotype is best achieved in 2D cultures. This is the first human study that systematically evaluates the differences between proliferation, GAG content, protein expression and mRNA expression of commonly used 2D and 3D chondrocyte culture techniques.","container-title":"Osteoarthritis and Cartilage","DOI":"10.1016/j.joca.2012.06.016","ISSN":"1063-4584","issue":"10","journalAbbreviation":"Osteoarthritis and Cartilage","page":"1170-1178","source":"ScienceDirect","title":"Redifferentiation of dedifferentiated human articular chondrocytes: comparison of 2D and 3D cultures","title-short":"Redifferentiation of dedifferentiated human articular chondrocytes","volume":"20","author":[{"family":"Caron","given":"M. M. J."},{"family":"Emans","given":"P. J."},{"family":"Coolsen","given":"M. M. E."},{"family":"Voss","given":"L."},{"family":"Surtel","given":"D. A. M."},{"family":"Cremers","given":"A."},{"family":"Rhijn","given":"L. W.","non-dropping-particle":"van"},{"family":"Welting","given":"T. J. M."}],"issued":{"date-parts":[["2012",10,1]]}}}],"schema":"https://github.com/citation-style-language/schema/raw/master/csl-citation.json"} </w:instrText>
      </w:r>
      <w:r w:rsidR="007D600B">
        <w:fldChar w:fldCharType="separate"/>
      </w:r>
      <w:r w:rsidR="007D600B" w:rsidRPr="007D600B">
        <w:rPr>
          <w:rFonts w:ascii="Calibri" w:hAnsi="Calibri" w:cs="Calibri"/>
        </w:rPr>
        <w:t>[17,18]</w:t>
      </w:r>
      <w:r w:rsidR="007D600B">
        <w:fldChar w:fldCharType="end"/>
      </w:r>
      <w:r w:rsidR="007D600B" w:rsidRPr="007D600B">
        <w:t xml:space="preserve">, one could argue that the poor overlap between the cultured chondrocyte datasets and </w:t>
      </w:r>
      <w:r w:rsidR="007D600B" w:rsidRPr="000B2F87">
        <w:rPr>
          <w:i/>
          <w:iCs/>
        </w:rPr>
        <w:t>in vivo</w:t>
      </w:r>
      <w:r w:rsidR="007D600B" w:rsidRPr="007D600B">
        <w:t xml:space="preserve"> cartilage is simply an artifact of this microenvironmental shift. However, if dedifferentiation were the sole cause, we would expect a high degree of concordance among the </w:t>
      </w:r>
      <w:r w:rsidR="007D600B" w:rsidRPr="000B2F87">
        <w:rPr>
          <w:i/>
          <w:iCs/>
        </w:rPr>
        <w:t>in vitro</w:t>
      </w:r>
      <w:r w:rsidR="007D600B" w:rsidRPr="007D600B">
        <w:t xml:space="preserve"> models. Instead, we observed that the rhythmic gene overlap between different </w:t>
      </w:r>
      <w:r w:rsidR="007D600B" w:rsidRPr="007D600B">
        <w:rPr>
          <w:i/>
          <w:iCs/>
        </w:rPr>
        <w:t>in vitro</w:t>
      </w:r>
      <w:r w:rsidR="007D600B" w:rsidRPr="007D600B">
        <w:t xml:space="preserve"> </w:t>
      </w:r>
      <w:r w:rsidR="00834B22">
        <w:t>synchronisation</w:t>
      </w:r>
      <w:r w:rsidR="007D600B" w:rsidRPr="007D600B">
        <w:t xml:space="preserve"> methods was just as poor as the overlap between any </w:t>
      </w:r>
      <w:r w:rsidR="007D600B" w:rsidRPr="007D600B">
        <w:rPr>
          <w:i/>
          <w:iCs/>
        </w:rPr>
        <w:t>in vitro</w:t>
      </w:r>
      <w:r w:rsidR="007D600B" w:rsidRPr="007D600B">
        <w:t xml:space="preserve"> method and </w:t>
      </w:r>
      <w:r w:rsidR="007D600B" w:rsidRPr="007D600B">
        <w:rPr>
          <w:i/>
          <w:iCs/>
        </w:rPr>
        <w:t>in vivo</w:t>
      </w:r>
      <w:r w:rsidR="007D600B" w:rsidRPr="007D600B">
        <w:t xml:space="preserve"> cartilage, yielding similarly low fold-enrichment values. </w:t>
      </w:r>
      <w:r w:rsidR="00265618">
        <w:t xml:space="preserve">Indeed, the chondrocyte datasets share less rhythmic genes </w:t>
      </w:r>
      <w:r w:rsidR="00D965F3">
        <w:t>with</w:t>
      </w:r>
      <w:r w:rsidR="00265618">
        <w:t xml:space="preserve"> each</w:t>
      </w:r>
      <w:r w:rsidR="00D965F3">
        <w:t xml:space="preserve"> </w:t>
      </w:r>
      <w:r w:rsidR="00265618">
        <w:t xml:space="preserve">other than </w:t>
      </w:r>
      <w:r w:rsidR="00A50C4D">
        <w:t>average</w:t>
      </w:r>
      <w:r w:rsidR="00D965F3">
        <w:t xml:space="preserve"> </w:t>
      </w:r>
      <w:r w:rsidR="00D965F3" w:rsidRPr="000B2F87">
        <w:rPr>
          <w:i/>
          <w:iCs/>
        </w:rPr>
        <w:t>in vivo</w:t>
      </w:r>
      <w:r w:rsidR="00D965F3">
        <w:t xml:space="preserve"> </w:t>
      </w:r>
      <w:r w:rsidR="00A50C4D">
        <w:t xml:space="preserve">vs </w:t>
      </w:r>
      <w:r w:rsidR="00A50C4D" w:rsidRPr="00A50C4D">
        <w:rPr>
          <w:i/>
          <w:iCs/>
        </w:rPr>
        <w:t>in vivo</w:t>
      </w:r>
      <w:r w:rsidR="00A50C4D">
        <w:t xml:space="preserve"> </w:t>
      </w:r>
      <w:r w:rsidR="00D965F3">
        <w:t xml:space="preserve">dataset </w:t>
      </w:r>
      <w:r w:rsidR="00A50C4D">
        <w:t xml:space="preserve">comparison </w:t>
      </w:r>
      <w:r w:rsidR="00D965F3">
        <w:t xml:space="preserve">available in the </w:t>
      </w:r>
      <w:proofErr w:type="spellStart"/>
      <w:r w:rsidR="00D965F3">
        <w:t>BodyClocks</w:t>
      </w:r>
      <w:proofErr w:type="spellEnd"/>
      <w:r w:rsidR="00D965F3">
        <w:t xml:space="preserve"> </w:t>
      </w:r>
      <w:r w:rsidR="00347DF9">
        <w:t>platform</w:t>
      </w:r>
      <w:r w:rsidR="00D965F3">
        <w:t>.</w:t>
      </w:r>
      <w:r w:rsidR="006113A5">
        <w:t xml:space="preserve"> However, a</w:t>
      </w:r>
      <w:r w:rsidR="006113A5" w:rsidRPr="006113A5">
        <w:t xml:space="preserve"> limitation of the comparison is that the osmotic-stress and in vivo cartilage datasets were generated in previous studies</w:t>
      </w:r>
      <w:r w:rsidR="006113A5">
        <w:t>,</w:t>
      </w:r>
      <w:r w:rsidR="006113A5" w:rsidRPr="006113A5">
        <w:t xml:space="preserve"> and </w:t>
      </w:r>
      <w:r w:rsidR="006113A5">
        <w:t>even though the same cell preparation and sampling protocols were used, may</w:t>
      </w:r>
      <w:r w:rsidR="006113A5" w:rsidRPr="006113A5">
        <w:t xml:space="preserve"> differ from the heat-shock and dexamethasone datasets. We minimised this by reprocessing datasets through a common pipeline.</w:t>
      </w:r>
      <w:r w:rsidR="00D965F3">
        <w:t xml:space="preserve"> </w:t>
      </w:r>
    </w:p>
    <w:p w14:paraId="3CE76C6E" w14:textId="10604999" w:rsidR="00344CD4" w:rsidRDefault="008E0B81" w:rsidP="004E2579">
      <w:pPr>
        <w:ind w:firstLine="720"/>
        <w:jc w:val="both"/>
      </w:pPr>
      <w:r>
        <w:t>W</w:t>
      </w:r>
      <w:r w:rsidR="007D600B" w:rsidRPr="007D600B">
        <w:t>e have previously shown that scheduled treadmill running can shift the cartilage clock nearly antiphase to the brain clock in mice, and that the induction of osteoarthritis alters the expression of circadian clock genes</w:t>
      </w:r>
      <w:r w:rsidR="00344CD4">
        <w:t xml:space="preserve"> </w:t>
      </w:r>
      <w:r w:rsidR="00344CD4">
        <w:fldChar w:fldCharType="begin"/>
      </w:r>
      <w:r w:rsidR="009B21A9">
        <w:instrText xml:space="preserve"> ADDIN ZOTERO_ITEM CSL_CITATION {"citationID":"zNtJZFf0","properties":{"formattedCitation":"[8,12]","plainCitation":"[8,12]","noteIndex":0},"citationItems":[{"id":"fmCYmJCr/79sW5Kr6","uris":["http://zotero.org/users/local/QFmVNDJO/items/XTNSUQ95"],"itemData":{"id":497,"type":"article-journal","abstract":"Objective To characterize the circadian clock in murine cartilage tissue and identify tissue-specific clock target genes, and to investigate whether the circadian clock changes during aging or during cartilage degeneration using an experimental mouse model of osteoarthritis (OA). Methods Cartilage explants were obtained from aged and young adult mice after transduction with the circadian clock fusion protein reporter PER2::luc, and real-time bioluminescence recordings were used to characterize the properties of the clock. Time-series microarrays were performed on mouse cartilage tissue to identify genes expressed in a circadian manner. Rhythmic genes were confirmed by quantitative reverse transcription–polymerase chain reaction using mouse tissue, primary chondrocytes, and a human chondrocyte cell line. Experimental OA was induced in mice by destabilization of the medial meniscus (DMM), and articular cartilage samples were microdissected and subjected to microarray analysis. Results Mouse cartilage tissue and a human chondrocyte cell line were found to contain intrinsic molecular circadian clocks. The cartilage clock could be reset by temperature signals, while the circadian period was temperature compensated. PER2::luc bioluminescence demonstrated that circadian oscillations were significantly lower in amplitude in cartilage from aged mice. Time-series microarray analyses of the mouse tissue identified the first circadian transcriptome in cartilage, revealing that 615 genes (</w:instrText>
      </w:r>
      <w:r w:rsidR="009B21A9">
        <w:rPr>
          <w:rFonts w:ascii="Cambria Math" w:hAnsi="Cambria Math" w:cs="Cambria Math"/>
        </w:rPr>
        <w:instrText>∼</w:instrText>
      </w:r>
      <w:r w:rsidR="009B21A9">
        <w:instrText xml:space="preserve">3.9% of the expressed genes) displayed a circadian pattern of expression. This included genes involved in cartilage homeostasis and survival, as well as genes with potential importance in the pathogenesis of OA. Several clock genes were disrupted in the early stages of cartilage degeneration in the DMM mouse model of OA. Conclusion These results reveal an autonomous circadian clock in chondrocytes that can be implicated in key aspects of cartilage biology and pathology. Consequently, circadian disruption (e.g., during aging) may compromise tissue homeostasis and increase susceptibility to joint damage or disease.","container-title":"Arthritis &amp; Rheumatism","DOI":"10.1002/art.38035","ISSN":"1529-0131","issue":"9","language":"en","license":"© 2013 The Authors. Arthritis &amp; Rheumatism is published by Wiley Periodicals, Inc. on behalf of the American College of Rheumatology.","note":"_eprint: https://acrjournals.onlinelibrary.wiley.com/doi/pdf/10.1002/art.38035","page":"2334-2345","source":"Wiley Online Library","title":"The Circadian Clock in Murine Chondrocytes Regulates Genes Controlling Key Aspects of Cartilage Homeostasis","volume":"65","author":[{"family":"Gossan","given":"Nicole"},{"family":"Zeef","given":"Leo"},{"family":"Hensman","given":"James"},{"family":"Hughes","given":"Alun"},{"family":"Bateman","given":"John F."},{"family":"Rowley","given":"Lynn"},{"family":"Little","given":"Christopher B."},{"family":"Piggins","given":"Hugh D."},{"family":"Rattray","given":"Magnus"},{"family":"Boot-Handford","given":"Raymond P."},{"family":"Meng","given":"Qing-Jun"}],"issued":{"date-parts":[["2013"]]}}},{"id":"fmCYmJCr/oA0Ras37","uris":["http://zotero.org/users/local/QFmVNDJO/items/NVJ3R6SZ"],"itemData":{"id":538,"type":"article-journal","abstract":"Daily rhythms in mammalian behaviour and physiology are generated by a multi-oscillator circadian system entrained through environmental cues (e.g. light and feeding). The presence of tissue niche-dependent physiological time cues has been proposed, allowing tissues the ability of circadian phase adjustment based on local signals. However, to date, such stimuli have remained elusive. Here we show that daily patterns of mechanical loading and associated osmotic challenge within physiological ranges reset circadian clock phase and amplitude in cartilage and intervertebral disc tissues in vivo and in tissue explant cultures. Hyperosmolarity (but not hypo-osmolarity) resets clocks in young and ageing skeletal tissues and induce genome-wide expression of rhythmic genes in cells. Mechanistically, RNAseq and biochemical analysis revealed the PLD2-mTORC2-AKT-GSK3β axis as a convergent pathway for both in vivo loading and hyperosmolarity-induced clock changes. These results reveal diurnal patterns of mechanical loading and consequent daily oscillations in osmolarity as a bona fide tissue niche-specific time cue to maintain skeletal circadian rhythms in sync.","container-title":"Nature Communications","DOI":"10.1038/s41467-023-42056-1","ISSN":"2041-1723","issue":"1","journalAbbreviation":"Nat Commun","language":"en","license":"2023 The Author(s)","page":"7237","publisher":"Nature Publishing Group","source":"www.nature.com","title":"Mechanical loading and hyperosmolarity as a daily resetting cue for skeletal circadian clocks","volume":"14","author":[{"family":"Dudek","given":"Michal"},{"family":"Pathiranage","given":"Dharshika R. J."},{"family":"Bano-Otalora","given":"Beatriz"},{"family":"Paszek","given":"Anna"},{"family":"Rogers","given":"Natalie"},{"family":"Gonçalves","given":"Cátia F."},{"family":"Lawless","given":"Craig"},{"family":"Wang","given":"Dong"},{"family":"Luo","given":"Zhuojing"},{"family":"Yang","given":"Liu"},{"family":"Guilak","given":"Farshid"},{"family":"Hoyland","given":"Judith A."},{"family":"Meng","given":"Qing-Jun"}],"issued":{"date-parts":[["2023",11,14]]}}}],"schema":"https://github.com/citation-style-language/schema/raw/master/csl-citation.json"} </w:instrText>
      </w:r>
      <w:r w:rsidR="00344CD4">
        <w:fldChar w:fldCharType="separate"/>
      </w:r>
      <w:r w:rsidR="00344CD4" w:rsidRPr="00344CD4">
        <w:rPr>
          <w:rFonts w:ascii="Calibri" w:hAnsi="Calibri" w:cs="Calibri"/>
        </w:rPr>
        <w:t>[8,12]</w:t>
      </w:r>
      <w:r w:rsidR="00344CD4">
        <w:fldChar w:fldCharType="end"/>
      </w:r>
      <w:r w:rsidR="00344CD4">
        <w:t xml:space="preserve">. </w:t>
      </w:r>
      <w:r w:rsidR="00344CD4" w:rsidRPr="00344CD4">
        <w:t xml:space="preserve">In this context, our present results suggest that the "tissue-specific" circadian genes observed </w:t>
      </w:r>
      <w:r w:rsidR="00344CD4" w:rsidRPr="000B2F87">
        <w:rPr>
          <w:i/>
          <w:iCs/>
        </w:rPr>
        <w:t>in vivo</w:t>
      </w:r>
      <w:r w:rsidR="00C5718E">
        <w:rPr>
          <w:i/>
          <w:iCs/>
        </w:rPr>
        <w:t xml:space="preserve">, </w:t>
      </w:r>
      <w:r w:rsidR="00C5718E">
        <w:t xml:space="preserve">similarly to the </w:t>
      </w:r>
      <w:r w:rsidR="00C5718E">
        <w:rPr>
          <w:i/>
          <w:iCs/>
        </w:rPr>
        <w:t>in vitro</w:t>
      </w:r>
      <w:r w:rsidR="00C5718E">
        <w:t xml:space="preserve"> results,</w:t>
      </w:r>
      <w:r w:rsidR="00344CD4" w:rsidRPr="00344CD4">
        <w:t xml:space="preserve"> </w:t>
      </w:r>
      <w:r w:rsidR="00C5718E">
        <w:t>may be</w:t>
      </w:r>
      <w:r w:rsidR="00C5718E" w:rsidRPr="00344CD4">
        <w:t xml:space="preserve"> </w:t>
      </w:r>
      <w:r w:rsidR="00344CD4" w:rsidRPr="00344CD4">
        <w:t xml:space="preserve">dynamically driven by the specific, complex cocktail of </w:t>
      </w:r>
      <w:r w:rsidR="004B0664">
        <w:t xml:space="preserve">time </w:t>
      </w:r>
      <w:r w:rsidR="00344CD4" w:rsidRPr="00344CD4">
        <w:t xml:space="preserve">cues that the tissue receives in its physiological niche, rather than a predetermined cell-specific program. Consequently, relying on a single synchronizing agent </w:t>
      </w:r>
      <w:r w:rsidR="00344CD4" w:rsidRPr="000B2F87">
        <w:rPr>
          <w:i/>
          <w:iCs/>
        </w:rPr>
        <w:t>in vitro</w:t>
      </w:r>
      <w:r w:rsidR="00344CD4" w:rsidRPr="00344CD4">
        <w:t xml:space="preserve"> fails to recapitulate the physiological temporal landscape of the tissue. This discrepancy suggests that the term "tissue-specific CCGs" </w:t>
      </w:r>
      <w:r w:rsidR="008B3426">
        <w:t>may be</w:t>
      </w:r>
      <w:r w:rsidR="00344CD4" w:rsidRPr="00344CD4">
        <w:t xml:space="preserve"> misleading</w:t>
      </w:r>
      <w:r w:rsidR="00F94FE5">
        <w:t xml:space="preserve"> and</w:t>
      </w:r>
      <w:r w:rsidR="00344CD4" w:rsidRPr="00344CD4">
        <w:t xml:space="preserve"> what researchers observe </w:t>
      </w:r>
      <w:r w:rsidR="008B3426">
        <w:t>could be</w:t>
      </w:r>
      <w:r w:rsidR="00344CD4" w:rsidRPr="00344CD4">
        <w:t xml:space="preserve"> more accurately </w:t>
      </w:r>
      <w:r w:rsidR="00344CD4" w:rsidRPr="00344CD4">
        <w:lastRenderedPageBreak/>
        <w:t>defined as a "</w:t>
      </w:r>
      <w:r w:rsidR="00DD6335">
        <w:t xml:space="preserve">tissue </w:t>
      </w:r>
      <w:r w:rsidR="00344CD4" w:rsidRPr="00344CD4">
        <w:t xml:space="preserve">niche-specific" or "stimulus-specific" rhythm. For example, the rhythmic transcriptome of a liver hepatocyte differs drastically from a joint chondrocyte not simply because their epigenetic lineages differ, but </w:t>
      </w:r>
      <w:r w:rsidR="00C5718E">
        <w:t xml:space="preserve">also </w:t>
      </w:r>
      <w:r w:rsidR="00344CD4" w:rsidRPr="00344CD4">
        <w:t xml:space="preserve">because the liver is primarily entrained by rhythmic postprandial nutrient fluxes and humoral glucocorticoid </w:t>
      </w:r>
      <w:r w:rsidR="00344CD4" w:rsidRPr="009E7E7E">
        <w:t>spikes</w:t>
      </w:r>
      <w:r w:rsidR="00344CD4">
        <w:t xml:space="preserve"> </w:t>
      </w:r>
      <w:r w:rsidR="00344CD4">
        <w:fldChar w:fldCharType="begin"/>
      </w:r>
      <w:r w:rsidR="009B21A9">
        <w:instrText xml:space="preserve"> ADDIN ZOTERO_ITEM CSL_CITATION {"citationID":"Eh8GKaqA","properties":{"formattedCitation":"[32,44,45,47,50]","plainCitation":"[32,44,45,47,50]","noteIndex":0},"citationItems":[{"id":"fmCYmJCr/2Iy4YKMn","uris":["http://zotero.org/users/local/QFmVNDJO/items/3M6RNKXE"],"itemData":{"id":546,"type":"article-journal","abstract":"Circadian clock genes are regulated by glucocorticoids; however, whether this regulation is a direct or secondary effect and the physiological consequences of this regulation were unknown. Here, we identified glucocorticoid response elements (GREs) at multiple clock genes and showed that 3 were directly regulated by the glucocorticoid receptor. We determined that a GRE within the core clock gene Per2 was continuously occupied during rhythmic expression and essential for glucocorticoid regulation of that gene in vivo. We further demonstrated that mice with a genomic deletion spanning this GRE expressed elevated leptin levels and were protected from glucose intolerance and insulin resistance on glucocorticoid treatment but not from muscle wasting. We conclude that Per2 is an integral component of a particular glucocorticoid regulatory pathway and that glucocorticoid regulation of the peripheral clock is selectively required for some actions of glucocorticoids.","container-title":"Proceedings of the National Academy of Sciences","DOI":"10.1073/pnas.0909733106","issue":"41","page":"17582-17587","publisher":"Proceedings of the National Academy of Sciences","source":"pnas.org (Atypon)","title":"Glucocorticoid regulation of the circadian clock modulates glucose homeostasis","volume":"106","author":[{"family":"So","given":"Alex Y.-L."},{"family":"Bernal","given":"Teresita U."},{"family":"Pillsbury","given":"Marlisa L."},{"family":"Yamamoto","given":"Keith R."},{"family":"Feldman","given":"Brian J."}],"issued":{"date-parts":[["2009",10,13]]}}},{"id":"fmCYmJCr/4hr3cXAM","uris":["http://zotero.org/users/local/QFmVNDJO/items/YA3S68N9"],"itemData":{"id":429,"type":"article-journal","container-title":"Cell Metabolism","DOI":"10.1016/j.cmet.2022.12.006","ISSN":"1550-4131","issue":"1","journalAbbreviation":"Cell Metabolism","language":"English","page":"150-165.e4","PMID":"36599299","publisher":"Elsevier","source":"www.cell.com","title":"Diurnal transcriptome landscape of a multi-tissue response to time-restricted feeding in mammals","volume":"35","author":[{"family":"Deota","given":"Shaunak"},{"family":"Lin","given":"Terry"},{"family":"Chaix","given":"Amandine"},{"family":"Williams","given":"April"},{"family":"Le","given":"Hiep"},{"family":"Calligaro","given":"Hugo"},{"family":"Ramasamy","given":"Ramesh"},{"family":"Huang","given":"Ling"},{"family":"Panda","given":"Satchidananda"}],"issued":{"date-parts":[["2023",1,3]]}}},{"id":"fmCYmJCr/aVcPh6rU","uris":["http://zotero.org/users/local/QFmVNDJO/items/LHALVYSE"],"itemData":{"id":432,"type":"article-journal","abstract":"The circadian clock and feeding rhythms are both important regulators of rhythmic gene expression in the liver. To further dissect the respective contributions of feeding and the clock, we analyzed differential rhythmicity of liver tissue samples across several conditions. We developed a statistical method tailored to compare rhythmic liver messenger RNA (mRNA) expression in mouse knockout models of multiple clock genes, as well as PARbZip output transcription factors (Hlf/Dbp/Tef). Mice were exposed to ad libitum or night-restricted feeding under regular light–dark cycles. During ad libitum feeding, genetic ablation of the core clock attenuated rhythmic-feeding patterns, which could be restored by the night-restricted feeding regimen. High-amplitude mRNA expression rhythms in wild-type livers were driven by the circadian clock, but rhythmic feeding also contributed to rhythmic gene expression, albeit with significantly lower amplitudes. We observed that Bmal1 and Cry1/2 knockouts differed in their residual rhythmic gene expression. Differences in mean expression levels between wild types and knockouts correlated with rhythmic gene expression in wild type. Surprisingly, in PARbZip knockout mice, the mean expression levels of PARbZip targets were more strongly impacted than their rhythms, potentially due to the rhythmic activity of the D-box–repressor NFIL3. Genes that lost rhythmicity in PARbZip knockouts were identified to be indirect targets. Our findings provide insights into the diurnal transcriptome in mouse liver as we identified the differential contributions of several core clock regulators. In addition, we gained more insights on the specific effects of the feeding–fasting cycle.","container-title":"Proceedings of the National Academy of Sciences","DOI":"10.1073/pnas.2015803118","issue":"3","page":"e2015803118","publisher":"Proceedings of the National Academy of Sciences","source":"pnas.org (Atypon)","title":"Systematic analysis of differential rhythmic liver gene expression mediated by the circadian clock and feeding rhythms","volume":"118","author":[{"family":"Weger","given":"Benjamin D."},{"family":"Gobet","given":"Cédric"},{"family":"David","given":"Fabrice P. A."},{"family":"Atger","given":"Florian"},{"family":"Martin","given":"Eva"},{"family":"Phillips","given":"Nicholas E."},{"family":"Charpagne","given":"Aline"},{"family":"Weger","given":"Meltem"},{"family":"Naef","given":"Felix"},{"family":"Gachon","given":"Frédéric"}],"issued":{"date-parts":[["2021",1,19]]}}},{"id":"fmCYmJCr/t1QHEBM8","uris":["http://zotero.org/users/local/QFmVNDJO/items/W5CNTJZA"],"itemData":{"id":437,"type":"article-journal","abstract":"In mammals, the circadian oscillator generates approximately 24-h rhythms in feeding behavior, even under constant environmental conditions. Livers of mice held under constant darkness exhibit circadian rhythm in abundance in up to 15% of expressed transcripts. Therefore, oscillations in hepatic transcripts could be driven by rhythmic food intake or sustained by the hepatic circadian oscillator, or a combination of both. To address this question, we used distinct feeding and fasting paradigms on wild-type (WT) and circadian clock-deficient mice. We monitored temporal patterns of feeding and hepatic transcription. Both food availability and the temporal pattern of feeding determined the repertoire, phase, and amplitude of the circadian transcriptome in WT liver. In the absence of feeding, only a small subset of transcripts continued to express circadian patterns. Conversely, temporally restricted feeding restored rhythmic transcription of hundreds of genes in oscillator-deficient mouse liver. Our findings show that both temporal pattern of food intake and the circadian clock drive rhythmic transcription, thereby highlighting temporal regulation of hepatic transcription as an emergent property of the circadian system.","container-title":"Proceedings of the National Academy of Sciences","DOI":"10.1073/pnas.0909591106","issue":"50","page":"21453-21458","publisher":"Proceedings of the National Academy of Sciences","source":"pnas.org (Atypon)","title":"Time of feeding and the intrinsic circadian clock drive rhythms in hepatic gene expression","volume":"106","author":[{"family":"Vollmers","given":"Christopher"},{"family":"Gill","given":"Shubhroz"},{"family":"DiTacchio","given":"Luciano"},{"family":"Pulivarthy","given":"Sandhya R."},{"family":"Le","given":"Hiep D."},{"family":"Panda","given":"Satchidananda"}],"issued":{"date-parts":[["2009",12,15]]}}},{"id":"fmCYmJCr/BXP7wNLG","uris":["http://zotero.org/users/local/QFmVNDJO/items/LU3UM5U3"],"itemData":{"id":566,"type":"article-journal","abstract":"The liver, a key metabolic organ, shows clear day-night variation in gene and protein expression, and in metabolic pathway activity. Liver cells possess molecular circadian clocks, but systemic factors are critical contributors to the circadian rhythmicity of liver gene expression. Glucocorticoid action is reported to be one such factor. Glucocorticoids are essential hormones, with strong circadian oscillations, which control multiple cellular processes via the glucocorticoid receptor (GR). We compare clock factor and GR binding at promoters and enhancers linked to rhythmic genes and find increased clock factor binding at those promoter elements where GR is also present. Genes with GR binding at the promoter are more highly expressed and more likely to be detected as rhythmic. We then test the role of GR directly, by profiling rhythmic gene expression in mice with/without hepatocyte-targeted GR deletion. Notably, we observe only a small effect of GR deletion, with most rhythmic genes showing unchanged rhythmicity, despite evidence for local GR binding. We find a small number of genes showing lost or gained rhythmicity with GR deletion; genes which lose rhythmicity associate with GR binding sites. Contrary to expectations, GR appears redundant for conveying timing information to most of the rhythmic liver transcriptome.","container-title":"npj Biological Timing and Sleep","DOI":"10.1038/s44323-025-00068-8","ISSN":"2948-281X","issue":"1","journalAbbreviation":"npj Biol Timing Sleep","language":"en","license":"2026 The Author(s)","page":"6","publisher":"Nature Publishing Group","source":"www.nature.com","title":"Glucocorticoid-dependence and independence of the circadian liver transcriptome","volume":"3","author":[{"family":"Maidstone","given":"Robert J."},{"family":"Hunter","given":"A. Louise"},{"family":"Iqbal","given":"Mudassar"},{"family":"Begley","given":"Nicola"},{"family":"Baxter","given":"Matthew"},{"family":"Loudon","given":"Andrew S. I."},{"family":"Rattray","given":"Magnus"},{"family":"Ray","given":"David W."}],"issued":{"date-parts":[["2026",2,2]]}}}],"schema":"https://github.com/citation-style-language/schema/raw/master/csl-citation.json"} </w:instrText>
      </w:r>
      <w:r w:rsidR="00344CD4">
        <w:fldChar w:fldCharType="separate"/>
      </w:r>
      <w:r w:rsidR="009B21A9" w:rsidRPr="009B21A9">
        <w:rPr>
          <w:rFonts w:ascii="Calibri" w:hAnsi="Calibri" w:cs="Calibri"/>
        </w:rPr>
        <w:t>[32,44,45,47,50]</w:t>
      </w:r>
      <w:r w:rsidR="00344CD4">
        <w:fldChar w:fldCharType="end"/>
      </w:r>
      <w:r w:rsidR="00344CD4">
        <w:t xml:space="preserve"> </w:t>
      </w:r>
      <w:r w:rsidR="00344CD4" w:rsidRPr="009E7E7E">
        <w:t>whereas the articular cartilage is primarily entrained by the rhythmic biomechanical loading and osmotic shifts associated with the daily rest-activity cycle</w:t>
      </w:r>
      <w:r w:rsidR="00344CD4">
        <w:t xml:space="preserve"> </w:t>
      </w:r>
      <w:r w:rsidR="00344CD4">
        <w:fldChar w:fldCharType="begin"/>
      </w:r>
      <w:r w:rsidR="009B21A9">
        <w:instrText xml:space="preserve"> ADDIN ZOTERO_ITEM CSL_CITATION {"citationID":"Bt9CmPDB","properties":{"formattedCitation":"[12]","plainCitation":"[12]","noteIndex":0},"citationItems":[{"id":"fmCYmJCr/oA0Ras37","uris":["http://zotero.org/users/local/QFmVNDJO/items/NVJ3R6SZ"],"itemData":{"id":538,"type":"article-journal","abstract":"Daily rhythms in mammalian behaviour and physiology are generated by a multi-oscillator circadian system entrained through environmental cues (e.g. light and feeding). The presence of tissue niche-dependent physiological time cues has been proposed, allowing tissues the ability of circadian phase adjustment based on local signals. However, to date, such stimuli have remained elusive. Here we show that daily patterns of mechanical loading and associated osmotic challenge within physiological ranges reset circadian clock phase and amplitude in cartilage and intervertebral disc tissues in vivo and in tissue explant cultures. Hyperosmolarity (but not hypo-osmolarity) resets clocks in young and ageing skeletal tissues and induce genome-wide expression of rhythmic genes in cells. Mechanistically, RNAseq and biochemical analysis revealed the PLD2-mTORC2-AKT-GSK3β axis as a convergent pathway for both in vivo loading and hyperosmolarity-induced clock changes. These results reveal diurnal patterns of mechanical loading and consequent daily oscillations in osmolarity as a bona fide tissue niche-specific time cue to maintain skeletal circadian rhythms in sync.","container-title":"Nature Communications","DOI":"10.1038/s41467-023-42056-1","ISSN":"2041-1723","issue":"1","journalAbbreviation":"Nat Commun","language":"en","license":"2023 The Author(s)","page":"7237","publisher":"Nature Publishing Group","source":"www.nature.com","title":"Mechanical loading and hyperosmolarity as a daily resetting cue for skeletal circadian clocks","volume":"14","author":[{"family":"Dudek","given":"Michal"},{"family":"Pathiranage","given":"Dharshika R. J."},{"family":"Bano-Otalora","given":"Beatriz"},{"family":"Paszek","given":"Anna"},{"family":"Rogers","given":"Natalie"},{"family":"Gonçalves","given":"Cátia F."},{"family":"Lawless","given":"Craig"},{"family":"Wang","given":"Dong"},{"family":"Luo","given":"Zhuojing"},{"family":"Yang","given":"Liu"},{"family":"Guilak","given":"Farshid"},{"family":"Hoyland","given":"Judith A."},{"family":"Meng","given":"Qing-Jun"}],"issued":{"date-parts":[["2023",11,14]]}}}],"schema":"https://github.com/citation-style-language/schema/raw/master/csl-citation.json"} </w:instrText>
      </w:r>
      <w:r w:rsidR="00344CD4">
        <w:fldChar w:fldCharType="separate"/>
      </w:r>
      <w:r w:rsidR="00344CD4" w:rsidRPr="009A20AC">
        <w:rPr>
          <w:rFonts w:ascii="Calibri" w:hAnsi="Calibri" w:cs="Calibri"/>
        </w:rPr>
        <w:t>[12]</w:t>
      </w:r>
      <w:r w:rsidR="00344CD4">
        <w:fldChar w:fldCharType="end"/>
      </w:r>
      <w:r w:rsidR="00344CD4">
        <w:t>.</w:t>
      </w:r>
    </w:p>
    <w:p w14:paraId="6FC1B18F" w14:textId="60EBE45E" w:rsidR="00344CD4" w:rsidRPr="00344CD4" w:rsidRDefault="00155C29" w:rsidP="00A32B5A">
      <w:pPr>
        <w:ind w:firstLine="720"/>
        <w:jc w:val="both"/>
      </w:pPr>
      <w:r w:rsidRPr="00155C29">
        <w:t xml:space="preserve">Given the highly contextual nature of circadian transcriptomes demonstrated here, our findings also highlight a limitation of interpreting circadian datasets through individual genes alone. Existing resources such as </w:t>
      </w:r>
      <w:proofErr w:type="spellStart"/>
      <w:r w:rsidRPr="00155C29">
        <w:t>CircaDB</w:t>
      </w:r>
      <w:proofErr w:type="spellEnd"/>
      <w:r w:rsidR="0070140A">
        <w:t xml:space="preserve"> </w:t>
      </w:r>
      <w:r w:rsidR="0070140A">
        <w:fldChar w:fldCharType="begin"/>
      </w:r>
      <w:r w:rsidR="009B21A9">
        <w:instrText xml:space="preserve"> ADDIN ZOTERO_ITEM CSL_CITATION {"citationID":"3HNb1L8h","properties":{"formattedCitation":"[51]","plainCitation":"[51]","noteIndex":0},"citationItems":[{"id":"fmCYmJCr/3RbidJW8","uris":["http://zotero.org/users/local/QFmVNDJO/items/23JETDF6"],"itemData":{"id":604,"type":"article-journal","abstract":"CircaDB (http://circadb.org) is a new database of circadian transcriptional profiles from time course expression experiments from mice and humans. Each transcript’s expression was evaluated by three separate algorithms, JTK_Cycle, Lomb Scargle and DeLichtenberg. Users can query the gene annotations using simple and powerful full text search terms, restrict results to specific data sets and provide probability thresholds for each algorithm. Visualizations of the data are intuitive charts that convey profile information more effectively than a table of probabilities. The CircaDB web application is open source and available at http://github.com/itmat/circadb.","container-title":"Nucleic Acids Research","DOI":"10.1093/nar/gks1161","ISSN":"0305-1048","issue":"Database issue","journalAbbreviation":"Nucleic Acids Res","page":"D1009-D1013","PMID":"23180795","PMCID":"PMC3531170","source":"PubMed Central","title":"CircaDB: a database of mammalian circadian gene expression profiles","title-short":"CircaDB","volume":"41","author":[{"family":"Pizarro","given":"Angel"},{"family":"Hayer","given":"Katharina"},{"family":"Lahens","given":"Nicholas F."},{"family":"Hogenesch","given":"John B."}],"issued":{"date-parts":[["2013",1]]}}}],"schema":"https://github.com/citation-style-language/schema/raw/master/csl-citation.json"} </w:instrText>
      </w:r>
      <w:r w:rsidR="0070140A">
        <w:fldChar w:fldCharType="separate"/>
      </w:r>
      <w:r w:rsidR="009B21A9" w:rsidRPr="009B21A9">
        <w:rPr>
          <w:rFonts w:ascii="Calibri" w:hAnsi="Calibri" w:cs="Calibri"/>
        </w:rPr>
        <w:t>[51]</w:t>
      </w:r>
      <w:r w:rsidR="0070140A">
        <w:fldChar w:fldCharType="end"/>
      </w:r>
      <w:r w:rsidRPr="00155C29">
        <w:t xml:space="preserve"> and </w:t>
      </w:r>
      <w:proofErr w:type="spellStart"/>
      <w:r w:rsidRPr="00155C29">
        <w:t>CircaKB</w:t>
      </w:r>
      <w:proofErr w:type="spellEnd"/>
      <w:r w:rsidRPr="00155C29">
        <w:t xml:space="preserve"> </w:t>
      </w:r>
      <w:r w:rsidR="0070140A">
        <w:fldChar w:fldCharType="begin"/>
      </w:r>
      <w:r w:rsidR="009B21A9">
        <w:instrText xml:space="preserve"> ADDIN ZOTERO_ITEM CSL_CITATION {"citationID":"qpGXmJkg","properties":{"formattedCitation":"[52]","plainCitation":"[52]","noteIndex":0},"citationItems":[{"id":"fmCYmJCr/uZofmsR2","uris":["http://zotero.org/users/local/QFmVNDJO/items/KYCEUVMW"],"itemData":{"id":607,"type":"article-journal","abstract":"Circadian rhythms, which are the natural cycles that dictate various physiological processes over a 24-h period, have been increasingly recognized as important in the management and treatment of various human diseases. However, the lack of sufficient data and reliable analysis methods have been a major obstacle to understanding the bidirectional interaction between circadian variation and human health. We have developed CircaKB, a comprehensive knowledgebase of circadian genes across multiple species. CircaKB is the first knowledgebase that provides systematic annotations of the oscillatory patterns of gene expression at a genome-wide level for 15 representative species. Currently, CircaKB contains 226 time-course transcriptome datasets, covering a wide variety of tissues, organs, and cell lines. In addition, CircaKB integrates 12 computational models to facilitate reliable data analysis and identify oscillatory patterns and their variations in gene expression. CircaKB also offers powerful functionalities to its users, including easy search, fast browsing, strong visualization, and custom upload. We believe that CircaKB will be a valuable tool and resource for the circadian research community, contributing to the identification of new targets for disease prevention and treatment. We have made CircaKB freely accessible at https://cdsic.njau.edu.cn/CircaKB.","container-title":"Nucleic Acids Research","DOI":"10.1093/nar/gkae817","ISSN":"1362-4962","issue":"D1","journalAbbreviation":"Nucleic Acids Res","page":"D67-D78","source":"Silverchair","title":"CircaKB: a comprehensive knowledgebase of circadian genes across multiple species","title-short":"CircaKB","volume":"53","author":[{"family":"Zhu","given":"Xingchen"},{"family":"Han","given":"Xiao"},{"family":"Li","given":"Zhijin"},{"family":"Zhou","given":"Xiaobo"},{"family":"Yoo","given":"Seung-Hee"},{"family":"Chen","given":"Zheng"},{"family":"Ji","given":"Zhiwei"}],"issued":{"date-parts":[["2025",1,6]]}}}],"schema":"https://github.com/citation-style-language/schema/raw/master/csl-citation.json"} </w:instrText>
      </w:r>
      <w:r w:rsidR="0070140A">
        <w:fldChar w:fldCharType="separate"/>
      </w:r>
      <w:r w:rsidR="009B21A9" w:rsidRPr="009B21A9">
        <w:rPr>
          <w:rFonts w:ascii="Calibri" w:hAnsi="Calibri" w:cs="Calibri"/>
        </w:rPr>
        <w:t>[52]</w:t>
      </w:r>
      <w:r w:rsidR="0070140A">
        <w:fldChar w:fldCharType="end"/>
      </w:r>
      <w:r w:rsidR="0070140A">
        <w:t xml:space="preserve"> </w:t>
      </w:r>
      <w:r w:rsidRPr="00155C29">
        <w:t xml:space="preserve">are valuable for asking </w:t>
      </w:r>
      <w:r w:rsidR="00901DC1">
        <w:t>which</w:t>
      </w:r>
      <w:r w:rsidRPr="00155C29">
        <w:t xml:space="preserve"> gene of interest is rhythmic in </w:t>
      </w:r>
      <w:r w:rsidR="00901DC1">
        <w:t>which</w:t>
      </w:r>
      <w:r w:rsidRPr="00155C29">
        <w:t xml:space="preserve"> tissue, condition, or species. However, the present analysis shows that this type of gene-centric query provides only limited insight into the physiological meaning of a rhythmic transcriptome. Pairwise overlap between rhythmic gene lists can be low, and even statistically significant overlap may be only modestly greater than expected by chance. Conversely, a biologically relevant process may be rhythmically organised even when individual </w:t>
      </w:r>
      <w:r w:rsidR="00BF6681">
        <w:t>contributing</w:t>
      </w:r>
      <w:r w:rsidRPr="00155C29">
        <w:t xml:space="preserve"> genes differ between datasets. Therefore, understanding circadian output requires tools that ask not only whether specific genes are rhythmic, but whether rhythmic genes converge on coherent pathways, protein interaction networks, and coordinated phase relationships.</w:t>
      </w:r>
      <w:r w:rsidR="00901DC1">
        <w:t xml:space="preserve"> </w:t>
      </w:r>
      <w:proofErr w:type="spellStart"/>
      <w:r w:rsidRPr="00155C29">
        <w:t>BodyClocks</w:t>
      </w:r>
      <w:proofErr w:type="spellEnd"/>
      <w:r w:rsidRPr="00155C29">
        <w:t xml:space="preserve"> was developed to address this need by extending circadian transcriptome exploration from single-gene lookup to pathway, network, and dataset</w:t>
      </w:r>
      <w:r>
        <w:t xml:space="preserve"> </w:t>
      </w:r>
      <w:r w:rsidRPr="00155C29">
        <w:t xml:space="preserve">level interpretation. In the context of this study, it provides a way to examine whether zeitgeber-specific rhythmic gene lists reflect shared or divergent biological programmes. More broadly, by making the same comparative framework available across public circadian datasets, </w:t>
      </w:r>
      <w:proofErr w:type="spellStart"/>
      <w:r w:rsidRPr="00155C29">
        <w:t>BodyClocks</w:t>
      </w:r>
      <w:proofErr w:type="spellEnd"/>
      <w:r w:rsidRPr="00155C29">
        <w:t xml:space="preserve"> enables users to evaluate how rhythmic transcriptomes differ between tissues, experimental conditions, and synchronisation contexts.</w:t>
      </w:r>
    </w:p>
    <w:p w14:paraId="74C59CCD" w14:textId="4477DDC5" w:rsidR="00344CD4" w:rsidRPr="00344CD4" w:rsidRDefault="00344CD4" w:rsidP="004E2579">
      <w:pPr>
        <w:ind w:firstLine="720"/>
        <w:jc w:val="both"/>
      </w:pPr>
      <w:r w:rsidRPr="00344CD4">
        <w:t xml:space="preserve">While </w:t>
      </w:r>
      <w:r w:rsidRPr="000B2F87">
        <w:rPr>
          <w:i/>
          <w:iCs/>
        </w:rPr>
        <w:t>in vitro</w:t>
      </w:r>
      <w:r w:rsidRPr="00344CD4">
        <w:t xml:space="preserve"> models remain invaluable for dissecting the </w:t>
      </w:r>
      <w:r w:rsidR="007D7FF0">
        <w:t>design principles</w:t>
      </w:r>
      <w:r w:rsidR="007D7FF0" w:rsidRPr="00344CD4">
        <w:t xml:space="preserve"> </w:t>
      </w:r>
      <w:r w:rsidRPr="00344CD4">
        <w:t xml:space="preserve">and molecular genetics of the core clock machinery, </w:t>
      </w:r>
      <w:r w:rsidR="002074B7" w:rsidRPr="002074B7">
        <w:t>our data indicate that single-cue in vitro synchronisation models should be used cautiously when inferring native tissue-level circadian outputs or prioritising downstream CCGs for physiological follow-up.</w:t>
      </w:r>
      <w:r w:rsidRPr="00344CD4">
        <w:t xml:space="preserve"> Future chronobiology research </w:t>
      </w:r>
      <w:r w:rsidR="00A37F9A">
        <w:t>should</w:t>
      </w:r>
      <w:r w:rsidR="00A37F9A" w:rsidRPr="00344CD4">
        <w:t xml:space="preserve"> </w:t>
      </w:r>
      <w:r w:rsidRPr="00344CD4">
        <w:t xml:space="preserve">account for the specific </w:t>
      </w:r>
      <w:r w:rsidR="007D7FF0">
        <w:t>clock resetting</w:t>
      </w:r>
      <w:r w:rsidR="00A94C4D">
        <w:t xml:space="preserve"> cues and</w:t>
      </w:r>
      <w:r w:rsidR="007D7FF0" w:rsidRPr="00344CD4">
        <w:t xml:space="preserve"> </w:t>
      </w:r>
      <w:r w:rsidR="00386C84">
        <w:t xml:space="preserve">local </w:t>
      </w:r>
      <w:r w:rsidRPr="00344CD4">
        <w:t>microenvironment</w:t>
      </w:r>
      <w:r w:rsidR="00A94C4D">
        <w:t>al niche</w:t>
      </w:r>
      <w:r w:rsidRPr="00344CD4">
        <w:t xml:space="preserve">, and analytical platforms </w:t>
      </w:r>
      <w:r w:rsidR="0026347F">
        <w:t>such as the</w:t>
      </w:r>
      <w:r w:rsidR="0026347F" w:rsidRPr="00344CD4">
        <w:t xml:space="preserve"> </w:t>
      </w:r>
      <w:proofErr w:type="spellStart"/>
      <w:r w:rsidRPr="00344CD4">
        <w:t>BodyClocks</w:t>
      </w:r>
      <w:proofErr w:type="spellEnd"/>
      <w:r w:rsidRPr="00344CD4">
        <w:t xml:space="preserve"> </w:t>
      </w:r>
      <w:r w:rsidR="00A37F9A">
        <w:t>could</w:t>
      </w:r>
      <w:r w:rsidR="00A37F9A" w:rsidRPr="00344CD4">
        <w:t xml:space="preserve"> </w:t>
      </w:r>
      <w:r w:rsidR="0026347F">
        <w:t>help</w:t>
      </w:r>
      <w:r w:rsidRPr="00344CD4">
        <w:t xml:space="preserve"> </w:t>
      </w:r>
      <w:r w:rsidR="0026347F">
        <w:t>disentangle</w:t>
      </w:r>
      <w:r w:rsidR="0026347F" w:rsidRPr="00344CD4">
        <w:t xml:space="preserve"> </w:t>
      </w:r>
      <w:r w:rsidRPr="00344CD4">
        <w:t>the complex network of stimulus-specific circadian outputs.</w:t>
      </w:r>
    </w:p>
    <w:p w14:paraId="1A5BC88D" w14:textId="77777777" w:rsidR="00344CD4" w:rsidRPr="00344CD4" w:rsidRDefault="00344CD4" w:rsidP="004E2579">
      <w:pPr>
        <w:ind w:firstLine="720"/>
        <w:jc w:val="both"/>
      </w:pPr>
    </w:p>
    <w:p w14:paraId="75F936AE" w14:textId="77777777" w:rsidR="001D5C63" w:rsidRPr="001D5C63" w:rsidRDefault="001D5C63" w:rsidP="001D5C63">
      <w:pPr>
        <w:spacing w:line="360" w:lineRule="auto"/>
        <w:rPr>
          <w:rFonts w:cstheme="minorHAnsi"/>
          <w:b/>
          <w:bCs/>
        </w:rPr>
      </w:pPr>
      <w:r w:rsidRPr="001D5C63">
        <w:rPr>
          <w:rFonts w:cstheme="minorHAnsi"/>
          <w:b/>
          <w:bCs/>
        </w:rPr>
        <w:t>ACKNOWLEDGEMENTS</w:t>
      </w:r>
    </w:p>
    <w:p w14:paraId="409D0BDA" w14:textId="2E9F831A" w:rsidR="004A42B0" w:rsidRDefault="001D5C63" w:rsidP="00F15183">
      <w:pPr>
        <w:jc w:val="both"/>
      </w:pPr>
      <w:r>
        <w:t xml:space="preserve">We would like to thank the </w:t>
      </w:r>
      <w:r w:rsidRPr="001D5C63">
        <w:t>Genomic Technologies Core Facility</w:t>
      </w:r>
      <w:r>
        <w:t xml:space="preserve"> at the University of Manchester for their help with RNA sequencing, initial processing and archiving of the chondrocyte datasets. We would also like to thank Dr Steven M. Richardson, University of Manchester for critical reading of the manuscript.</w:t>
      </w:r>
      <w:r w:rsidR="00AA6161">
        <w:t xml:space="preserve"> </w:t>
      </w:r>
    </w:p>
    <w:p w14:paraId="20A2DF67" w14:textId="77777777" w:rsidR="000E6E6B" w:rsidRDefault="000E6E6B" w:rsidP="00F15183">
      <w:pPr>
        <w:jc w:val="both"/>
      </w:pPr>
    </w:p>
    <w:p w14:paraId="78539D1B" w14:textId="7E04CB89" w:rsidR="00F13AA3" w:rsidRPr="001D5C63" w:rsidRDefault="001D5C63" w:rsidP="00666C85">
      <w:pPr>
        <w:rPr>
          <w:b/>
          <w:bCs/>
        </w:rPr>
      </w:pPr>
      <w:r w:rsidRPr="001D5C63">
        <w:rPr>
          <w:b/>
          <w:bCs/>
        </w:rPr>
        <w:t>AUTHOR CONTRIBUTIONS</w:t>
      </w:r>
    </w:p>
    <w:p w14:paraId="723E1AFA" w14:textId="0B3BD661" w:rsidR="00AA6161" w:rsidRDefault="001D5C63" w:rsidP="00AA6161">
      <w:pPr>
        <w:jc w:val="both"/>
      </w:pPr>
      <w:r w:rsidRPr="001D5C63">
        <w:t>Michal Dudek</w:t>
      </w:r>
      <w:r>
        <w:t xml:space="preserve">: Conceptualisation, </w:t>
      </w:r>
      <w:r w:rsidR="00AA6161">
        <w:t xml:space="preserve">Data Curation, Formal Analysis, Investigation, Methodology, Software, Supervision, Validation, Visualisation, Writing. </w:t>
      </w:r>
      <w:r w:rsidR="00AA6161" w:rsidRPr="009734AB">
        <w:rPr>
          <w:rFonts w:eastAsia="Calibri" w:cstheme="minorHAnsi"/>
          <w:color w:val="000000" w:themeColor="text1"/>
        </w:rPr>
        <w:t>Cátia F. Gonçalves</w:t>
      </w:r>
      <w:r w:rsidR="00AA6161">
        <w:rPr>
          <w:rFonts w:eastAsia="Calibri" w:cstheme="minorHAnsi"/>
          <w:color w:val="000000" w:themeColor="text1"/>
        </w:rPr>
        <w:t xml:space="preserve">: Investigation, Resources. </w:t>
      </w:r>
      <w:r w:rsidR="00AA6161" w:rsidRPr="009734AB">
        <w:t>Judith A. Hoyland</w:t>
      </w:r>
      <w:r w:rsidR="00AA6161">
        <w:t>: Conceptualisation, Funding Acquisition, Project Administration, Supervision, Writing. Qing-Jun Meng:</w:t>
      </w:r>
      <w:r w:rsidR="00AA6161" w:rsidRPr="00AA6161">
        <w:t xml:space="preserve"> </w:t>
      </w:r>
      <w:r w:rsidR="00AA6161">
        <w:t>Conceptualisation, Funding Acquisition, Project Administration, Supervision, Writing</w:t>
      </w:r>
      <w:r w:rsidR="00137EE9">
        <w:t>.</w:t>
      </w:r>
    </w:p>
    <w:p w14:paraId="32648682" w14:textId="539DD4F1" w:rsidR="001B33A9" w:rsidRDefault="001B33A9" w:rsidP="00666C85"/>
    <w:p w14:paraId="69912A29" w14:textId="0AF5F726" w:rsidR="00137EE9" w:rsidRDefault="00137EE9" w:rsidP="00666C85">
      <w:pPr>
        <w:rPr>
          <w:b/>
          <w:bCs/>
        </w:rPr>
      </w:pPr>
      <w:r w:rsidRPr="00137EE9">
        <w:rPr>
          <w:b/>
          <w:bCs/>
        </w:rPr>
        <w:t>SUPPLEMENTARY DATA</w:t>
      </w:r>
    </w:p>
    <w:p w14:paraId="7B00DE7C" w14:textId="64F63BDA" w:rsidR="00137EE9" w:rsidRPr="00137EE9" w:rsidRDefault="00137EE9" w:rsidP="00666C85">
      <w:pPr>
        <w:rPr>
          <w:rFonts w:cstheme="minorHAnsi"/>
        </w:rPr>
      </w:pPr>
      <w:r w:rsidRPr="00137EE9">
        <w:rPr>
          <w:rFonts w:cstheme="minorHAnsi"/>
        </w:rPr>
        <w:t>Supplementary Data are available at NAR online.</w:t>
      </w:r>
    </w:p>
    <w:p w14:paraId="12ABF65E" w14:textId="633FA75B" w:rsidR="001B33A9" w:rsidRPr="000B2F87" w:rsidRDefault="001B33A9" w:rsidP="001B33A9">
      <w:r>
        <w:rPr>
          <w:b/>
          <w:bCs/>
        </w:rPr>
        <w:t>Supplementary Table 1. Statistical analysis of clock relative phase coherence of 64 rhythmic genes common to the 3 chondrocyte datasets.</w:t>
      </w:r>
      <w:r w:rsidR="00D97012">
        <w:rPr>
          <w:b/>
          <w:bCs/>
        </w:rPr>
        <w:t xml:space="preserve"> </w:t>
      </w:r>
      <w:r w:rsidR="00D97012" w:rsidRPr="000B2F87">
        <w:t>Columns</w:t>
      </w:r>
      <w:r w:rsidR="00D97012">
        <w:rPr>
          <w:b/>
          <w:bCs/>
        </w:rPr>
        <w:t xml:space="preserve">: </w:t>
      </w:r>
      <w:r w:rsidR="00D97012" w:rsidRPr="00D97012">
        <w:t>G</w:t>
      </w:r>
      <w:r w:rsidR="00D97012" w:rsidRPr="000B2F87">
        <w:t>ene</w:t>
      </w:r>
      <w:r w:rsidR="00D97012">
        <w:t xml:space="preserve"> – gene name, </w:t>
      </w:r>
      <w:proofErr w:type="spellStart"/>
      <w:r w:rsidR="00D97012" w:rsidRPr="000B2F87">
        <w:t>mean_crp</w:t>
      </w:r>
      <w:proofErr w:type="spellEnd"/>
      <w:r w:rsidR="00D97012">
        <w:t xml:space="preserve"> – mean clock relative phase, </w:t>
      </w:r>
      <w:r w:rsidR="00D97012" w:rsidRPr="000B2F87">
        <w:tab/>
      </w:r>
      <w:proofErr w:type="spellStart"/>
      <w:r w:rsidR="00D97012" w:rsidRPr="000B2F87">
        <w:t>sd_crp</w:t>
      </w:r>
      <w:proofErr w:type="spellEnd"/>
      <w:r w:rsidR="00D97012">
        <w:t xml:space="preserve"> – standard deviation of CRP, </w:t>
      </w:r>
      <w:proofErr w:type="spellStart"/>
      <w:r w:rsidR="00D97012" w:rsidRPr="000B2F87">
        <w:t>range_crp</w:t>
      </w:r>
      <w:proofErr w:type="spellEnd"/>
      <w:r w:rsidR="00D97012">
        <w:t xml:space="preserve"> – max CRP minus min CRP, </w:t>
      </w:r>
      <w:proofErr w:type="spellStart"/>
      <w:r w:rsidR="00D97012" w:rsidRPr="000B2F87">
        <w:t>circ_sd_crp</w:t>
      </w:r>
      <w:proofErr w:type="spellEnd"/>
      <w:r w:rsidR="00D97012">
        <w:t xml:space="preserve"> – standard deviation of CRP on circular scale, </w:t>
      </w:r>
      <w:r w:rsidR="00D97012" w:rsidRPr="000B2F87">
        <w:t>phases</w:t>
      </w:r>
      <w:r w:rsidR="00D97012">
        <w:t xml:space="preserve"> – absolute circadian gene phase,</w:t>
      </w:r>
      <w:r w:rsidR="00D97012" w:rsidRPr="00D97012">
        <w:t xml:space="preserve"> </w:t>
      </w:r>
      <w:proofErr w:type="spellStart"/>
      <w:r w:rsidR="00D97012" w:rsidRPr="000B2F87">
        <w:t>crp_values</w:t>
      </w:r>
      <w:proofErr w:type="spellEnd"/>
      <w:r w:rsidR="00D97012">
        <w:t xml:space="preserve"> – CRP gene phases,</w:t>
      </w:r>
      <w:r w:rsidR="00D97012" w:rsidRPr="00D97012">
        <w:t xml:space="preserve"> </w:t>
      </w:r>
      <w:r w:rsidR="00D97012" w:rsidRPr="000B2F87">
        <w:t>classification</w:t>
      </w:r>
      <w:r w:rsidR="00DA40A0">
        <w:t xml:space="preserve"> – clock controlled if </w:t>
      </w:r>
      <w:proofErr w:type="spellStart"/>
      <w:r w:rsidR="00DA40A0">
        <w:t>circ_sd_crp</w:t>
      </w:r>
      <w:proofErr w:type="spellEnd"/>
      <w:r w:rsidR="00DA40A0">
        <w:t xml:space="preserve"> </w:t>
      </w:r>
      <w:r w:rsidR="00DA40A0">
        <w:rPr>
          <w:rFonts w:cstheme="minorHAnsi"/>
        </w:rPr>
        <w:t>≤</w:t>
      </w:r>
      <w:r w:rsidR="00DA40A0">
        <w:t xml:space="preserve"> </w:t>
      </w:r>
      <w:r w:rsidR="00DA40A0" w:rsidRPr="00DA40A0">
        <w:t>0.</w:t>
      </w:r>
      <w:r w:rsidR="00DA40A0">
        <w:t>75 (</w:t>
      </w:r>
      <w:r w:rsidR="00DA40A0" w:rsidRPr="00DA40A0">
        <w:t>max pairwise difference of 4 hours</w:t>
      </w:r>
      <w:r w:rsidR="00DA40A0">
        <w:t>),</w:t>
      </w:r>
      <w:r w:rsidR="00D97012" w:rsidRPr="000B2F87">
        <w:tab/>
      </w:r>
      <w:proofErr w:type="spellStart"/>
      <w:r w:rsidR="00D97012" w:rsidRPr="000B2F87">
        <w:t>is_core_clock</w:t>
      </w:r>
      <w:proofErr w:type="spellEnd"/>
      <w:r w:rsidR="00DA40A0">
        <w:t xml:space="preserve"> – component of circadian clock mechanism.</w:t>
      </w:r>
    </w:p>
    <w:p w14:paraId="439E9EB8" w14:textId="77777777" w:rsidR="001B33A9" w:rsidRDefault="001B33A9" w:rsidP="00666C85">
      <w:pPr>
        <w:rPr>
          <w:b/>
          <w:bCs/>
        </w:rPr>
      </w:pPr>
    </w:p>
    <w:p w14:paraId="29045CC6" w14:textId="015C0E0F" w:rsidR="00F9069B" w:rsidRPr="000B2F87" w:rsidRDefault="001B33A9" w:rsidP="00666C85">
      <w:r>
        <w:rPr>
          <w:b/>
          <w:bCs/>
        </w:rPr>
        <w:t xml:space="preserve">Supplementary </w:t>
      </w:r>
      <w:r w:rsidR="00F9069B">
        <w:rPr>
          <w:b/>
          <w:bCs/>
        </w:rPr>
        <w:t xml:space="preserve">Table </w:t>
      </w:r>
      <w:r>
        <w:rPr>
          <w:b/>
          <w:bCs/>
        </w:rPr>
        <w:t>2</w:t>
      </w:r>
      <w:r w:rsidR="00F9069B">
        <w:rPr>
          <w:b/>
          <w:bCs/>
        </w:rPr>
        <w:t xml:space="preserve">. Results of hypergeometric test for pairwise comparisons of rhythmic transcriptome gene lists based on rhythmicity </w:t>
      </w:r>
      <w:proofErr w:type="gramStart"/>
      <w:r w:rsidR="00F9069B">
        <w:rPr>
          <w:b/>
          <w:bCs/>
        </w:rPr>
        <w:t>BH.Q</w:t>
      </w:r>
      <w:proofErr w:type="gramEnd"/>
      <w:r w:rsidR="00F9069B">
        <w:rPr>
          <w:b/>
          <w:bCs/>
        </w:rPr>
        <w:t xml:space="preserve"> cut-off of 0.05 and 0.01.</w:t>
      </w:r>
      <w:r w:rsidR="00DA40A0">
        <w:rPr>
          <w:b/>
          <w:bCs/>
        </w:rPr>
        <w:t xml:space="preserve"> </w:t>
      </w:r>
      <w:r w:rsidR="00DA40A0">
        <w:t xml:space="preserve">Columns: </w:t>
      </w:r>
      <w:r w:rsidR="00DA40A0" w:rsidRPr="00DA40A0">
        <w:t>Dataset1</w:t>
      </w:r>
      <w:r w:rsidR="00DA40A0">
        <w:t>,</w:t>
      </w:r>
      <w:r w:rsidR="00DA40A0" w:rsidRPr="00DA40A0">
        <w:t xml:space="preserve"> Dataset2</w:t>
      </w:r>
      <w:r w:rsidR="00DA40A0">
        <w:t>,</w:t>
      </w:r>
      <w:r w:rsidR="00DA40A0" w:rsidRPr="00DA40A0">
        <w:t xml:space="preserve"> </w:t>
      </w:r>
      <w:proofErr w:type="spellStart"/>
      <w:r w:rsidR="008B470E">
        <w:t>Universe_Size</w:t>
      </w:r>
      <w:proofErr w:type="spellEnd"/>
      <w:r w:rsidR="008B470E">
        <w:t xml:space="preserve"> – number of all genes shared between datasets (intersection), </w:t>
      </w:r>
      <w:r w:rsidR="00DA40A0" w:rsidRPr="00DA40A0">
        <w:t>Size1</w:t>
      </w:r>
      <w:r w:rsidR="00C83D60">
        <w:t xml:space="preserve"> – number of rhythmic genes in Dataset1, </w:t>
      </w:r>
      <w:r w:rsidR="00DA40A0" w:rsidRPr="00DA40A0">
        <w:t>Size2</w:t>
      </w:r>
      <w:r w:rsidR="00C83D60">
        <w:t xml:space="preserve"> – number of rhythmic genes in Dataset2,</w:t>
      </w:r>
      <w:r w:rsidR="00C83D60" w:rsidRPr="00DA40A0">
        <w:t xml:space="preserve"> </w:t>
      </w:r>
      <w:r w:rsidR="00DA40A0" w:rsidRPr="00DA40A0">
        <w:t>Overlap</w:t>
      </w:r>
      <w:r w:rsidR="00C83D60">
        <w:t xml:space="preserve"> – number of </w:t>
      </w:r>
      <w:r w:rsidR="008B470E">
        <w:t xml:space="preserve">rhythmic </w:t>
      </w:r>
      <w:r w:rsidR="00C83D60">
        <w:t>genes shared between datasets,</w:t>
      </w:r>
      <w:r w:rsidR="00DA40A0" w:rsidRPr="00DA40A0">
        <w:tab/>
        <w:t>Expected</w:t>
      </w:r>
      <w:r w:rsidR="00C83D60">
        <w:t xml:space="preserve"> – expected number of </w:t>
      </w:r>
      <w:r w:rsidR="008B470E">
        <w:t xml:space="preserve">rhythmic </w:t>
      </w:r>
      <w:r w:rsidR="00C83D60">
        <w:t>genes sh</w:t>
      </w:r>
      <w:r w:rsidR="00C12D5F">
        <w:t>a</w:t>
      </w:r>
      <w:r w:rsidR="00C83D60">
        <w:t>red between datasets by chance,</w:t>
      </w:r>
      <w:r w:rsidR="00C83D60" w:rsidRPr="00DA40A0">
        <w:t xml:space="preserve"> </w:t>
      </w:r>
      <w:proofErr w:type="spellStart"/>
      <w:r w:rsidR="00DA40A0" w:rsidRPr="00DA40A0">
        <w:t>Fold_Enrichment</w:t>
      </w:r>
      <w:proofErr w:type="spellEnd"/>
      <w:r w:rsidR="00C83D60">
        <w:t xml:space="preserve"> - </w:t>
      </w:r>
      <w:r w:rsidR="00C83D60" w:rsidRPr="00C83D60">
        <w:t>overlap / expected</w:t>
      </w:r>
      <w:r w:rsidR="00C83D60">
        <w:t>,</w:t>
      </w:r>
      <w:r w:rsidR="00DA40A0" w:rsidRPr="00DA40A0">
        <w:tab/>
      </w:r>
      <w:r w:rsidR="00C83D60">
        <w:t xml:space="preserve"> </w:t>
      </w:r>
      <w:proofErr w:type="spellStart"/>
      <w:r w:rsidR="00DA40A0" w:rsidRPr="00DA40A0">
        <w:t>Jaccard_Index</w:t>
      </w:r>
      <w:proofErr w:type="spellEnd"/>
      <w:r w:rsidR="00C83D60">
        <w:t xml:space="preserve">, </w:t>
      </w:r>
      <w:proofErr w:type="spellStart"/>
      <w:r w:rsidR="00C83D60">
        <w:t>P</w:t>
      </w:r>
      <w:r w:rsidR="00DA40A0" w:rsidRPr="00DA40A0">
        <w:t>_value</w:t>
      </w:r>
      <w:proofErr w:type="spellEnd"/>
      <w:r w:rsidR="00C83D60">
        <w:t xml:space="preserve"> – hypergeometric test p value, </w:t>
      </w:r>
      <w:r w:rsidR="00DA40A0" w:rsidRPr="00DA40A0">
        <w:t>Significant</w:t>
      </w:r>
      <w:r w:rsidR="00C83D60">
        <w:t xml:space="preserve"> – p </w:t>
      </w:r>
      <w:r w:rsidR="00C83D60">
        <w:rPr>
          <w:rFonts w:cstheme="minorHAnsi"/>
        </w:rPr>
        <w:t>≤</w:t>
      </w:r>
      <w:r w:rsidR="00C83D60">
        <w:t xml:space="preserve"> 0.05, </w:t>
      </w:r>
      <w:r w:rsidR="00DA40A0" w:rsidRPr="00DA40A0">
        <w:t>BH.Q cut-off</w:t>
      </w:r>
      <w:r w:rsidR="00C83D60">
        <w:t xml:space="preserve"> – RAIN rhythmicity significance threshold.</w:t>
      </w:r>
    </w:p>
    <w:p w14:paraId="7C2AF8C3" w14:textId="77777777" w:rsidR="00F9069B" w:rsidRDefault="00F9069B" w:rsidP="00666C85">
      <w:pPr>
        <w:rPr>
          <w:b/>
          <w:bCs/>
        </w:rPr>
      </w:pPr>
    </w:p>
    <w:p w14:paraId="7B9BF128" w14:textId="676CE95C" w:rsidR="00F9069B" w:rsidRPr="000B2F87" w:rsidRDefault="001B33A9" w:rsidP="00666C85">
      <w:r>
        <w:rPr>
          <w:b/>
          <w:bCs/>
        </w:rPr>
        <w:t xml:space="preserve">Supplementary </w:t>
      </w:r>
      <w:r w:rsidR="00F9069B">
        <w:rPr>
          <w:b/>
          <w:bCs/>
        </w:rPr>
        <w:t xml:space="preserve">Table </w:t>
      </w:r>
      <w:r>
        <w:rPr>
          <w:b/>
          <w:bCs/>
        </w:rPr>
        <w:t>3</w:t>
      </w:r>
      <w:r w:rsidR="00F9069B">
        <w:rPr>
          <w:b/>
          <w:bCs/>
        </w:rPr>
        <w:t>. Absolute CT phase comparison of core circadian clock genes.</w:t>
      </w:r>
      <w:r w:rsidR="00C12D5F">
        <w:rPr>
          <w:b/>
          <w:bCs/>
        </w:rPr>
        <w:t xml:space="preserve"> </w:t>
      </w:r>
      <w:r w:rsidR="00C12D5F">
        <w:t xml:space="preserve">Columns: </w:t>
      </w:r>
      <w:r w:rsidR="00C12D5F" w:rsidRPr="00C12D5F">
        <w:t>gene</w:t>
      </w:r>
      <w:r w:rsidR="00C12D5F">
        <w:t xml:space="preserve"> – gene name,</w:t>
      </w:r>
      <w:r w:rsidR="00C12D5F" w:rsidRPr="00C12D5F">
        <w:t xml:space="preserve"> Osmo</w:t>
      </w:r>
      <w:r w:rsidR="00C12D5F">
        <w:t xml:space="preserve"> – osmotic stress, </w:t>
      </w:r>
      <w:r w:rsidR="00C12D5F" w:rsidRPr="00C12D5F">
        <w:t>Dex</w:t>
      </w:r>
      <w:r w:rsidR="00C12D5F">
        <w:t xml:space="preserve"> – dexamethasone, </w:t>
      </w:r>
      <w:r w:rsidR="00C12D5F" w:rsidRPr="00C12D5F">
        <w:t>HS</w:t>
      </w:r>
      <w:r w:rsidR="00C12D5F">
        <w:t xml:space="preserve"> – heat shock, </w:t>
      </w:r>
      <w:r w:rsidR="00C12D5F" w:rsidRPr="00C12D5F">
        <w:t>Cartilage</w:t>
      </w:r>
      <w:r w:rsidR="00C12D5F">
        <w:t xml:space="preserve"> </w:t>
      </w:r>
      <w:r w:rsidR="00B37DB2">
        <w:t>–</w:t>
      </w:r>
      <w:r w:rsidR="00C12D5F">
        <w:t xml:space="preserve"> cartilage</w:t>
      </w:r>
      <w:r w:rsidR="00B37DB2">
        <w:t>.</w:t>
      </w:r>
    </w:p>
    <w:p w14:paraId="3A0D3EAD" w14:textId="77777777" w:rsidR="007C5CFB" w:rsidRDefault="007C5CFB" w:rsidP="00666C85">
      <w:pPr>
        <w:rPr>
          <w:b/>
          <w:bCs/>
        </w:rPr>
      </w:pPr>
    </w:p>
    <w:p w14:paraId="53B3714D" w14:textId="6D286EF8" w:rsidR="007C5CFB" w:rsidRPr="000B2F87" w:rsidRDefault="001B33A9" w:rsidP="00666C85">
      <w:r>
        <w:rPr>
          <w:b/>
          <w:bCs/>
        </w:rPr>
        <w:t xml:space="preserve">Supplementary </w:t>
      </w:r>
      <w:r w:rsidR="007C5CFB">
        <w:rPr>
          <w:b/>
          <w:bCs/>
        </w:rPr>
        <w:t>Table 4. Statistical analysis of pairwise overlaps in functional enrichment terms of all 4 datasets.</w:t>
      </w:r>
      <w:r w:rsidR="00C12D5F">
        <w:rPr>
          <w:b/>
          <w:bCs/>
        </w:rPr>
        <w:t xml:space="preserve"> </w:t>
      </w:r>
      <w:r w:rsidR="00C12D5F">
        <w:t xml:space="preserve">Columns: Category – functional enrichment category, </w:t>
      </w:r>
      <w:r w:rsidR="00C12D5F" w:rsidRPr="00DA40A0">
        <w:t>Dataset1</w:t>
      </w:r>
      <w:r w:rsidR="00C12D5F">
        <w:t>,</w:t>
      </w:r>
      <w:r w:rsidR="00C12D5F" w:rsidRPr="00DA40A0">
        <w:t xml:space="preserve"> Dataset2</w:t>
      </w:r>
      <w:r w:rsidR="00C12D5F">
        <w:t>,</w:t>
      </w:r>
      <w:r w:rsidR="00C12D5F" w:rsidRPr="00DA40A0">
        <w:t xml:space="preserve"> Size1</w:t>
      </w:r>
      <w:r w:rsidR="00C12D5F">
        <w:t xml:space="preserve"> – number of terms per category in Dataset1, </w:t>
      </w:r>
      <w:r w:rsidR="00C12D5F" w:rsidRPr="00DA40A0">
        <w:t>Size2</w:t>
      </w:r>
      <w:r w:rsidR="00C12D5F">
        <w:t xml:space="preserve"> – number of terms per category in Dataset2,</w:t>
      </w:r>
      <w:r w:rsidR="00C12D5F" w:rsidRPr="00DA40A0">
        <w:t xml:space="preserve"> Overlap</w:t>
      </w:r>
      <w:r w:rsidR="00C12D5F">
        <w:t xml:space="preserve"> – number of terms per category shared between datasets,</w:t>
      </w:r>
      <w:r w:rsidR="00C12D5F" w:rsidRPr="00DA40A0">
        <w:t xml:space="preserve"> Expected</w:t>
      </w:r>
      <w:r w:rsidR="00C12D5F">
        <w:t xml:space="preserve"> – expected number of terms per category shared between datasets by chance,</w:t>
      </w:r>
      <w:r w:rsidR="00C12D5F" w:rsidRPr="00DA40A0">
        <w:t xml:space="preserve"> </w:t>
      </w:r>
      <w:proofErr w:type="spellStart"/>
      <w:r w:rsidR="00C12D5F" w:rsidRPr="00DA40A0">
        <w:t>Fold_Enrichment</w:t>
      </w:r>
      <w:proofErr w:type="spellEnd"/>
      <w:r w:rsidR="00C12D5F">
        <w:t xml:space="preserve"> - </w:t>
      </w:r>
      <w:r w:rsidR="00C12D5F" w:rsidRPr="00C83D60">
        <w:t>overlap / expected</w:t>
      </w:r>
      <w:r w:rsidR="00C12D5F">
        <w:t>,</w:t>
      </w:r>
      <w:r w:rsidR="00C12D5F" w:rsidRPr="00DA40A0">
        <w:tab/>
      </w:r>
      <w:r w:rsidR="00C12D5F">
        <w:t xml:space="preserve"> </w:t>
      </w:r>
      <w:proofErr w:type="spellStart"/>
      <w:r w:rsidR="00C12D5F" w:rsidRPr="00DA40A0">
        <w:t>Jaccard_Index</w:t>
      </w:r>
      <w:proofErr w:type="spellEnd"/>
      <w:r w:rsidR="00C12D5F">
        <w:t xml:space="preserve">, </w:t>
      </w:r>
      <w:proofErr w:type="spellStart"/>
      <w:r w:rsidR="00C12D5F">
        <w:t>P</w:t>
      </w:r>
      <w:r w:rsidR="00C12D5F" w:rsidRPr="00DA40A0">
        <w:t>_value</w:t>
      </w:r>
      <w:proofErr w:type="spellEnd"/>
      <w:r w:rsidR="00C12D5F">
        <w:t xml:space="preserve"> – hypergeometric test p value, </w:t>
      </w:r>
      <w:r w:rsidR="00C12D5F" w:rsidRPr="00DA40A0">
        <w:t>Significant</w:t>
      </w:r>
      <w:r w:rsidR="00C12D5F">
        <w:t xml:space="preserve"> – p </w:t>
      </w:r>
      <w:r w:rsidR="00C12D5F">
        <w:rPr>
          <w:rFonts w:cstheme="minorHAnsi"/>
        </w:rPr>
        <w:t>≤</w:t>
      </w:r>
      <w:r w:rsidR="00C12D5F">
        <w:t xml:space="preserve"> 0.05, </w:t>
      </w:r>
      <w:r w:rsidR="00C12D5F" w:rsidRPr="00C12D5F">
        <w:t>Percent_of_D1</w:t>
      </w:r>
      <w:r w:rsidR="00B37DB2">
        <w:t xml:space="preserve"> – percent of shared terms per category in Dataset1,</w:t>
      </w:r>
      <w:r w:rsidR="00B37DB2" w:rsidRPr="00C12D5F">
        <w:t xml:space="preserve"> </w:t>
      </w:r>
      <w:r w:rsidR="00C12D5F" w:rsidRPr="00C12D5F">
        <w:t>Percent_of_D2</w:t>
      </w:r>
      <w:r w:rsidR="00B37DB2">
        <w:t xml:space="preserve"> - percent of shared terms per category in Dataset2.</w:t>
      </w:r>
    </w:p>
    <w:p w14:paraId="3F04C4B1" w14:textId="77777777" w:rsidR="007C5CFB" w:rsidRDefault="007C5CFB" w:rsidP="00666C85">
      <w:pPr>
        <w:rPr>
          <w:b/>
          <w:bCs/>
        </w:rPr>
      </w:pPr>
    </w:p>
    <w:p w14:paraId="0C039B66" w14:textId="1FE06827" w:rsidR="007C5CFB" w:rsidRDefault="00137EE9" w:rsidP="00666C85">
      <w:pPr>
        <w:rPr>
          <w:b/>
          <w:bCs/>
        </w:rPr>
      </w:pPr>
      <w:r w:rsidRPr="00137EE9">
        <w:rPr>
          <w:b/>
          <w:bCs/>
        </w:rPr>
        <w:t>CONFLICT OF INTEREST</w:t>
      </w:r>
    </w:p>
    <w:p w14:paraId="210D42E8" w14:textId="7C25314F" w:rsidR="00137EE9" w:rsidRDefault="00137EE9" w:rsidP="00666C85">
      <w:r w:rsidRPr="00137EE9">
        <w:t>None declared.</w:t>
      </w:r>
    </w:p>
    <w:p w14:paraId="214DFB99" w14:textId="77777777" w:rsidR="00137EE9" w:rsidRDefault="00137EE9" w:rsidP="00666C85"/>
    <w:p w14:paraId="435D8859" w14:textId="45992E79" w:rsidR="00137EE9" w:rsidRDefault="00137EE9" w:rsidP="00666C85">
      <w:pPr>
        <w:rPr>
          <w:b/>
          <w:bCs/>
        </w:rPr>
      </w:pPr>
      <w:r w:rsidRPr="00137EE9">
        <w:rPr>
          <w:b/>
          <w:bCs/>
        </w:rPr>
        <w:t>FUNDING</w:t>
      </w:r>
    </w:p>
    <w:p w14:paraId="1E623FD8" w14:textId="7572109B" w:rsidR="00137EE9" w:rsidRPr="00137EE9" w:rsidRDefault="00137EE9" w:rsidP="00666C85">
      <w:pPr>
        <w:rPr>
          <w:b/>
          <w:bCs/>
        </w:rPr>
      </w:pPr>
      <w:r w:rsidRPr="00137EE9">
        <w:rPr>
          <w:b/>
          <w:bCs/>
          <w:highlight w:val="yellow"/>
        </w:rPr>
        <w:t>Need to add funding details</w:t>
      </w:r>
    </w:p>
    <w:p w14:paraId="5BFCAF4A" w14:textId="77777777" w:rsidR="007C5CFB" w:rsidRDefault="007C5CFB" w:rsidP="00666C85">
      <w:pPr>
        <w:rPr>
          <w:b/>
          <w:bCs/>
        </w:rPr>
      </w:pPr>
    </w:p>
    <w:p w14:paraId="20CFFB12" w14:textId="19D243B7" w:rsidR="00137EE9" w:rsidRDefault="00137EE9" w:rsidP="00666C85">
      <w:pPr>
        <w:rPr>
          <w:b/>
          <w:bCs/>
        </w:rPr>
      </w:pPr>
      <w:r w:rsidRPr="00137EE9">
        <w:rPr>
          <w:b/>
          <w:bCs/>
        </w:rPr>
        <w:lastRenderedPageBreak/>
        <w:t>DATA AVAILABILITY</w:t>
      </w:r>
    </w:p>
    <w:p w14:paraId="67E188AD" w14:textId="25BFC88C" w:rsidR="00137EE9" w:rsidRPr="00137EE9" w:rsidRDefault="00137EE9" w:rsidP="00666C85">
      <w:r w:rsidRPr="00137EE9">
        <w:t>All data</w:t>
      </w:r>
      <w:r>
        <w:t xml:space="preserve"> and analysis source code used in the manuscript are deposited at </w:t>
      </w:r>
      <w:hyperlink r:id="rId12" w:history="1">
        <w:r>
          <w:rPr>
            <w:rStyle w:val="Hyperlink"/>
          </w:rPr>
          <w:t>https://github.com/Michal0110/BodyClocks_data</w:t>
        </w:r>
      </w:hyperlink>
      <w:r>
        <w:t xml:space="preserve"> and </w:t>
      </w:r>
      <w:proofErr w:type="spellStart"/>
      <w:r>
        <w:t>BodyClocks</w:t>
      </w:r>
      <w:proofErr w:type="spellEnd"/>
      <w:r>
        <w:t xml:space="preserve"> platform source code is </w:t>
      </w:r>
      <w:r w:rsidR="00775FBB">
        <w:t xml:space="preserve">available at </w:t>
      </w:r>
      <w:hyperlink r:id="rId13" w:history="1">
        <w:r w:rsidR="00775FBB" w:rsidRPr="00265AAE">
          <w:rPr>
            <w:rStyle w:val="Hyperlink"/>
          </w:rPr>
          <w:t>https://github.com/Michal0110/BodyClocks</w:t>
        </w:r>
      </w:hyperlink>
      <w:r w:rsidR="00775FBB">
        <w:t>.</w:t>
      </w:r>
    </w:p>
    <w:p w14:paraId="589A4743" w14:textId="77777777" w:rsidR="007C5CFB" w:rsidRPr="00F9069B" w:rsidRDefault="007C5CFB" w:rsidP="00666C85">
      <w:pPr>
        <w:rPr>
          <w:b/>
          <w:bCs/>
        </w:rPr>
      </w:pPr>
    </w:p>
    <w:p w14:paraId="36AEA670" w14:textId="007D246E" w:rsidR="00833B23" w:rsidRPr="00F15183" w:rsidRDefault="001A3BBE" w:rsidP="00833B23">
      <w:pPr>
        <w:rPr>
          <w:b/>
          <w:bCs/>
        </w:rPr>
      </w:pPr>
      <w:r>
        <w:rPr>
          <w:b/>
          <w:bCs/>
        </w:rPr>
        <w:t>REFERENCES</w:t>
      </w:r>
    </w:p>
    <w:p w14:paraId="7E573657" w14:textId="77777777" w:rsidR="009B21A9" w:rsidRDefault="00706DF9" w:rsidP="009B21A9">
      <w:pPr>
        <w:pStyle w:val="Bibliography"/>
      </w:pPr>
      <w:r>
        <w:fldChar w:fldCharType="begin"/>
      </w:r>
      <w:r w:rsidR="009B21A9">
        <w:instrText xml:space="preserve"> ADDIN ZOTERO_BIBL {"uncited":[],"omitted":[],"custom":[]} CSL_BIBLIOGRAPHY </w:instrText>
      </w:r>
      <w:r>
        <w:fldChar w:fldCharType="separate"/>
      </w:r>
      <w:r w:rsidR="009B21A9">
        <w:t>[1]</w:t>
      </w:r>
      <w:r w:rsidR="009B21A9">
        <w:tab/>
        <w:t>T. Roenneberg, M. Merrow, The Network of Time: Understanding the Molecular Circadian System, Current Biology 13 (2003) R198–R207. https://doi.org/10.1016/S0960-9822(03)00124-6.</w:t>
      </w:r>
    </w:p>
    <w:p w14:paraId="72CCA8C7" w14:textId="77777777" w:rsidR="009B21A9" w:rsidRDefault="009B21A9" w:rsidP="009B21A9">
      <w:pPr>
        <w:pStyle w:val="Bibliography"/>
      </w:pPr>
      <w:r>
        <w:t>[2]</w:t>
      </w:r>
      <w:r>
        <w:tab/>
        <w:t>A.P. Patton, M.H. Hastings, The suprachiasmatic nucleus, Current Biology 28 (2018) R816–R822. https://doi.org/10.1016/j.cub.2018.06.052.</w:t>
      </w:r>
    </w:p>
    <w:p w14:paraId="3073E031" w14:textId="77777777" w:rsidR="009B21A9" w:rsidRDefault="009B21A9" w:rsidP="009B21A9">
      <w:pPr>
        <w:pStyle w:val="Bibliography"/>
      </w:pPr>
      <w:r>
        <w:t>[3]</w:t>
      </w:r>
      <w:r>
        <w:tab/>
        <w:t>J.S. Takahashi, Transcriptional architecture of the mammalian circadian clock, Nat Rev Genet 18 (2017) 164–179. https://doi.org/10.1038/nrg.2016.150.</w:t>
      </w:r>
    </w:p>
    <w:p w14:paraId="686C820D" w14:textId="77777777" w:rsidR="009B21A9" w:rsidRDefault="009B21A9" w:rsidP="009B21A9">
      <w:pPr>
        <w:pStyle w:val="Bibliography"/>
      </w:pPr>
      <w:r>
        <w:t>[4]</w:t>
      </w:r>
      <w:r>
        <w:tab/>
        <w:t>H. Reinke, G. Asher, Crosstalk between metabolism and circadian clocks, Nat Rev Mol Cell Biol 20 (2019) 227–241. https://doi.org/10.1038/s41580-018-0096-9.</w:t>
      </w:r>
    </w:p>
    <w:p w14:paraId="25C62D27" w14:textId="77777777" w:rsidR="009B21A9" w:rsidRDefault="009B21A9" w:rsidP="009B21A9">
      <w:pPr>
        <w:pStyle w:val="Bibliography"/>
      </w:pPr>
      <w:r>
        <w:t>[5]</w:t>
      </w:r>
      <w:r>
        <w:tab/>
        <w:t>A. Pueyo Moliner, K. Ito, F. Zaucke, D.J. Kelly, M. de Ruijter, J. Malda, Restoring articular cartilage: insights from structure, composition and development, Nat Rev Rheumatol 21 (2025) 291–308. https://doi.org/10.1038/s41584-025-01236-7.</w:t>
      </w:r>
    </w:p>
    <w:p w14:paraId="3EBEF162" w14:textId="77777777" w:rsidR="009B21A9" w:rsidRDefault="009B21A9" w:rsidP="009B21A9">
      <w:pPr>
        <w:pStyle w:val="Bibliography"/>
      </w:pPr>
      <w:r>
        <w:t>[6]</w:t>
      </w:r>
      <w:r>
        <w:tab/>
        <w:t>N. Okubo, Y. Minami, H. Fujiwara, Y. Umemura, Y. Tsuchiya, T. Shirai, R. Oda, H. Inokawa, T. Kubo, K. Yagita, Prolonged Bioluminescence Monitoring in Mouse Ex Vivo Bone Culture Revealed Persistent Circadian Rhythms in Articular Cartilages and Growth Plates, PLOS ONE 8 (2013) e78306. https://doi.org/10.1371/journal.pone.0078306.</w:t>
      </w:r>
    </w:p>
    <w:p w14:paraId="3E3F09A1" w14:textId="77777777" w:rsidR="009B21A9" w:rsidRDefault="009B21A9" w:rsidP="009B21A9">
      <w:pPr>
        <w:pStyle w:val="Bibliography"/>
      </w:pPr>
      <w:r>
        <w:t>[7]</w:t>
      </w:r>
      <w:r>
        <w:tab/>
        <w:t xml:space="preserve">M. Dudek, N. Gossan, N. Yang, H.-J. Im, J.P.D. Ruckshanthi, H. Yoshitane, X. Li, D. Jin, P. Wang, M. Boudiffa, I. Bellantuono, Y. Fukada, R.P. Boot-Handford, Q.-J. Meng, The chondrocyte clock gene </w:t>
      </w:r>
      <w:r>
        <w:rPr>
          <w:i/>
          <w:iCs/>
        </w:rPr>
        <w:t>Bmal1</w:t>
      </w:r>
      <w:r>
        <w:t xml:space="preserve"> controls cartilage homeostasis and integrity, J Clin Invest 126 (2016) 365–376. https://doi.org/10.1172/JCI82755.</w:t>
      </w:r>
    </w:p>
    <w:p w14:paraId="136134D7" w14:textId="77777777" w:rsidR="009B21A9" w:rsidRDefault="009B21A9" w:rsidP="009B21A9">
      <w:pPr>
        <w:pStyle w:val="Bibliography"/>
      </w:pPr>
      <w:r>
        <w:t>[8]</w:t>
      </w:r>
      <w:r>
        <w:tab/>
        <w:t>N. Gossan, L. Zeef, J. Hensman, A. Hughes, J.F. Bateman, L. Rowley, C.B. Little, H.D. Piggins, M. Rattray, R.P. Boot-Handford, Q.-J. Meng, The Circadian Clock in Murine Chondrocytes Regulates Genes Controlling Key Aspects of Cartilage Homeostasis, Arthritis &amp; Rheumatism 65 (2013) 2334–2345. https://doi.org/10.1002/art.38035.</w:t>
      </w:r>
    </w:p>
    <w:p w14:paraId="1334DD4C" w14:textId="77777777" w:rsidR="009B21A9" w:rsidRDefault="009B21A9" w:rsidP="009B21A9">
      <w:pPr>
        <w:pStyle w:val="Bibliography"/>
      </w:pPr>
      <w:r>
        <w:t>[9]</w:t>
      </w:r>
      <w:r>
        <w:tab/>
        <w:t>T. Roenneberg, M. Merrow, The Circadian Clock and Human Health, Current Biology 26 (2016) R432–R443. https://doi.org/10.1016/j.cub.2016.04.011.</w:t>
      </w:r>
    </w:p>
    <w:p w14:paraId="6E1A6122" w14:textId="77777777" w:rsidR="009B21A9" w:rsidRDefault="009B21A9" w:rsidP="009B21A9">
      <w:pPr>
        <w:pStyle w:val="Bibliography"/>
      </w:pPr>
      <w:r>
        <w:t>[10]</w:t>
      </w:r>
      <w:r>
        <w:tab/>
        <w:t>F. Berenbaum, Q.-J. Meng, The brain–joint axis in osteoarthritis: nerves, circadian clocks and beyond, Nat Rev Rheumatol 12 (2016) 508–516. https://doi.org/10.1038/nrrheum.2016.93.</w:t>
      </w:r>
    </w:p>
    <w:p w14:paraId="050D3BDB" w14:textId="77777777" w:rsidR="009B21A9" w:rsidRDefault="009B21A9" w:rsidP="009B21A9">
      <w:pPr>
        <w:pStyle w:val="Bibliography"/>
      </w:pPr>
      <w:r>
        <w:t>[11]</w:t>
      </w:r>
      <w:r>
        <w:tab/>
        <w:t>C.F. Gonçalves, M. Dudek, D.R. Pathiranage, A. Paszek, Z. El-Houni, S. Li, G. Tawy, L. Biant, J.A. Hoyland, Q.-J. Meng, Modulation of circadian rhythms in articular cartilage by heat pulses, (2024) 2024.01.26.577368. https://doi.org/10.1101/2024.01.26.577368.</w:t>
      </w:r>
    </w:p>
    <w:p w14:paraId="67BE069D" w14:textId="77777777" w:rsidR="009B21A9" w:rsidRDefault="009B21A9" w:rsidP="009B21A9">
      <w:pPr>
        <w:pStyle w:val="Bibliography"/>
      </w:pPr>
      <w:r>
        <w:t>[12]</w:t>
      </w:r>
      <w:r>
        <w:tab/>
        <w:t>M. Dudek, D.R.J. Pathiranage, B. Bano-Otalora, A. Paszek, N. Rogers, C.F. Gonçalves, C. Lawless, D. Wang, Z. Luo, L. Yang, F. Guilak, J.A. Hoyland, Q.-J. Meng, Mechanical loading and hyperosmolarity as a daily resetting cue for skeletal circadian clocks, Nat Commun 14 (2023) 7237. https://doi.org/10.1038/s41467-023-42056-1.</w:t>
      </w:r>
    </w:p>
    <w:p w14:paraId="0010AEDF" w14:textId="77777777" w:rsidR="009B21A9" w:rsidRDefault="009B21A9" w:rsidP="009B21A9">
      <w:pPr>
        <w:pStyle w:val="Bibliography"/>
      </w:pPr>
      <w:r>
        <w:t>[13]</w:t>
      </w:r>
      <w:r>
        <w:tab/>
        <w:t>M. Izumo, C.H. Johnson, S. Yamazaki, Circadian gene expression in mammalian fibroblasts revealed by real-time luminescence reporting: Temperature compensation and damping, Proceedings of the National Academy of Sciences 100 (2003) 16089–16094. https://doi.org/10.1073/pnas.2536313100.</w:t>
      </w:r>
    </w:p>
    <w:p w14:paraId="1B1161D4" w14:textId="77777777" w:rsidR="009B21A9" w:rsidRDefault="009B21A9" w:rsidP="009B21A9">
      <w:pPr>
        <w:pStyle w:val="Bibliography"/>
      </w:pPr>
      <w:r>
        <w:t>[14]</w:t>
      </w:r>
      <w:r>
        <w:tab/>
        <w:t>A. Balsalobre, L. Marcacci, U. Schibler, Multiple signaling pathways elicit circadian gene expression in cultured Rat-1 fibroblasts, Current Biology 10 (2000) 1291–1294. https://doi.org/10.1016/S0960-9822(00)00758-2.</w:t>
      </w:r>
    </w:p>
    <w:p w14:paraId="04E2BA11" w14:textId="77777777" w:rsidR="009B21A9" w:rsidRDefault="009B21A9" w:rsidP="009B21A9">
      <w:pPr>
        <w:pStyle w:val="Bibliography"/>
      </w:pPr>
      <w:r>
        <w:lastRenderedPageBreak/>
        <w:t>[15]</w:t>
      </w:r>
      <w:r>
        <w:tab/>
        <w:t>E. Nagoshi, C. Saini, C. Bauer, T. Laroche, F. Naef, U. Schibler, Circadian Gene Expression in Individual Fibroblasts: Cell-Autonomous and Self-Sustained Oscillators Pass Time to Daughter Cells, Cell 119 (2004) 693–705. https://doi.org/10.1016/j.cell.2004.11.015.</w:t>
      </w:r>
    </w:p>
    <w:p w14:paraId="0908DA32" w14:textId="77777777" w:rsidR="009B21A9" w:rsidRDefault="009B21A9" w:rsidP="009B21A9">
      <w:pPr>
        <w:pStyle w:val="Bibliography"/>
      </w:pPr>
      <w:r>
        <w:t>[16]</w:t>
      </w:r>
      <w:r>
        <w:tab/>
        <w:t>D. Gosselin, D. Skola, N.G. Coufal, I.R. Holtman, J.C.M. Schlachetzki, E. Sajti, B.N. Jaeger, C. O’Connor, C. Fitzpatrick, M.P. Pasillas, M. Pena, A. Adair, D.D. Gonda, M.L. Levy, R.M. Ransohoff, F.H. Gage, C.K. Glass, An environment-dependent transcriptional network specifies human microglia identity, Science 356 (2017) eaal3222. https://doi.org/10.1126/science.aal3222.</w:t>
      </w:r>
    </w:p>
    <w:p w14:paraId="33A77699" w14:textId="77777777" w:rsidR="009B21A9" w:rsidRDefault="009B21A9" w:rsidP="009B21A9">
      <w:pPr>
        <w:pStyle w:val="Bibliography"/>
      </w:pPr>
      <w:r>
        <w:t>[17]</w:t>
      </w:r>
      <w:r>
        <w:tab/>
        <w:t>B. Ma, J.C.H. Leijten, L. Wu, M. Kip, C.A. van Blitterswijk, J.N. Post, M. Karperien, Gene expression profiling of dedifferentiated human articular chondrocytes in monolayer culture, Osteoarthritis and Cartilage 21 (2013) 599–603. https://doi.org/10.1016/j.joca.2013.01.014.</w:t>
      </w:r>
    </w:p>
    <w:p w14:paraId="3A7D9B88" w14:textId="77777777" w:rsidR="009B21A9" w:rsidRDefault="009B21A9" w:rsidP="009B21A9">
      <w:pPr>
        <w:pStyle w:val="Bibliography"/>
      </w:pPr>
      <w:r>
        <w:t>[18]</w:t>
      </w:r>
      <w:r>
        <w:tab/>
        <w:t>M.M.J. Caron, P.J. Emans, M.M.E. Coolsen, L. Voss, D.A.M. Surtel, A. Cremers, L.W. van Rhijn, T.J.M. Welting, Redifferentiation of dedifferentiated human articular chondrocytes: comparison of 2D and 3D cultures, Osteoarthritis and Cartilage 20 (2012) 1170–1178. https://doi.org/10.1016/j.joca.2012.06.016.</w:t>
      </w:r>
    </w:p>
    <w:p w14:paraId="7FC482F9" w14:textId="77777777" w:rsidR="009B21A9" w:rsidRDefault="009B21A9" w:rsidP="009B21A9">
      <w:pPr>
        <w:pStyle w:val="Bibliography"/>
      </w:pPr>
      <w:r>
        <w:t>[19]</w:t>
      </w:r>
      <w:r>
        <w:tab/>
        <w:t>L. Aguilar-Arnal, P. Sassone-Corsi, Chromatin landscape and circadian dynamics: Spatial and temporal organization of clock transcription, Proceedings of the National Academy of Sciences 112 (2015) 6863–6870. https://doi.org/10.1073/pnas.1411264111.</w:t>
      </w:r>
    </w:p>
    <w:p w14:paraId="30E1911B" w14:textId="77777777" w:rsidR="009B21A9" w:rsidRDefault="009B21A9" w:rsidP="009B21A9">
      <w:pPr>
        <w:pStyle w:val="Bibliography"/>
      </w:pPr>
      <w:r>
        <w:t>[20]</w:t>
      </w:r>
      <w:r>
        <w:tab/>
        <w:t>B. Zhu, L.A. Gates, E. Stashi, S. Dasgupta, N. Gonzales, A. Dean, C.C. Dacso, B. York, B.W. O’Malley, Coactivator-Dependent Oscillation of Chromatin Accessibility Dictates Circadian Gene Amplitude via REV-ERB Loading, Molecular Cell 60 (2015) 769–783. https://doi.org/10.1016/j.molcel.2015.10.024.</w:t>
      </w:r>
    </w:p>
    <w:p w14:paraId="58887C05" w14:textId="77777777" w:rsidR="009B21A9" w:rsidRDefault="009B21A9" w:rsidP="009B21A9">
      <w:pPr>
        <w:pStyle w:val="Bibliography"/>
      </w:pPr>
      <w:r>
        <w:t>[21]</w:t>
      </w:r>
      <w:r>
        <w:tab/>
        <w:t>M. Qu, H. Qu, Z. Jia, S.A. Kay, HNF4A defines tissue-specific circadian rhythms by beaconing BMAL1::CLOCK chromatin binding and shaping the rhythmic chromatin landscape, Nat Commun 12 (2021) 6350. https://doi.org/10.1038/s41467-021-26567-3.</w:t>
      </w:r>
    </w:p>
    <w:p w14:paraId="070AA309" w14:textId="77777777" w:rsidR="009B21A9" w:rsidRDefault="009B21A9" w:rsidP="009B21A9">
      <w:pPr>
        <w:pStyle w:val="Bibliography"/>
      </w:pPr>
      <w:r>
        <w:t>[22]</w:t>
      </w:r>
      <w:r>
        <w:tab/>
        <w:t>S.-H. Yoo, S. Yamazaki, P.L. Lowrey, K. Shimomura, C.H. Ko, E.D. Buhr, S.M. Siepka, H.-K. Hong, W.J. Oh, O.J. Yoo, M. Menaker, J.S. Takahashi, PERIOD2::LUCIFERASE real-time reporting of circadian dynamics reveals persistent circadian oscillations in mouse peripheral tissues, Proc Natl Acad Sci U S A 101 (2004) 5339–5346. https://doi.org/10.1073/pnas.0308709101.</w:t>
      </w:r>
    </w:p>
    <w:p w14:paraId="3E1D543B" w14:textId="77777777" w:rsidR="009B21A9" w:rsidRDefault="009B21A9" w:rsidP="009B21A9">
      <w:pPr>
        <w:pStyle w:val="Bibliography"/>
      </w:pPr>
      <w:r>
        <w:t>[23]</w:t>
      </w:r>
      <w:r>
        <w:tab/>
        <w:t>M. Gosset, F. Berenbaum, S. Thirion, C. Jacques, Primary culture and phenotyping of murine chondrocytes, Nat Protoc 3 (2008) 1253–1260. https://doi.org/10.1038/nprot.2008.95.</w:t>
      </w:r>
    </w:p>
    <w:p w14:paraId="06352B9C" w14:textId="77777777" w:rsidR="009B21A9" w:rsidRDefault="009B21A9" w:rsidP="009B21A9">
      <w:pPr>
        <w:pStyle w:val="Bibliography"/>
      </w:pPr>
      <w:r>
        <w:t>[24]</w:t>
      </w:r>
      <w:r>
        <w:tab/>
        <w:t>A.M. Bolger, M. Lohse, B. Usadel, Trimmomatic: a flexible trimmer for Illumina sequence data, Bioinformatics 30 (2014) 2114–2120. https://doi.org/10.1093/bioinformatics/btu170.</w:t>
      </w:r>
    </w:p>
    <w:p w14:paraId="40D6C0C9" w14:textId="77777777" w:rsidR="009B21A9" w:rsidRDefault="009B21A9" w:rsidP="009B21A9">
      <w:pPr>
        <w:pStyle w:val="Bibliography"/>
      </w:pPr>
      <w:r>
        <w:t>[25]</w:t>
      </w:r>
      <w:r>
        <w:tab/>
        <w:t>A. Dobin, C.A. Davis, F. Schlesinger, J. Drenkow, C. Zaleski, S. Jha, P. Batut, M. Chaisson, T.R. Gingeras, STAR: ultrafast universal RNA-seq aligner, Bioinformatics 29 (2013) 15–21. https://doi.org/10.1093/bioinformatics/bts635.</w:t>
      </w:r>
    </w:p>
    <w:p w14:paraId="09AEB2F1" w14:textId="77777777" w:rsidR="009B21A9" w:rsidRDefault="009B21A9" w:rsidP="009B21A9">
      <w:pPr>
        <w:pStyle w:val="Bibliography"/>
      </w:pPr>
      <w:r>
        <w:t>[26]</w:t>
      </w:r>
      <w:r>
        <w:tab/>
        <w:t>M.I. Love, W. Huber, S. Anders, Moderated estimation of fold change and dispersion for RNA-seq data with DESeq2, Genome Biol 15 (2014) 550. https://doi.org/10.1186/s13059-014-0550-8.</w:t>
      </w:r>
    </w:p>
    <w:p w14:paraId="0E138BD0" w14:textId="77777777" w:rsidR="009B21A9" w:rsidRDefault="009B21A9" w:rsidP="009B21A9">
      <w:pPr>
        <w:pStyle w:val="Bibliography"/>
      </w:pPr>
      <w:r>
        <w:t>[27]</w:t>
      </w:r>
      <w:r>
        <w:tab/>
        <w:t>Y. Zhang, G. Parmigiani, W.E. Johnson, ComBat-seq: batch effect adjustment for RNA-seq count data, NAR Genom Bioinform 2 (2020) lqaa078. https://doi.org/10.1093/nargab/lqaa078.</w:t>
      </w:r>
    </w:p>
    <w:p w14:paraId="1EE77040" w14:textId="77777777" w:rsidR="009B21A9" w:rsidRDefault="009B21A9" w:rsidP="009B21A9">
      <w:pPr>
        <w:pStyle w:val="Bibliography"/>
      </w:pPr>
      <w:r>
        <w:t>[28]</w:t>
      </w:r>
      <w:r>
        <w:tab/>
        <w:t>P.F. Thaben, P.O. Westermark, Detecting Rhythms in Time Series with RAIN, J Biol Rhythms 29 (2014) 391–400. https://doi.org/10.1177/0748730414553029.</w:t>
      </w:r>
    </w:p>
    <w:p w14:paraId="2FC9F7E1" w14:textId="77777777" w:rsidR="009B21A9" w:rsidRDefault="009B21A9" w:rsidP="009B21A9">
      <w:pPr>
        <w:pStyle w:val="Bibliography"/>
      </w:pPr>
      <w:r>
        <w:t>[29]</w:t>
      </w:r>
      <w:r>
        <w:tab/>
        <w:t>D. Szklarczyk, R. Kirsch, M. Koutrouli, K. Nastou, F. Mehryary, R. Hachilif, A.L. Gable, T. Fang, N.T. Doncheva, S. Pyysalo, P. Bork, L.J. Jensen, C. von Mering, The STRING database in 2023: protein–protein association networks and functional enrichment analyses for any sequenced genome of interest, Nucleic Acids Res 51 (2023) D638–D646. https://doi.org/10.1093/nar/gkac1000.</w:t>
      </w:r>
    </w:p>
    <w:p w14:paraId="72374827" w14:textId="77777777" w:rsidR="009B21A9" w:rsidRDefault="009B21A9" w:rsidP="009B21A9">
      <w:pPr>
        <w:pStyle w:val="Bibliography"/>
      </w:pPr>
      <w:r>
        <w:t>[30]</w:t>
      </w:r>
      <w:r>
        <w:tab/>
        <w:t>S. Durinck, Y. Moreau, A. Kasprzyk, S. Davis, B. De Moor, A. Brazma, W. Huber, BioMart and Bioconductor: a powerful link between biological databases and microarray data analysis, Bioinformatics 21 (2005) 3439–3440. https://doi.org/10.1093/bioinformatics/bti525.</w:t>
      </w:r>
    </w:p>
    <w:p w14:paraId="4DD80311" w14:textId="77777777" w:rsidR="009B21A9" w:rsidRDefault="009B21A9" w:rsidP="009B21A9">
      <w:pPr>
        <w:pStyle w:val="Bibliography"/>
      </w:pPr>
      <w:r>
        <w:lastRenderedPageBreak/>
        <w:t>[31]</w:t>
      </w:r>
      <w:r>
        <w:tab/>
        <w:t>B.V. Almende, visNetwork: Network Visualization using “vis.js” Library, (2025). https://cran.r-project.org/web/packages/visNetwork/index.html (accessed May 20, 2026).</w:t>
      </w:r>
    </w:p>
    <w:p w14:paraId="72FA899A" w14:textId="77777777" w:rsidR="009B21A9" w:rsidRDefault="009B21A9" w:rsidP="009B21A9">
      <w:pPr>
        <w:pStyle w:val="Bibliography"/>
      </w:pPr>
      <w:r>
        <w:t>[32]</w:t>
      </w:r>
      <w:r>
        <w:tab/>
        <w:t>A.Y.-L. So, T.U. Bernal, M.L. Pillsbury, K.R. Yamamoto, B.J. Feldman, Glucocorticoid regulation of the circadian clock modulates glucose homeostasis, Proceedings of the National Academy of Sciences 106 (2009) 17582–17587. https://doi.org/10.1073/pnas.0909733106.</w:t>
      </w:r>
    </w:p>
    <w:p w14:paraId="107DBE67" w14:textId="77777777" w:rsidR="009B21A9" w:rsidRDefault="009B21A9" w:rsidP="009B21A9">
      <w:pPr>
        <w:pStyle w:val="Bibliography"/>
      </w:pPr>
      <w:r>
        <w:t>[33]</w:t>
      </w:r>
      <w:r>
        <w:tab/>
        <w:t>M.D. Ruben, G. Wu, D.F. Smith, R.E. Schmidt, L.J. Francey, Y.Y. Lee, R.C. Anafi, J.B. Hogenesch, A database of tissue-specific rhythmically expressed human genes has potential applications in circadian medicine, Sci Transl Med 10 (2018) eaat8806. https://doi.org/10.1126/scitranslmed.aat8806.</w:t>
      </w:r>
    </w:p>
    <w:p w14:paraId="42FE26CC" w14:textId="77777777" w:rsidR="009B21A9" w:rsidRDefault="009B21A9" w:rsidP="009B21A9">
      <w:pPr>
        <w:pStyle w:val="Bibliography"/>
      </w:pPr>
      <w:r>
        <w:t>[34]</w:t>
      </w:r>
      <w:r>
        <w:tab/>
        <w:t>L. Quatrini, S. Ugolini, New insights into the cell- and tissue-specificity of glucocorticoid actions, Cell Mol Immunol 18 (2021) 269–278. https://doi.org/10.1038/s41423-020-00526-2.</w:t>
      </w:r>
    </w:p>
    <w:p w14:paraId="2B232E7C" w14:textId="77777777" w:rsidR="009B21A9" w:rsidRDefault="009B21A9" w:rsidP="009B21A9">
      <w:pPr>
        <w:pStyle w:val="Bibliography"/>
      </w:pPr>
      <w:r>
        <w:t>[35]</w:t>
      </w:r>
      <w:r>
        <w:tab/>
        <w:t>R.I. Morimoto, Regulation of the heat shock transcriptional response: cross talk between a family of heat shock factors, molecular chaperones, and negative regulators, Genes Dev. 12 (1998) 3788–3796. https://doi.org/10.1101/gad.12.24.3788.</w:t>
      </w:r>
    </w:p>
    <w:p w14:paraId="7FBB24BC" w14:textId="77777777" w:rsidR="009B21A9" w:rsidRDefault="009B21A9" w:rsidP="009B21A9">
      <w:pPr>
        <w:pStyle w:val="Bibliography"/>
      </w:pPr>
      <w:r>
        <w:t>[36]</w:t>
      </w:r>
      <w:r>
        <w:tab/>
        <w:t>R. Gomez-Pastor, E.T. Burchfiel, D.J. Thiele, Regulation of heat shock transcription factors and their roles in physiology and disease, Nat Rev Mol Cell Biol 19 (2018) 4–19. https://doi.org/10.1038/nrm.2017.73.</w:t>
      </w:r>
    </w:p>
    <w:p w14:paraId="497D2A65" w14:textId="77777777" w:rsidR="009B21A9" w:rsidRDefault="009B21A9" w:rsidP="009B21A9">
      <w:pPr>
        <w:pStyle w:val="Bibliography"/>
      </w:pPr>
      <w:r>
        <w:t>[37]</w:t>
      </w:r>
      <w:r>
        <w:tab/>
        <w:t>M.C. Ortells, B. Morancho, K. Drews-Elger, B. Viollet, K.R. Laderoute, C. López-Rodríguez, J. Aramburu, Transcriptional regulation of gene expression during osmotic stress responses by the mammalian target of rapamycin, Nucleic Acids Res 40 (2012) 4368–4384. https://doi.org/10.1093/nar/gks038.</w:t>
      </w:r>
    </w:p>
    <w:p w14:paraId="61D04652" w14:textId="77777777" w:rsidR="009B21A9" w:rsidRDefault="009B21A9" w:rsidP="009B21A9">
      <w:pPr>
        <w:pStyle w:val="Bibliography"/>
      </w:pPr>
      <w:r>
        <w:t>[38]</w:t>
      </w:r>
      <w:r>
        <w:tab/>
        <w:t>K. Mordente, L. Ryder, S. Bekker-Jensen, Mechanisms underlying sensing of cellular stress signals by mammalian MAP3 kinases, Molecular Cell 84 (2024) 142–155. https://doi.org/10.1016/j.molcel.2023.11.028.</w:t>
      </w:r>
    </w:p>
    <w:p w14:paraId="0E26ABA2" w14:textId="77777777" w:rsidR="009B21A9" w:rsidRDefault="009B21A9" w:rsidP="009B21A9">
      <w:pPr>
        <w:pStyle w:val="Bibliography"/>
      </w:pPr>
      <w:r>
        <w:t>[39]</w:t>
      </w:r>
      <w:r>
        <w:tab/>
        <w:t>H. Yoshitane, K. Imamura, T. Okubo, Y. Otobe, S. Kawakami, S. Ito, T. Takumi, K. Hattori, I. Naguro, H. Ichijo, Y. Fukada, mTOR-AKT Signaling in Cellular Clock Resetting Triggered by Osmotic Stress, Antioxidants &amp; Redox Signaling 37 (2022) 631–646. https://doi.org/10.1089/ars.2021.0059.</w:t>
      </w:r>
    </w:p>
    <w:p w14:paraId="7C931248" w14:textId="77777777" w:rsidR="009B21A9" w:rsidRDefault="009B21A9" w:rsidP="009B21A9">
      <w:pPr>
        <w:pStyle w:val="Bibliography"/>
      </w:pPr>
      <w:r>
        <w:t>[40]</w:t>
      </w:r>
      <w:r>
        <w:tab/>
        <w:t>G. Solanas, F.O. Peixoto, E. Perdiguero, M. Jardí, V. Ruiz-Bonilla, D. Datta, A. Symeonidi, A. Castellanos, P.-S. Welz, J.M. Caballero, P. Sassone-Corsi, P. Muñoz-Cánoves, S.A. Benitah, Aged Stem Cells Reprogram Their Daily Rhythmic Functions to Adapt to Stress, Cell 170 (2017) 678-692.e20. https://doi.org/10.1016/j.cell.2017.07.035.</w:t>
      </w:r>
    </w:p>
    <w:p w14:paraId="31314958" w14:textId="77777777" w:rsidR="009B21A9" w:rsidRDefault="009B21A9" w:rsidP="009B21A9">
      <w:pPr>
        <w:pStyle w:val="Bibliography"/>
      </w:pPr>
      <w:r>
        <w:t>[41]</w:t>
      </w:r>
      <w:r>
        <w:tab/>
        <w:t>S. Sato, G. Solanas, F.O. Peixoto, L. Bee, A. Symeonidi, M.S. Schmidt, C. Brenner, S. Masri, S.A. Benitah, P. Sassone-Corsi, Circadian Reprogramming in the Liver Identifies Metabolic Pathways of Aging, Cell 170 (2017) 664-677.e11. https://doi.org/10.1016/j.cell.2017.07.042.</w:t>
      </w:r>
    </w:p>
    <w:p w14:paraId="4AD7921B" w14:textId="77777777" w:rsidR="009B21A9" w:rsidRDefault="009B21A9" w:rsidP="009B21A9">
      <w:pPr>
        <w:pStyle w:val="Bibliography"/>
      </w:pPr>
      <w:r>
        <w:t>[42]</w:t>
      </w:r>
      <w:r>
        <w:tab/>
        <w:t>S.-Y. Li, J.A. Hammarlund, G. Wu, J.-W. Lian, S.J. Howell, R.B. Clarke, A.D. Adamson, C.F. Gonçalves, J.B. Hogenesch, R.C. Anafi, Q.-J. Meng, Tumor circadian clock strength influences metastatic potential and predicts patient prognosis in luminal A breast cancer, Proceedings of the National Academy of Sciences 121 (2024) e2311854121. https://doi.org/10.1073/pnas.2311854121.</w:t>
      </w:r>
    </w:p>
    <w:p w14:paraId="4B0CE72E" w14:textId="77777777" w:rsidR="009B21A9" w:rsidRDefault="009B21A9" w:rsidP="009B21A9">
      <w:pPr>
        <w:pStyle w:val="Bibliography"/>
      </w:pPr>
      <w:r>
        <w:t>[43]</w:t>
      </w:r>
      <w:r>
        <w:tab/>
        <w:t>J. Husse, J.-T. Kiehn, J.L. Barclay, N. Naujokat, J. Meyer-Kovac, H. Lehnert, H. Oster, Tissue-Specific Dissociation of Diurnal Transcriptome Rhythms During Sleep Restriction in Mice, Sleep 40 (2017) zsx068. https://doi.org/10.1093/sleep/zsx068.</w:t>
      </w:r>
    </w:p>
    <w:p w14:paraId="490DB397" w14:textId="77777777" w:rsidR="009B21A9" w:rsidRDefault="009B21A9" w:rsidP="009B21A9">
      <w:pPr>
        <w:pStyle w:val="Bibliography"/>
      </w:pPr>
      <w:r>
        <w:t>[44]</w:t>
      </w:r>
      <w:r>
        <w:tab/>
        <w:t>S. Deota, T. Lin, A. Chaix, A. Williams, H. Le, H. Calligaro, R. Ramasamy, L. Huang, S. Panda, Diurnal transcriptome landscape of a multi-tissue response to time-restricted feeding in mammals, Cell Metabolism 35 (2023) 150-165.e4. https://doi.org/10.1016/j.cmet.2022.12.006.</w:t>
      </w:r>
    </w:p>
    <w:p w14:paraId="2DAF8691" w14:textId="77777777" w:rsidR="009B21A9" w:rsidRDefault="009B21A9" w:rsidP="009B21A9">
      <w:pPr>
        <w:pStyle w:val="Bibliography"/>
      </w:pPr>
      <w:r>
        <w:t>[45]</w:t>
      </w:r>
      <w:r>
        <w:tab/>
        <w:t>B.D. Weger, C. Gobet, F.P.A. David, F. Atger, E. Martin, N.E. Phillips, A. Charpagne, M. Weger, F. Naef, F. Gachon, Systematic analysis of differential rhythmic liver gene expression mediated by the circadian clock and feeding rhythms, Proceedings of the National Academy of Sciences 118 (2021) e2015803118. https://doi.org/10.1073/pnas.2015803118.</w:t>
      </w:r>
    </w:p>
    <w:p w14:paraId="41CA32EE" w14:textId="77777777" w:rsidR="009B21A9" w:rsidRDefault="009B21A9" w:rsidP="009B21A9">
      <w:pPr>
        <w:pStyle w:val="Bibliography"/>
      </w:pPr>
      <w:r>
        <w:lastRenderedPageBreak/>
        <w:t>[46]</w:t>
      </w:r>
      <w:r>
        <w:tab/>
        <w:t>G. Manella, E. Sabath, R. Aviram, V. Dandavate, S. Ezagouri, M. Golik, Y. Adamovich, G. Asher, The liver-clock coordinates rhythmicity of peripheral tissues in response to feeding, Nat Metab 3 (2021) 829–842. https://doi.org/10.1038/s42255-021-00395-7.</w:t>
      </w:r>
    </w:p>
    <w:p w14:paraId="0510AE87" w14:textId="77777777" w:rsidR="009B21A9" w:rsidRDefault="009B21A9" w:rsidP="009B21A9">
      <w:pPr>
        <w:pStyle w:val="Bibliography"/>
      </w:pPr>
      <w:r>
        <w:t>[47]</w:t>
      </w:r>
      <w:r>
        <w:tab/>
        <w:t>C. Vollmers, S. Gill, L. DiTacchio, S.R. Pulivarthy, H.D. Le, S. Panda, Time of feeding and the intrinsic circadian clock drive rhythms in hepatic gene expression, Proceedings of the National Academy of Sciences 106 (2009) 21453–21458. https://doi.org/10.1073/pnas.0909591106.</w:t>
      </w:r>
    </w:p>
    <w:p w14:paraId="6C043141" w14:textId="77777777" w:rsidR="009B21A9" w:rsidRDefault="009B21A9" w:rsidP="009B21A9">
      <w:pPr>
        <w:pStyle w:val="Bibliography"/>
      </w:pPr>
      <w:r>
        <w:t>[48]</w:t>
      </w:r>
      <w:r>
        <w:tab/>
        <w:t>A. Pueyo Moliner, K. Ito, F. Zaucke, D.J. Kelly, M. de Ruijter, J. Malda, Restoring articular cartilage: insights from structure, composition and development, Nat Rev Rheumatol 21 (2025) 291–308. https://doi.org/10.1038/s41584-025-01236-7.</w:t>
      </w:r>
    </w:p>
    <w:p w14:paraId="77E27E00" w14:textId="77777777" w:rsidR="009B21A9" w:rsidRDefault="009B21A9" w:rsidP="009B21A9">
      <w:pPr>
        <w:pStyle w:val="Bibliography"/>
      </w:pPr>
      <w:r>
        <w:t>[49]</w:t>
      </w:r>
      <w:r>
        <w:tab/>
        <w:t>C. Becher, J. Springer, S. Feil, G. Cerulli, H.H. Paessler, Intra-articular temperatures of the knee in sports – An in-vivo study of jogging and alpine skiing, BMC Musculoskelet Disord 9 (2008) 46. https://doi.org/10.1186/1471-2474-9-46.</w:t>
      </w:r>
    </w:p>
    <w:p w14:paraId="4708BBB6" w14:textId="77777777" w:rsidR="009B21A9" w:rsidRDefault="009B21A9" w:rsidP="009B21A9">
      <w:pPr>
        <w:pStyle w:val="Bibliography"/>
      </w:pPr>
      <w:r>
        <w:t>[50]</w:t>
      </w:r>
      <w:r>
        <w:tab/>
        <w:t>R.J. Maidstone, A.L. Hunter, M. Iqbal, N. Begley, M. Baxter, A.S.I. Loudon, M. Rattray, D.W. Ray, Glucocorticoid-dependence and independence of the circadian liver transcriptome, Npj Biol Timing Sleep 3 (2026) 6. https://doi.org/10.1038/s44323-025-00068-8.</w:t>
      </w:r>
    </w:p>
    <w:p w14:paraId="35161CBE" w14:textId="77777777" w:rsidR="009B21A9" w:rsidRDefault="009B21A9" w:rsidP="009B21A9">
      <w:pPr>
        <w:pStyle w:val="Bibliography"/>
      </w:pPr>
      <w:r>
        <w:t>[51]</w:t>
      </w:r>
      <w:r>
        <w:tab/>
        <w:t>A. Pizarro, K. Hayer, N.F. Lahens, J.B. Hogenesch, CircaDB: a database of mammalian circadian gene expression profiles, Nucleic Acids Res 41 (2013) D1009–D1013. https://doi.org/10.1093/nar/gks1161.</w:t>
      </w:r>
    </w:p>
    <w:p w14:paraId="2C5986E2" w14:textId="77777777" w:rsidR="009B21A9" w:rsidRDefault="009B21A9" w:rsidP="009B21A9">
      <w:pPr>
        <w:pStyle w:val="Bibliography"/>
      </w:pPr>
      <w:r>
        <w:t>[52]</w:t>
      </w:r>
      <w:r>
        <w:tab/>
        <w:t>X. Zhu, X. Han, Z. Li, X. Zhou, S.-H. Yoo, Z. Chen, Z. Ji, CircaKB: a comprehensive knowledgebase of circadian genes across multiple species, Nucleic Acids Res 53 (2025) D67–D78. https://doi.org/10.1093/nar/gkae817.</w:t>
      </w:r>
    </w:p>
    <w:p w14:paraId="780A1A30" w14:textId="4A1393B2" w:rsidR="00833B23" w:rsidRDefault="00706DF9" w:rsidP="00E2000E">
      <w:r>
        <w:fldChar w:fldCharType="end"/>
      </w:r>
    </w:p>
    <w:sectPr w:rsidR="00833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63DEA"/>
    <w:multiLevelType w:val="hybridMultilevel"/>
    <w:tmpl w:val="05224858"/>
    <w:lvl w:ilvl="0" w:tplc="BAFA939A">
      <w:start w:val="4"/>
      <w:numFmt w:val="bullet"/>
      <w:lvlText w:val=""/>
      <w:lvlJc w:val="left"/>
      <w:pPr>
        <w:ind w:left="720" w:hanging="360"/>
      </w:pPr>
      <w:rPr>
        <w:rFonts w:ascii="Symbol" w:eastAsia="Calibr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268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46"/>
    <w:rsid w:val="000066C6"/>
    <w:rsid w:val="00007B7A"/>
    <w:rsid w:val="00012442"/>
    <w:rsid w:val="000124E0"/>
    <w:rsid w:val="000229CC"/>
    <w:rsid w:val="00024A81"/>
    <w:rsid w:val="000262A5"/>
    <w:rsid w:val="00040007"/>
    <w:rsid w:val="000437CC"/>
    <w:rsid w:val="00045A09"/>
    <w:rsid w:val="00055208"/>
    <w:rsid w:val="00057FC8"/>
    <w:rsid w:val="00060ED0"/>
    <w:rsid w:val="00090B66"/>
    <w:rsid w:val="000B2F87"/>
    <w:rsid w:val="000B696F"/>
    <w:rsid w:val="000B7BEE"/>
    <w:rsid w:val="000C2DDE"/>
    <w:rsid w:val="000D1E71"/>
    <w:rsid w:val="000E2079"/>
    <w:rsid w:val="000E4824"/>
    <w:rsid w:val="000E6E6B"/>
    <w:rsid w:val="000F033D"/>
    <w:rsid w:val="000F0D37"/>
    <w:rsid w:val="000F2CE6"/>
    <w:rsid w:val="000F6A66"/>
    <w:rsid w:val="000F6B97"/>
    <w:rsid w:val="00107F9E"/>
    <w:rsid w:val="001143E9"/>
    <w:rsid w:val="00132717"/>
    <w:rsid w:val="00137EE9"/>
    <w:rsid w:val="00141B32"/>
    <w:rsid w:val="00143378"/>
    <w:rsid w:val="00146A02"/>
    <w:rsid w:val="001536A6"/>
    <w:rsid w:val="00155C29"/>
    <w:rsid w:val="001607BD"/>
    <w:rsid w:val="00172CC9"/>
    <w:rsid w:val="001824BD"/>
    <w:rsid w:val="0018293D"/>
    <w:rsid w:val="00184E33"/>
    <w:rsid w:val="00190B44"/>
    <w:rsid w:val="001A3BBE"/>
    <w:rsid w:val="001A402C"/>
    <w:rsid w:val="001A50D3"/>
    <w:rsid w:val="001A6E38"/>
    <w:rsid w:val="001B1A19"/>
    <w:rsid w:val="001B33A9"/>
    <w:rsid w:val="001C07C4"/>
    <w:rsid w:val="001C2B3C"/>
    <w:rsid w:val="001C38F4"/>
    <w:rsid w:val="001D5C63"/>
    <w:rsid w:val="001D6984"/>
    <w:rsid w:val="001E1CD5"/>
    <w:rsid w:val="001E20BF"/>
    <w:rsid w:val="001E45FD"/>
    <w:rsid w:val="001E4AAB"/>
    <w:rsid w:val="001E6825"/>
    <w:rsid w:val="001E7ED8"/>
    <w:rsid w:val="001F1D24"/>
    <w:rsid w:val="001F36B1"/>
    <w:rsid w:val="00200A2F"/>
    <w:rsid w:val="002074B7"/>
    <w:rsid w:val="00207C04"/>
    <w:rsid w:val="00212B76"/>
    <w:rsid w:val="00217DA2"/>
    <w:rsid w:val="00222E67"/>
    <w:rsid w:val="00233804"/>
    <w:rsid w:val="00240569"/>
    <w:rsid w:val="00245E91"/>
    <w:rsid w:val="00257CDD"/>
    <w:rsid w:val="0026347F"/>
    <w:rsid w:val="00265618"/>
    <w:rsid w:val="00265AAE"/>
    <w:rsid w:val="002809EE"/>
    <w:rsid w:val="00292271"/>
    <w:rsid w:val="00297B0B"/>
    <w:rsid w:val="002A079F"/>
    <w:rsid w:val="002A6BED"/>
    <w:rsid w:val="002B0ED9"/>
    <w:rsid w:val="002C02F2"/>
    <w:rsid w:val="002C3201"/>
    <w:rsid w:val="002C3733"/>
    <w:rsid w:val="002C4F2E"/>
    <w:rsid w:val="002D326E"/>
    <w:rsid w:val="002D3E15"/>
    <w:rsid w:val="002D50AC"/>
    <w:rsid w:val="002E2745"/>
    <w:rsid w:val="002F340A"/>
    <w:rsid w:val="002F3C0D"/>
    <w:rsid w:val="00311FC0"/>
    <w:rsid w:val="00323CE4"/>
    <w:rsid w:val="00323F97"/>
    <w:rsid w:val="0032634C"/>
    <w:rsid w:val="00344CD4"/>
    <w:rsid w:val="00347BE1"/>
    <w:rsid w:val="00347DF9"/>
    <w:rsid w:val="00353A1E"/>
    <w:rsid w:val="00355707"/>
    <w:rsid w:val="00367839"/>
    <w:rsid w:val="003735FB"/>
    <w:rsid w:val="00381704"/>
    <w:rsid w:val="00386C84"/>
    <w:rsid w:val="0038792F"/>
    <w:rsid w:val="00393520"/>
    <w:rsid w:val="003978C4"/>
    <w:rsid w:val="003A504A"/>
    <w:rsid w:val="003C1667"/>
    <w:rsid w:val="003D4A1C"/>
    <w:rsid w:val="003F081A"/>
    <w:rsid w:val="003F45C9"/>
    <w:rsid w:val="003F4F52"/>
    <w:rsid w:val="004020C7"/>
    <w:rsid w:val="00415AD4"/>
    <w:rsid w:val="00415EAD"/>
    <w:rsid w:val="00421C45"/>
    <w:rsid w:val="00423724"/>
    <w:rsid w:val="00436536"/>
    <w:rsid w:val="00444092"/>
    <w:rsid w:val="004453C6"/>
    <w:rsid w:val="004510A2"/>
    <w:rsid w:val="004511ED"/>
    <w:rsid w:val="00462315"/>
    <w:rsid w:val="00462F3F"/>
    <w:rsid w:val="00464BE9"/>
    <w:rsid w:val="00474C5C"/>
    <w:rsid w:val="00477B4A"/>
    <w:rsid w:val="004A42B0"/>
    <w:rsid w:val="004B0664"/>
    <w:rsid w:val="004B274B"/>
    <w:rsid w:val="004C293F"/>
    <w:rsid w:val="004D6406"/>
    <w:rsid w:val="004D68EA"/>
    <w:rsid w:val="004E0A55"/>
    <w:rsid w:val="004E2579"/>
    <w:rsid w:val="004E5BCB"/>
    <w:rsid w:val="004F1476"/>
    <w:rsid w:val="005021BA"/>
    <w:rsid w:val="0050433A"/>
    <w:rsid w:val="00532C24"/>
    <w:rsid w:val="00550491"/>
    <w:rsid w:val="005537E7"/>
    <w:rsid w:val="00593F54"/>
    <w:rsid w:val="005A120D"/>
    <w:rsid w:val="005A3C9D"/>
    <w:rsid w:val="005B7AA9"/>
    <w:rsid w:val="005C7E79"/>
    <w:rsid w:val="005D6C1A"/>
    <w:rsid w:val="005E3209"/>
    <w:rsid w:val="005E358E"/>
    <w:rsid w:val="005E3E88"/>
    <w:rsid w:val="005E7E03"/>
    <w:rsid w:val="005F192D"/>
    <w:rsid w:val="005F77C0"/>
    <w:rsid w:val="00604EB1"/>
    <w:rsid w:val="00606DAC"/>
    <w:rsid w:val="00606F9B"/>
    <w:rsid w:val="006113A5"/>
    <w:rsid w:val="00611F73"/>
    <w:rsid w:val="006236AE"/>
    <w:rsid w:val="006306EF"/>
    <w:rsid w:val="00631A71"/>
    <w:rsid w:val="00633355"/>
    <w:rsid w:val="0065285F"/>
    <w:rsid w:val="00654154"/>
    <w:rsid w:val="006619A3"/>
    <w:rsid w:val="00665A68"/>
    <w:rsid w:val="00666C85"/>
    <w:rsid w:val="006719D0"/>
    <w:rsid w:val="00676382"/>
    <w:rsid w:val="006810CE"/>
    <w:rsid w:val="006822DF"/>
    <w:rsid w:val="00690053"/>
    <w:rsid w:val="00695955"/>
    <w:rsid w:val="006967C6"/>
    <w:rsid w:val="006A0213"/>
    <w:rsid w:val="006A5B23"/>
    <w:rsid w:val="006B5B73"/>
    <w:rsid w:val="006C1071"/>
    <w:rsid w:val="006D3D14"/>
    <w:rsid w:val="006F69D0"/>
    <w:rsid w:val="00700973"/>
    <w:rsid w:val="0070140A"/>
    <w:rsid w:val="00703EE9"/>
    <w:rsid w:val="0070488F"/>
    <w:rsid w:val="00706DF9"/>
    <w:rsid w:val="0071463C"/>
    <w:rsid w:val="00717CA3"/>
    <w:rsid w:val="00722442"/>
    <w:rsid w:val="007306D5"/>
    <w:rsid w:val="00734087"/>
    <w:rsid w:val="00752C03"/>
    <w:rsid w:val="00754C03"/>
    <w:rsid w:val="00757526"/>
    <w:rsid w:val="0075792E"/>
    <w:rsid w:val="00761A99"/>
    <w:rsid w:val="0076355F"/>
    <w:rsid w:val="00775FBB"/>
    <w:rsid w:val="00785C85"/>
    <w:rsid w:val="00793148"/>
    <w:rsid w:val="00795192"/>
    <w:rsid w:val="007A69A2"/>
    <w:rsid w:val="007B15BD"/>
    <w:rsid w:val="007B7D4C"/>
    <w:rsid w:val="007C5CFB"/>
    <w:rsid w:val="007D301A"/>
    <w:rsid w:val="007D600B"/>
    <w:rsid w:val="007D7FF0"/>
    <w:rsid w:val="007E0BE0"/>
    <w:rsid w:val="007E25BC"/>
    <w:rsid w:val="007E5845"/>
    <w:rsid w:val="007E64A2"/>
    <w:rsid w:val="007F26BF"/>
    <w:rsid w:val="007F3325"/>
    <w:rsid w:val="007F5BBD"/>
    <w:rsid w:val="0080729E"/>
    <w:rsid w:val="008075EB"/>
    <w:rsid w:val="00812CC6"/>
    <w:rsid w:val="00817210"/>
    <w:rsid w:val="00825A7C"/>
    <w:rsid w:val="00826DD9"/>
    <w:rsid w:val="00833B23"/>
    <w:rsid w:val="00834B22"/>
    <w:rsid w:val="00835360"/>
    <w:rsid w:val="00836D7C"/>
    <w:rsid w:val="008379FC"/>
    <w:rsid w:val="00841B00"/>
    <w:rsid w:val="008464B2"/>
    <w:rsid w:val="00852777"/>
    <w:rsid w:val="00862585"/>
    <w:rsid w:val="0087477C"/>
    <w:rsid w:val="008811AD"/>
    <w:rsid w:val="00886EFD"/>
    <w:rsid w:val="0088715B"/>
    <w:rsid w:val="008920AE"/>
    <w:rsid w:val="008972A2"/>
    <w:rsid w:val="008A2DE3"/>
    <w:rsid w:val="008A5AF3"/>
    <w:rsid w:val="008A6E75"/>
    <w:rsid w:val="008B14E0"/>
    <w:rsid w:val="008B24BE"/>
    <w:rsid w:val="008B3426"/>
    <w:rsid w:val="008B470E"/>
    <w:rsid w:val="008C251F"/>
    <w:rsid w:val="008E0B81"/>
    <w:rsid w:val="008F0468"/>
    <w:rsid w:val="008F1246"/>
    <w:rsid w:val="008F37D4"/>
    <w:rsid w:val="008F4028"/>
    <w:rsid w:val="009009DA"/>
    <w:rsid w:val="00901DC1"/>
    <w:rsid w:val="009020BD"/>
    <w:rsid w:val="0093287A"/>
    <w:rsid w:val="00944368"/>
    <w:rsid w:val="00953945"/>
    <w:rsid w:val="00970A64"/>
    <w:rsid w:val="00970FB5"/>
    <w:rsid w:val="009734AB"/>
    <w:rsid w:val="00973B51"/>
    <w:rsid w:val="0098270C"/>
    <w:rsid w:val="00986041"/>
    <w:rsid w:val="009A20AC"/>
    <w:rsid w:val="009A32B7"/>
    <w:rsid w:val="009A3919"/>
    <w:rsid w:val="009A7E09"/>
    <w:rsid w:val="009B21A9"/>
    <w:rsid w:val="009C10BA"/>
    <w:rsid w:val="009D3ED6"/>
    <w:rsid w:val="009E6045"/>
    <w:rsid w:val="009E7E7E"/>
    <w:rsid w:val="009F153E"/>
    <w:rsid w:val="009F7476"/>
    <w:rsid w:val="00A001B0"/>
    <w:rsid w:val="00A23134"/>
    <w:rsid w:val="00A23A71"/>
    <w:rsid w:val="00A30461"/>
    <w:rsid w:val="00A32B5A"/>
    <w:rsid w:val="00A36929"/>
    <w:rsid w:val="00A37F9A"/>
    <w:rsid w:val="00A42A45"/>
    <w:rsid w:val="00A44979"/>
    <w:rsid w:val="00A452D8"/>
    <w:rsid w:val="00A50C4D"/>
    <w:rsid w:val="00A542C4"/>
    <w:rsid w:val="00A600E5"/>
    <w:rsid w:val="00A61ACC"/>
    <w:rsid w:val="00A62FE6"/>
    <w:rsid w:val="00A70A4A"/>
    <w:rsid w:val="00A74DF0"/>
    <w:rsid w:val="00A93901"/>
    <w:rsid w:val="00A94C4D"/>
    <w:rsid w:val="00AA24FB"/>
    <w:rsid w:val="00AA271B"/>
    <w:rsid w:val="00AA54B7"/>
    <w:rsid w:val="00AA6161"/>
    <w:rsid w:val="00AA652A"/>
    <w:rsid w:val="00AA67FB"/>
    <w:rsid w:val="00AC121C"/>
    <w:rsid w:val="00AC3196"/>
    <w:rsid w:val="00AC5CA8"/>
    <w:rsid w:val="00AC6BE6"/>
    <w:rsid w:val="00AD7CC8"/>
    <w:rsid w:val="00AE67A0"/>
    <w:rsid w:val="00AF60FE"/>
    <w:rsid w:val="00B001B2"/>
    <w:rsid w:val="00B01EA0"/>
    <w:rsid w:val="00B025D1"/>
    <w:rsid w:val="00B04087"/>
    <w:rsid w:val="00B27647"/>
    <w:rsid w:val="00B31047"/>
    <w:rsid w:val="00B31CC9"/>
    <w:rsid w:val="00B37DB2"/>
    <w:rsid w:val="00B470B6"/>
    <w:rsid w:val="00B6224A"/>
    <w:rsid w:val="00B62323"/>
    <w:rsid w:val="00B67150"/>
    <w:rsid w:val="00B712C1"/>
    <w:rsid w:val="00B777B4"/>
    <w:rsid w:val="00B81686"/>
    <w:rsid w:val="00B851B6"/>
    <w:rsid w:val="00B87509"/>
    <w:rsid w:val="00B92645"/>
    <w:rsid w:val="00BB4CFA"/>
    <w:rsid w:val="00BD0190"/>
    <w:rsid w:val="00BD02D5"/>
    <w:rsid w:val="00BD598B"/>
    <w:rsid w:val="00BD6955"/>
    <w:rsid w:val="00BE4341"/>
    <w:rsid w:val="00BF3390"/>
    <w:rsid w:val="00BF3B4B"/>
    <w:rsid w:val="00BF6681"/>
    <w:rsid w:val="00BF7CE7"/>
    <w:rsid w:val="00C12912"/>
    <w:rsid w:val="00C12D5F"/>
    <w:rsid w:val="00C14AF4"/>
    <w:rsid w:val="00C24A00"/>
    <w:rsid w:val="00C3546A"/>
    <w:rsid w:val="00C44527"/>
    <w:rsid w:val="00C453AD"/>
    <w:rsid w:val="00C534E3"/>
    <w:rsid w:val="00C5382D"/>
    <w:rsid w:val="00C55E49"/>
    <w:rsid w:val="00C55FCA"/>
    <w:rsid w:val="00C5636F"/>
    <w:rsid w:val="00C5718E"/>
    <w:rsid w:val="00C73425"/>
    <w:rsid w:val="00C776BC"/>
    <w:rsid w:val="00C82976"/>
    <w:rsid w:val="00C83D60"/>
    <w:rsid w:val="00CA66A1"/>
    <w:rsid w:val="00CB3831"/>
    <w:rsid w:val="00CB6F46"/>
    <w:rsid w:val="00CC3754"/>
    <w:rsid w:val="00CD0156"/>
    <w:rsid w:val="00CD64B9"/>
    <w:rsid w:val="00CE1756"/>
    <w:rsid w:val="00CF3F72"/>
    <w:rsid w:val="00CF5117"/>
    <w:rsid w:val="00D13950"/>
    <w:rsid w:val="00D31551"/>
    <w:rsid w:val="00D3454F"/>
    <w:rsid w:val="00D45B61"/>
    <w:rsid w:val="00D578FA"/>
    <w:rsid w:val="00D616F0"/>
    <w:rsid w:val="00D66349"/>
    <w:rsid w:val="00D722EA"/>
    <w:rsid w:val="00D7242A"/>
    <w:rsid w:val="00D740E9"/>
    <w:rsid w:val="00D83D33"/>
    <w:rsid w:val="00D90D4B"/>
    <w:rsid w:val="00D965F3"/>
    <w:rsid w:val="00D97012"/>
    <w:rsid w:val="00DA02A6"/>
    <w:rsid w:val="00DA25D6"/>
    <w:rsid w:val="00DA40A0"/>
    <w:rsid w:val="00DD6335"/>
    <w:rsid w:val="00DE5BEE"/>
    <w:rsid w:val="00DF132D"/>
    <w:rsid w:val="00DF136F"/>
    <w:rsid w:val="00DF4BD0"/>
    <w:rsid w:val="00DF6A9E"/>
    <w:rsid w:val="00DF792C"/>
    <w:rsid w:val="00E0042C"/>
    <w:rsid w:val="00E00F04"/>
    <w:rsid w:val="00E057D7"/>
    <w:rsid w:val="00E0614D"/>
    <w:rsid w:val="00E1376F"/>
    <w:rsid w:val="00E2000E"/>
    <w:rsid w:val="00E207C3"/>
    <w:rsid w:val="00E26AEE"/>
    <w:rsid w:val="00E303D8"/>
    <w:rsid w:val="00E35B93"/>
    <w:rsid w:val="00E46CF1"/>
    <w:rsid w:val="00E67F4E"/>
    <w:rsid w:val="00E73EB3"/>
    <w:rsid w:val="00E775A1"/>
    <w:rsid w:val="00EA5007"/>
    <w:rsid w:val="00EB0F9D"/>
    <w:rsid w:val="00EB6280"/>
    <w:rsid w:val="00EB7F01"/>
    <w:rsid w:val="00EC33AA"/>
    <w:rsid w:val="00EC4311"/>
    <w:rsid w:val="00EC5866"/>
    <w:rsid w:val="00EE3B02"/>
    <w:rsid w:val="00EE5995"/>
    <w:rsid w:val="00EF1B6A"/>
    <w:rsid w:val="00EF3E73"/>
    <w:rsid w:val="00F01477"/>
    <w:rsid w:val="00F13AA3"/>
    <w:rsid w:val="00F15183"/>
    <w:rsid w:val="00F22E3A"/>
    <w:rsid w:val="00F272F2"/>
    <w:rsid w:val="00F30985"/>
    <w:rsid w:val="00F31255"/>
    <w:rsid w:val="00F33B45"/>
    <w:rsid w:val="00F343AF"/>
    <w:rsid w:val="00F37C64"/>
    <w:rsid w:val="00F40258"/>
    <w:rsid w:val="00F6100E"/>
    <w:rsid w:val="00F6224F"/>
    <w:rsid w:val="00F62DC5"/>
    <w:rsid w:val="00F70622"/>
    <w:rsid w:val="00F71230"/>
    <w:rsid w:val="00F76840"/>
    <w:rsid w:val="00F76D8D"/>
    <w:rsid w:val="00F80CA4"/>
    <w:rsid w:val="00F85878"/>
    <w:rsid w:val="00F9069B"/>
    <w:rsid w:val="00F94FE5"/>
    <w:rsid w:val="00FC66AE"/>
    <w:rsid w:val="00FD2211"/>
    <w:rsid w:val="00FD33D4"/>
    <w:rsid w:val="00FD36B2"/>
    <w:rsid w:val="00FD6877"/>
    <w:rsid w:val="00FE2E58"/>
    <w:rsid w:val="00FE30B5"/>
    <w:rsid w:val="00FE4DAE"/>
    <w:rsid w:val="00FE7BF0"/>
    <w:rsid w:val="00FF5F1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012E4"/>
  <w15:chartTrackingRefBased/>
  <w15:docId w15:val="{45EFCAF9-AB25-4FF3-BB28-7C0C4EDC0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246"/>
    <w:rPr>
      <w:rFonts w:eastAsiaTheme="majorEastAsia" w:cstheme="majorBidi"/>
      <w:color w:val="272727" w:themeColor="text1" w:themeTint="D8"/>
    </w:rPr>
  </w:style>
  <w:style w:type="paragraph" w:styleId="Title">
    <w:name w:val="Title"/>
    <w:basedOn w:val="Normal"/>
    <w:next w:val="Normal"/>
    <w:link w:val="TitleChar"/>
    <w:uiPriority w:val="10"/>
    <w:qFormat/>
    <w:rsid w:val="008F1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246"/>
    <w:pPr>
      <w:spacing w:before="160"/>
      <w:jc w:val="center"/>
    </w:pPr>
    <w:rPr>
      <w:i/>
      <w:iCs/>
      <w:color w:val="404040" w:themeColor="text1" w:themeTint="BF"/>
    </w:rPr>
  </w:style>
  <w:style w:type="character" w:customStyle="1" w:styleId="QuoteChar">
    <w:name w:val="Quote Char"/>
    <w:basedOn w:val="DefaultParagraphFont"/>
    <w:link w:val="Quote"/>
    <w:uiPriority w:val="29"/>
    <w:rsid w:val="008F1246"/>
    <w:rPr>
      <w:i/>
      <w:iCs/>
      <w:color w:val="404040" w:themeColor="text1" w:themeTint="BF"/>
    </w:rPr>
  </w:style>
  <w:style w:type="paragraph" w:styleId="ListParagraph">
    <w:name w:val="List Paragraph"/>
    <w:basedOn w:val="Normal"/>
    <w:uiPriority w:val="34"/>
    <w:qFormat/>
    <w:rsid w:val="008F1246"/>
    <w:pPr>
      <w:ind w:left="720"/>
      <w:contextualSpacing/>
    </w:pPr>
  </w:style>
  <w:style w:type="character" w:styleId="IntenseEmphasis">
    <w:name w:val="Intense Emphasis"/>
    <w:basedOn w:val="DefaultParagraphFont"/>
    <w:uiPriority w:val="21"/>
    <w:qFormat/>
    <w:rsid w:val="008F1246"/>
    <w:rPr>
      <w:i/>
      <w:iCs/>
      <w:color w:val="2F5496" w:themeColor="accent1" w:themeShade="BF"/>
    </w:rPr>
  </w:style>
  <w:style w:type="paragraph" w:styleId="IntenseQuote">
    <w:name w:val="Intense Quote"/>
    <w:basedOn w:val="Normal"/>
    <w:next w:val="Normal"/>
    <w:link w:val="IntenseQuoteChar"/>
    <w:uiPriority w:val="30"/>
    <w:qFormat/>
    <w:rsid w:val="008F1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246"/>
    <w:rPr>
      <w:i/>
      <w:iCs/>
      <w:color w:val="2F5496" w:themeColor="accent1" w:themeShade="BF"/>
    </w:rPr>
  </w:style>
  <w:style w:type="character" w:styleId="IntenseReference">
    <w:name w:val="Intense Reference"/>
    <w:basedOn w:val="DefaultParagraphFont"/>
    <w:uiPriority w:val="32"/>
    <w:qFormat/>
    <w:rsid w:val="008F1246"/>
    <w:rPr>
      <w:b/>
      <w:bCs/>
      <w:smallCaps/>
      <w:color w:val="2F5496" w:themeColor="accent1" w:themeShade="BF"/>
      <w:spacing w:val="5"/>
    </w:rPr>
  </w:style>
  <w:style w:type="character" w:styleId="Hyperlink">
    <w:name w:val="Hyperlink"/>
    <w:basedOn w:val="DefaultParagraphFont"/>
    <w:uiPriority w:val="99"/>
    <w:unhideWhenUsed/>
    <w:rsid w:val="00265AAE"/>
    <w:rPr>
      <w:color w:val="0563C1" w:themeColor="hyperlink"/>
      <w:u w:val="single"/>
    </w:rPr>
  </w:style>
  <w:style w:type="character" w:styleId="UnresolvedMention">
    <w:name w:val="Unresolved Mention"/>
    <w:basedOn w:val="DefaultParagraphFont"/>
    <w:uiPriority w:val="99"/>
    <w:semiHidden/>
    <w:unhideWhenUsed/>
    <w:rsid w:val="00265AAE"/>
    <w:rPr>
      <w:color w:val="605E5C"/>
      <w:shd w:val="clear" w:color="auto" w:fill="E1DFDD"/>
    </w:rPr>
  </w:style>
  <w:style w:type="paragraph" w:styleId="Bibliography">
    <w:name w:val="Bibliography"/>
    <w:basedOn w:val="Normal"/>
    <w:next w:val="Normal"/>
    <w:uiPriority w:val="37"/>
    <w:unhideWhenUsed/>
    <w:rsid w:val="00706DF9"/>
    <w:pPr>
      <w:tabs>
        <w:tab w:val="left" w:pos="504"/>
      </w:tabs>
      <w:spacing w:after="0" w:line="240" w:lineRule="auto"/>
      <w:ind w:left="504" w:hanging="504"/>
    </w:pPr>
  </w:style>
  <w:style w:type="paragraph" w:styleId="NormalWeb">
    <w:name w:val="Normal (Web)"/>
    <w:basedOn w:val="Normal"/>
    <w:uiPriority w:val="99"/>
    <w:semiHidden/>
    <w:unhideWhenUsed/>
    <w:rsid w:val="00B31047"/>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07F9E"/>
    <w:rPr>
      <w:sz w:val="16"/>
      <w:szCs w:val="16"/>
    </w:rPr>
  </w:style>
  <w:style w:type="paragraph" w:styleId="CommentText">
    <w:name w:val="annotation text"/>
    <w:basedOn w:val="Normal"/>
    <w:link w:val="CommentTextChar"/>
    <w:uiPriority w:val="99"/>
    <w:unhideWhenUsed/>
    <w:rsid w:val="00107F9E"/>
    <w:pPr>
      <w:spacing w:line="240" w:lineRule="auto"/>
    </w:pPr>
    <w:rPr>
      <w:sz w:val="20"/>
      <w:szCs w:val="20"/>
    </w:rPr>
  </w:style>
  <w:style w:type="character" w:customStyle="1" w:styleId="CommentTextChar">
    <w:name w:val="Comment Text Char"/>
    <w:basedOn w:val="DefaultParagraphFont"/>
    <w:link w:val="CommentText"/>
    <w:uiPriority w:val="99"/>
    <w:rsid w:val="00107F9E"/>
    <w:rPr>
      <w:sz w:val="20"/>
      <w:szCs w:val="20"/>
    </w:rPr>
  </w:style>
  <w:style w:type="paragraph" w:styleId="CommentSubject">
    <w:name w:val="annotation subject"/>
    <w:basedOn w:val="CommentText"/>
    <w:next w:val="CommentText"/>
    <w:link w:val="CommentSubjectChar"/>
    <w:uiPriority w:val="99"/>
    <w:semiHidden/>
    <w:unhideWhenUsed/>
    <w:rsid w:val="00107F9E"/>
    <w:rPr>
      <w:b/>
      <w:bCs/>
    </w:rPr>
  </w:style>
  <w:style w:type="character" w:customStyle="1" w:styleId="CommentSubjectChar">
    <w:name w:val="Comment Subject Char"/>
    <w:basedOn w:val="CommentTextChar"/>
    <w:link w:val="CommentSubject"/>
    <w:uiPriority w:val="99"/>
    <w:semiHidden/>
    <w:rsid w:val="00107F9E"/>
    <w:rPr>
      <w:b/>
      <w:bCs/>
      <w:sz w:val="20"/>
      <w:szCs w:val="20"/>
    </w:rPr>
  </w:style>
  <w:style w:type="paragraph" w:styleId="Revision">
    <w:name w:val="Revision"/>
    <w:hidden/>
    <w:uiPriority w:val="99"/>
    <w:semiHidden/>
    <w:rsid w:val="00B025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i.ac.uk/biostudies/arrayexpress/studies/E-MTAB-11040" TargetMode="External"/><Relationship Id="rId13" Type="http://schemas.openxmlformats.org/officeDocument/2006/relationships/hyperlink" Target="https://github.com/Michal0110/BodyClocks" TargetMode="External"/><Relationship Id="rId3" Type="http://schemas.openxmlformats.org/officeDocument/2006/relationships/styles" Target="styles.xml"/><Relationship Id="rId7" Type="http://schemas.openxmlformats.org/officeDocument/2006/relationships/hyperlink" Target="mailto:Michal.Dudek@manchester.ac.uk" TargetMode="External"/><Relationship Id="rId12" Type="http://schemas.openxmlformats.org/officeDocument/2006/relationships/hyperlink" Target="https://github.com/Michal0110/BodyClocks_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Qing-Jun.Meng@manchester.ac.uk" TargetMode="External"/><Relationship Id="rId11" Type="http://schemas.openxmlformats.org/officeDocument/2006/relationships/hyperlink" Target="https://github.com/Michal0110/BodyClock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ichal0110/BodyClocks_data" TargetMode="External"/><Relationship Id="rId4" Type="http://schemas.openxmlformats.org/officeDocument/2006/relationships/settings" Target="settings.xml"/><Relationship Id="rId9" Type="http://schemas.openxmlformats.org/officeDocument/2006/relationships/hyperlink" Target="https://www.ebi.ac.uk/biostudies/ArrayExpress/studies/E-MTAB-342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2375C-0394-4112-91C4-E74CD45E2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27542</Words>
  <Characters>174347</Characters>
  <Application>Microsoft Office Word</Application>
  <DocSecurity>0</DocSecurity>
  <Lines>2455</Lines>
  <Paragraphs>531</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201358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Dudek</dc:creator>
  <cp:keywords/>
  <dc:description/>
  <cp:lastModifiedBy>Michal Dudek</cp:lastModifiedBy>
  <cp:revision>3</cp:revision>
  <dcterms:created xsi:type="dcterms:W3CDTF">2026-07-10T11:14:00Z</dcterms:created>
  <dcterms:modified xsi:type="dcterms:W3CDTF">2026-07-10T11:14:00Z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id="fmCYmJCr"/&gt;&lt;style id="http://www.zotero.org/styles/matrix-biology" hasBibliography="1" bibliographyStyleHasBeenSet="1"/&gt;&lt;prefs&gt;&lt;pref name="fieldType" value="Field"/&gt;&lt;/prefs&gt;&lt;/data&gt;</vt:lpwstr>
  </property>
</Properties>
</file>