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E3A032" w14:textId="77777777" w:rsidR="0071191B" w:rsidRPr="0071191B" w:rsidRDefault="0071191B" w:rsidP="0071191B">
      <w:pPr>
        <w:spacing w:after="0" w:line="240" w:lineRule="auto"/>
        <w:jc w:val="center"/>
        <w:rPr>
          <w:rFonts w:ascii="Times New Roman" w:eastAsia="Calibri" w:hAnsi="Times New Roman" w:cs="Times New Roman"/>
          <w:noProof/>
          <w:sz w:val="24"/>
          <w:szCs w:val="24"/>
          <w:lang w:val="en-GB"/>
        </w:rPr>
      </w:pPr>
      <w:r w:rsidRPr="0071191B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t xml:space="preserve">Table </w:t>
      </w:r>
      <w:r w:rsidRPr="0071191B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t>10</w:t>
      </w:r>
    </w:p>
    <w:p w14:paraId="78857F6C" w14:textId="751C9DD2" w:rsidR="0071191B" w:rsidRPr="0071191B" w:rsidRDefault="0071191B" w:rsidP="0071191B">
      <w:pPr>
        <w:spacing w:after="0" w:line="240" w:lineRule="auto"/>
        <w:jc w:val="center"/>
        <w:rPr>
          <w:rFonts w:ascii="Times New Roman" w:eastAsia="Calibri" w:hAnsi="Times New Roman" w:cs="Times New Roman"/>
          <w:noProof/>
          <w:sz w:val="24"/>
          <w:szCs w:val="24"/>
          <w:lang w:val="en-GB"/>
        </w:rPr>
      </w:pPr>
      <w:r w:rsidRPr="0071191B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t xml:space="preserve">Per-stanza average number of clauses in the </w:t>
      </w:r>
      <w:r w:rsidRPr="0071191B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t xml:space="preserve">thirty-stanza sections of </w:t>
      </w:r>
      <w:r w:rsidRPr="0071191B">
        <w:rPr>
          <w:rFonts w:ascii="Times New Roman" w:eastAsia="Calibri" w:hAnsi="Times New Roman" w:cs="Times New Roman"/>
          <w:i/>
          <w:iCs/>
          <w:noProof/>
          <w:sz w:val="24"/>
          <w:szCs w:val="24"/>
          <w:lang w:val="en-GB"/>
        </w:rPr>
        <w:t>Marína</w:t>
      </w:r>
    </w:p>
    <w:p w14:paraId="34763A3C" w14:textId="77777777" w:rsidR="0071191B" w:rsidRPr="0071191B" w:rsidRDefault="0071191B" w:rsidP="0071191B">
      <w:pPr>
        <w:spacing w:after="0" w:line="240" w:lineRule="auto"/>
        <w:jc w:val="center"/>
        <w:rPr>
          <w:rFonts w:ascii="Times New Roman" w:eastAsia="Calibri" w:hAnsi="Times New Roman" w:cs="Times New Roman"/>
          <w:noProof/>
          <w:sz w:val="24"/>
          <w:szCs w:val="24"/>
          <w:lang w:val="en-GB"/>
        </w:rPr>
      </w:pPr>
    </w:p>
    <w:tbl>
      <w:tblPr>
        <w:tblStyle w:val="Mkatabulky31"/>
        <w:tblW w:w="0" w:type="auto"/>
        <w:jc w:val="center"/>
        <w:tblLook w:val="04A0" w:firstRow="1" w:lastRow="0" w:firstColumn="1" w:lastColumn="0" w:noHBand="0" w:noVBand="1"/>
      </w:tblPr>
      <w:tblGrid>
        <w:gridCol w:w="1199"/>
        <w:gridCol w:w="2509"/>
      </w:tblGrid>
      <w:tr w:rsidR="0071191B" w:rsidRPr="0071191B" w14:paraId="55EB264B" w14:textId="77777777" w:rsidTr="00C60595">
        <w:trPr>
          <w:trHeight w:val="292"/>
          <w:jc w:val="center"/>
        </w:trPr>
        <w:tc>
          <w:tcPr>
            <w:tcW w:w="1199" w:type="dxa"/>
            <w:noWrap/>
            <w:vAlign w:val="center"/>
            <w:hideMark/>
          </w:tcPr>
          <w:p w14:paraId="36A4EE22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Stanzas</w:t>
            </w:r>
          </w:p>
        </w:tc>
        <w:tc>
          <w:tcPr>
            <w:tcW w:w="2509" w:type="dxa"/>
            <w:noWrap/>
            <w:vAlign w:val="center"/>
            <w:hideMark/>
          </w:tcPr>
          <w:p w14:paraId="70505C20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Number of Clauses</w:t>
            </w:r>
          </w:p>
        </w:tc>
      </w:tr>
      <w:tr w:rsidR="0071191B" w:rsidRPr="0071191B" w14:paraId="25A40D30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3928F006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1–30</w:t>
            </w:r>
          </w:p>
        </w:tc>
        <w:tc>
          <w:tcPr>
            <w:tcW w:w="2509" w:type="dxa"/>
            <w:noWrap/>
            <w:hideMark/>
          </w:tcPr>
          <w:p w14:paraId="728CFBC8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7.70</w:t>
            </w:r>
          </w:p>
        </w:tc>
      </w:tr>
      <w:tr w:rsidR="0071191B" w:rsidRPr="0071191B" w14:paraId="5400C49A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219AA2B6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31–60</w:t>
            </w:r>
          </w:p>
        </w:tc>
        <w:tc>
          <w:tcPr>
            <w:tcW w:w="2509" w:type="dxa"/>
            <w:noWrap/>
            <w:hideMark/>
          </w:tcPr>
          <w:p w14:paraId="4460E367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6.89</w:t>
            </w:r>
          </w:p>
        </w:tc>
      </w:tr>
      <w:tr w:rsidR="0071191B" w:rsidRPr="0071191B" w14:paraId="5E14B8A6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3C832E26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61–90</w:t>
            </w:r>
          </w:p>
        </w:tc>
        <w:tc>
          <w:tcPr>
            <w:tcW w:w="2509" w:type="dxa"/>
            <w:noWrap/>
            <w:hideMark/>
          </w:tcPr>
          <w:p w14:paraId="0F8E385B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6.87</w:t>
            </w:r>
          </w:p>
        </w:tc>
      </w:tr>
      <w:tr w:rsidR="0071191B" w:rsidRPr="0071191B" w14:paraId="5918F7A6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5BFC9DFB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91–120</w:t>
            </w:r>
          </w:p>
        </w:tc>
        <w:tc>
          <w:tcPr>
            <w:tcW w:w="2509" w:type="dxa"/>
            <w:noWrap/>
            <w:hideMark/>
          </w:tcPr>
          <w:p w14:paraId="054592AF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8.13</w:t>
            </w:r>
          </w:p>
        </w:tc>
      </w:tr>
      <w:tr w:rsidR="0071191B" w:rsidRPr="0071191B" w14:paraId="6AC5B879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2DE17E5C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121–150</w:t>
            </w:r>
          </w:p>
        </w:tc>
        <w:tc>
          <w:tcPr>
            <w:tcW w:w="2509" w:type="dxa"/>
            <w:noWrap/>
            <w:hideMark/>
          </w:tcPr>
          <w:p w14:paraId="3EB96E35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8.67</w:t>
            </w:r>
          </w:p>
        </w:tc>
      </w:tr>
      <w:tr w:rsidR="0071191B" w:rsidRPr="0071191B" w14:paraId="3667999F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3E42F643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151–180</w:t>
            </w:r>
          </w:p>
        </w:tc>
        <w:tc>
          <w:tcPr>
            <w:tcW w:w="2509" w:type="dxa"/>
            <w:noWrap/>
            <w:hideMark/>
          </w:tcPr>
          <w:p w14:paraId="29EE4F5E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8.03</w:t>
            </w:r>
          </w:p>
        </w:tc>
      </w:tr>
      <w:tr w:rsidR="0071191B" w:rsidRPr="0071191B" w14:paraId="73CCE931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3F7D45C0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181–210</w:t>
            </w:r>
          </w:p>
        </w:tc>
        <w:tc>
          <w:tcPr>
            <w:tcW w:w="2509" w:type="dxa"/>
            <w:noWrap/>
            <w:hideMark/>
          </w:tcPr>
          <w:p w14:paraId="43E99A30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7.97</w:t>
            </w:r>
          </w:p>
        </w:tc>
      </w:tr>
      <w:tr w:rsidR="0071191B" w:rsidRPr="0071191B" w14:paraId="60B46F63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171B0121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211–240</w:t>
            </w:r>
          </w:p>
        </w:tc>
        <w:tc>
          <w:tcPr>
            <w:tcW w:w="2509" w:type="dxa"/>
            <w:noWrap/>
            <w:hideMark/>
          </w:tcPr>
          <w:p w14:paraId="0206FA13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7.03</w:t>
            </w:r>
          </w:p>
        </w:tc>
      </w:tr>
      <w:tr w:rsidR="0071191B" w:rsidRPr="0071191B" w14:paraId="697F71D1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0522038F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241–270</w:t>
            </w:r>
          </w:p>
        </w:tc>
        <w:tc>
          <w:tcPr>
            <w:tcW w:w="2509" w:type="dxa"/>
            <w:noWrap/>
            <w:hideMark/>
          </w:tcPr>
          <w:p w14:paraId="04EF4039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7.80</w:t>
            </w:r>
          </w:p>
        </w:tc>
      </w:tr>
      <w:tr w:rsidR="0071191B" w:rsidRPr="0071191B" w14:paraId="14CCB911" w14:textId="77777777" w:rsidTr="00C60595">
        <w:trPr>
          <w:trHeight w:val="292"/>
          <w:jc w:val="center"/>
        </w:trPr>
        <w:tc>
          <w:tcPr>
            <w:tcW w:w="1199" w:type="dxa"/>
            <w:noWrap/>
            <w:hideMark/>
          </w:tcPr>
          <w:p w14:paraId="593E5815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271–291</w:t>
            </w:r>
          </w:p>
        </w:tc>
        <w:tc>
          <w:tcPr>
            <w:tcW w:w="2509" w:type="dxa"/>
            <w:noWrap/>
            <w:hideMark/>
          </w:tcPr>
          <w:p w14:paraId="47C612D1" w14:textId="77777777" w:rsidR="0071191B" w:rsidRPr="0071191B" w:rsidRDefault="0071191B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71191B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7.00</w:t>
            </w:r>
          </w:p>
        </w:tc>
      </w:tr>
    </w:tbl>
    <w:p w14:paraId="0CE46C30" w14:textId="77777777" w:rsidR="00226B48" w:rsidRPr="0071191B" w:rsidRDefault="00226B48">
      <w:pPr>
        <w:rPr>
          <w:sz w:val="24"/>
          <w:szCs w:val="24"/>
        </w:rPr>
      </w:pPr>
    </w:p>
    <w:sectPr w:rsidR="00226B48" w:rsidRPr="007119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1B"/>
    <w:rsid w:val="00226B48"/>
    <w:rsid w:val="002412B7"/>
    <w:rsid w:val="00296740"/>
    <w:rsid w:val="0071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4C89F"/>
  <w15:chartTrackingRefBased/>
  <w15:docId w15:val="{B88BC9A9-45F9-4B01-AA29-A4650CA6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1191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Mkatabulky31">
    <w:name w:val="Mřížka tabulky31"/>
    <w:basedOn w:val="Normlntabulka"/>
    <w:next w:val="Mkatabulky"/>
    <w:uiPriority w:val="39"/>
    <w:rsid w:val="0071191B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711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212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2020-10-28T13:54:00Z</dcterms:created>
  <dcterms:modified xsi:type="dcterms:W3CDTF">2020-10-28T13:56:00Z</dcterms:modified>
</cp:coreProperties>
</file>