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6C101" w14:textId="1BB51A10" w:rsidR="00D07628" w:rsidRPr="00D07628" w:rsidRDefault="00D07628" w:rsidP="00D0762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076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Table </w:t>
      </w:r>
      <w:r w:rsidRPr="00D07628">
        <w:rPr>
          <w:rFonts w:ascii="Times New Roman" w:eastAsia="Calibri" w:hAnsi="Times New Roman" w:cs="Times New Roman"/>
          <w:sz w:val="24"/>
          <w:szCs w:val="24"/>
          <w:lang w:val="en-GB"/>
        </w:rPr>
        <w:t>13</w:t>
      </w:r>
    </w:p>
    <w:p w14:paraId="4A9AC77E" w14:textId="77777777" w:rsidR="00D07628" w:rsidRPr="00D07628" w:rsidRDefault="00D07628" w:rsidP="00D0762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076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Proportions of significantly deviating clauses in the sets of thirty </w:t>
      </w:r>
      <w:proofErr w:type="spellStart"/>
      <w:r w:rsidRPr="00D07628">
        <w:rPr>
          <w:rFonts w:ascii="Times New Roman" w:eastAsia="Calibri" w:hAnsi="Times New Roman" w:cs="Times New Roman"/>
          <w:i/>
          <w:sz w:val="24"/>
          <w:szCs w:val="24"/>
          <w:lang w:val="en-GB"/>
        </w:rPr>
        <w:t>Marína</w:t>
      </w:r>
      <w:proofErr w:type="spellEnd"/>
      <w:r w:rsidRPr="00D07628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 </w:t>
      </w:r>
      <w:r w:rsidRPr="00D07628">
        <w:rPr>
          <w:rFonts w:ascii="Times New Roman" w:eastAsia="Calibri" w:hAnsi="Times New Roman" w:cs="Times New Roman"/>
          <w:sz w:val="24"/>
          <w:szCs w:val="24"/>
          <w:lang w:val="en-GB"/>
        </w:rPr>
        <w:t>stanzas</w:t>
      </w:r>
      <w:r w:rsidRPr="00D076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14:paraId="7056FBEE" w14:textId="34D0D57C" w:rsidR="00D07628" w:rsidRPr="00D07628" w:rsidRDefault="00D07628" w:rsidP="00D0762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07628">
        <w:rPr>
          <w:rFonts w:ascii="Times New Roman" w:eastAsia="Calibri" w:hAnsi="Times New Roman" w:cs="Times New Roman"/>
          <w:sz w:val="24"/>
          <w:szCs w:val="24"/>
          <w:lang w:val="en-GB"/>
        </w:rPr>
        <w:t>(the perspective of clause centrality)</w:t>
      </w:r>
    </w:p>
    <w:p w14:paraId="540BDEFB" w14:textId="77777777" w:rsidR="00D07628" w:rsidRPr="00D07628" w:rsidRDefault="00D07628" w:rsidP="00D0762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Style w:val="Mkatabulky31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3975"/>
      </w:tblGrid>
      <w:tr w:rsidR="00D07628" w:rsidRPr="00D07628" w14:paraId="624A5E19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66763765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Stanzas</w:t>
            </w:r>
          </w:p>
        </w:tc>
        <w:tc>
          <w:tcPr>
            <w:tcW w:w="3975" w:type="dxa"/>
            <w:noWrap/>
            <w:hideMark/>
          </w:tcPr>
          <w:p w14:paraId="60381354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Proportion of Significant Clauses</w:t>
            </w:r>
          </w:p>
        </w:tc>
      </w:tr>
      <w:tr w:rsidR="00D07628" w:rsidRPr="00D07628" w14:paraId="42B53AA0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5A08C417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1–30</w:t>
            </w:r>
          </w:p>
        </w:tc>
        <w:tc>
          <w:tcPr>
            <w:tcW w:w="3975" w:type="dxa"/>
            <w:noWrap/>
            <w:hideMark/>
          </w:tcPr>
          <w:p w14:paraId="1D578C7C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0.30</w:t>
            </w:r>
          </w:p>
        </w:tc>
      </w:tr>
      <w:tr w:rsidR="00D07628" w:rsidRPr="00D07628" w14:paraId="57A20E08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3D96F433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31–60</w:t>
            </w:r>
          </w:p>
        </w:tc>
        <w:tc>
          <w:tcPr>
            <w:tcW w:w="3975" w:type="dxa"/>
            <w:noWrap/>
            <w:hideMark/>
          </w:tcPr>
          <w:p w14:paraId="63232DD4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0.57</w:t>
            </w:r>
          </w:p>
        </w:tc>
      </w:tr>
      <w:tr w:rsidR="00D07628" w:rsidRPr="00D07628" w14:paraId="73B7E6F8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7F0137F2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61–90</w:t>
            </w:r>
          </w:p>
        </w:tc>
        <w:tc>
          <w:tcPr>
            <w:tcW w:w="3975" w:type="dxa"/>
            <w:noWrap/>
            <w:hideMark/>
          </w:tcPr>
          <w:p w14:paraId="6CCC4675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0.37</w:t>
            </w:r>
          </w:p>
        </w:tc>
      </w:tr>
      <w:tr w:rsidR="00D07628" w:rsidRPr="00D07628" w14:paraId="5E60F464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7124AAA8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91–120</w:t>
            </w:r>
          </w:p>
        </w:tc>
        <w:tc>
          <w:tcPr>
            <w:tcW w:w="3975" w:type="dxa"/>
            <w:noWrap/>
            <w:hideMark/>
          </w:tcPr>
          <w:p w14:paraId="26B3E4E5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0.32</w:t>
            </w:r>
          </w:p>
        </w:tc>
      </w:tr>
      <w:tr w:rsidR="00D07628" w:rsidRPr="00D07628" w14:paraId="3493F9F7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488C79F1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121–150</w:t>
            </w:r>
          </w:p>
        </w:tc>
        <w:tc>
          <w:tcPr>
            <w:tcW w:w="3975" w:type="dxa"/>
            <w:noWrap/>
            <w:hideMark/>
          </w:tcPr>
          <w:p w14:paraId="502EF5AE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0.30</w:t>
            </w:r>
          </w:p>
        </w:tc>
      </w:tr>
      <w:tr w:rsidR="00D07628" w:rsidRPr="00D07628" w14:paraId="4C27DA18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2BE945D5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151–180</w:t>
            </w:r>
          </w:p>
        </w:tc>
        <w:tc>
          <w:tcPr>
            <w:tcW w:w="3975" w:type="dxa"/>
            <w:noWrap/>
            <w:hideMark/>
          </w:tcPr>
          <w:p w14:paraId="2F28D2B3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0.37</w:t>
            </w:r>
          </w:p>
        </w:tc>
      </w:tr>
      <w:tr w:rsidR="00D07628" w:rsidRPr="00D07628" w14:paraId="7A543012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2FE6A5FC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181–210</w:t>
            </w:r>
          </w:p>
        </w:tc>
        <w:tc>
          <w:tcPr>
            <w:tcW w:w="3975" w:type="dxa"/>
            <w:noWrap/>
            <w:hideMark/>
          </w:tcPr>
          <w:p w14:paraId="3E7A712A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0.34</w:t>
            </w:r>
          </w:p>
        </w:tc>
      </w:tr>
      <w:tr w:rsidR="00D07628" w:rsidRPr="00D07628" w14:paraId="1E87287D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0AC51E40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211–240</w:t>
            </w:r>
          </w:p>
        </w:tc>
        <w:tc>
          <w:tcPr>
            <w:tcW w:w="3975" w:type="dxa"/>
            <w:noWrap/>
            <w:hideMark/>
          </w:tcPr>
          <w:p w14:paraId="47262C88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0.27</w:t>
            </w:r>
          </w:p>
        </w:tc>
      </w:tr>
      <w:tr w:rsidR="00D07628" w:rsidRPr="00D07628" w14:paraId="052DCFE4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4228F709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241–270</w:t>
            </w:r>
          </w:p>
        </w:tc>
        <w:tc>
          <w:tcPr>
            <w:tcW w:w="3975" w:type="dxa"/>
            <w:noWrap/>
            <w:hideMark/>
          </w:tcPr>
          <w:p w14:paraId="3899F3E1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0.34</w:t>
            </w:r>
          </w:p>
        </w:tc>
      </w:tr>
      <w:tr w:rsidR="00D07628" w:rsidRPr="00D07628" w14:paraId="34ADBEF9" w14:textId="77777777" w:rsidTr="00C60595">
        <w:trPr>
          <w:trHeight w:val="288"/>
          <w:jc w:val="center"/>
        </w:trPr>
        <w:tc>
          <w:tcPr>
            <w:tcW w:w="1409" w:type="dxa"/>
            <w:noWrap/>
            <w:hideMark/>
          </w:tcPr>
          <w:p w14:paraId="498D0670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271–291</w:t>
            </w:r>
          </w:p>
        </w:tc>
        <w:tc>
          <w:tcPr>
            <w:tcW w:w="3975" w:type="dxa"/>
            <w:noWrap/>
            <w:hideMark/>
          </w:tcPr>
          <w:p w14:paraId="423CE1C3" w14:textId="77777777" w:rsidR="00D07628" w:rsidRPr="00D07628" w:rsidRDefault="00D07628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D07628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0.38</w:t>
            </w:r>
          </w:p>
        </w:tc>
      </w:tr>
    </w:tbl>
    <w:p w14:paraId="088414BA" w14:textId="77777777" w:rsidR="00226B48" w:rsidRPr="00D07628" w:rsidRDefault="00226B48">
      <w:pPr>
        <w:rPr>
          <w:sz w:val="20"/>
          <w:szCs w:val="20"/>
        </w:rPr>
      </w:pPr>
    </w:p>
    <w:sectPr w:rsidR="00226B48" w:rsidRPr="00D076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28"/>
    <w:rsid w:val="00226B48"/>
    <w:rsid w:val="002412B7"/>
    <w:rsid w:val="00296740"/>
    <w:rsid w:val="00D0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B9C3"/>
  <w15:chartTrackingRefBased/>
  <w15:docId w15:val="{2E9A9FFC-28C8-4E84-890B-246488BC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0762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31">
    <w:name w:val="Mřížka tabulky31"/>
    <w:basedOn w:val="Normlntabulka"/>
    <w:next w:val="Mkatabulky"/>
    <w:uiPriority w:val="39"/>
    <w:rsid w:val="00D07628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D07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266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2020-10-28T14:20:00Z</dcterms:created>
  <dcterms:modified xsi:type="dcterms:W3CDTF">2020-10-28T14:21:00Z</dcterms:modified>
</cp:coreProperties>
</file>