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Tokenizacja nieruchomo��ci ��� briefing przedspotkaniowy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36594d71aab23875db027278b6fae7a9f1f0864"/>
    <w:p>
      <w:pPr>
        <w:pStyle w:val="Heading1"/>
      </w:pPr>
      <w:r>
        <w:t xml:space="preserve">Tokenizacja nieruchomości — briefing przedspotkaniowy</w:t>
      </w:r>
    </w:p>
    <w:bookmarkStart w:id="20" w:name="Xf95105101f21003fb2aa348c58fecb9ea4e96e4"/>
    <w:p>
      <w:pPr>
        <w:pStyle w:val="Heading3"/>
      </w:pPr>
      <w:r>
        <w:t xml:space="preserve">Tudor Nieruchomości (Konrad Kopij) × Tokenuj sp. z o.o.</w:t>
      </w:r>
    </w:p>
    <w:p>
      <w:pPr>
        <w:pStyle w:val="FirstParagraph"/>
      </w:pPr>
      <w:r>
        <w:rPr>
          <w:bCs/>
          <w:b/>
        </w:rPr>
        <w:t xml:space="preserve">Spotkanie: 31 lipca 2026 | Stan prawny sprawdzony na: 30–31 lipca 2026 | Przygotował: Tokenuj sp. z o.o.</w:t>
      </w:r>
    </w:p>
    <w:p>
      <w:r>
        <w:pict>
          <v:rect style="width:0;height:1.5pt" o:hralign="center" o:hrstd="t" o:hr="t"/>
        </w:pict>
      </w:r>
    </w:p>
    <w:bookmarkEnd w:id="20"/>
    <w:bookmarkStart w:id="21" w:name="Xd4d8855d3561b0559f5ba4e638650a80f976a9e"/>
    <w:p>
      <w:pPr>
        <w:pStyle w:val="Heading2"/>
      </w:pPr>
      <w:r>
        <w:t xml:space="preserve">Nota metodologiczna (przeczytać przed użyciem dokumentu)</w:t>
      </w:r>
    </w:p>
    <w:p>
      <w:pPr>
        <w:pStyle w:val="FirstParagraph"/>
      </w:pPr>
      <w:r>
        <w:t xml:space="preserve">Ten dokument powstał na podstawie rzeczywistego researchu internetowego przeprowadzonego 30 lipca 2026 r. (osiem niezależnych wątków badawczych, źródła pierwotne: EUR-Lex, ESMA, KNF, ISAP, Sejm RP, Rada UE, oraz liczne, wzajemnie krzyżowo weryfikowane źródła wtórne — kancelarie prawne, prasa branżowa). W trakcie researchu narzędzie do bezpośredniego pobierania treści stron (WebFetch) było w tej sesji niedostępne dla większości domen źródłowych (EUR-Lex, ESMA, ISAP, KNF) — ustalenia oparto na wynikach wyszukiwania (WebSearch), które zwracają cytowane fragmenty tych stron, skrzyżowane między wieloma niezależnymi źródłami. Oznacza to:</w:t>
      </w:r>
    </w:p>
    <w:p>
      <w:pPr>
        <w:numPr>
          <w:ilvl w:val="0"/>
          <w:numId w:val="1001"/>
        </w:numPr>
        <w:pStyle w:val="Compact"/>
      </w:pPr>
      <w:r>
        <w:t xml:space="preserve">Tam, gdzie fakt/przepis jest potwierdzony przez wiele niezależnych, zbieżnych źródeł — traktuję go jako</w:t>
      </w:r>
      <w:r>
        <w:t xml:space="preserve"> </w:t>
      </w:r>
      <w:r>
        <w:rPr>
          <w:bCs/>
          <w:b/>
        </w:rPr>
        <w:t xml:space="preserve">ustalony z wysoką pewnością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Tam, gdzie opieram się na pojedynczym źródle wtórnym lub ekstrapolacji — oznaczam to wyraźnie jako</w:t>
      </w:r>
      <w:r>
        <w:t xml:space="preserve"> </w:t>
      </w:r>
      <w:r>
        <w:rPr>
          <w:bCs/>
          <w:b/>
        </w:rPr>
        <w:t xml:space="preserve">do potwierdzenia</w:t>
      </w:r>
      <w:r>
        <w:t xml:space="preserve"> </w:t>
      </w:r>
      <w:r>
        <w:t xml:space="preserve">i wskazuję, co dokładnie wymaga weryfikacji.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Numery artykułów aktów prawnych podane w tym dokumencie należy traktować jako wskazówkę nawigacyjną, a nie ostateczne źródło prawa.</w:t>
      </w:r>
      <w:r>
        <w:t xml:space="preserve"> </w:t>
      </w:r>
      <w:r>
        <w:t xml:space="preserve">Przed użyciem w dokumentacji prawnej lub złożeniem jakiejkolwiek wiążącej deklaracji wobec Konrada Kopija, prawnik rynku kapitałowego/kryptoaktywów powinien samodzielnie zweryfikować przywołane przepisy bezpośrednio na EUR-Lex/ISAP/KNF.</w:t>
      </w:r>
    </w:p>
    <w:p>
      <w:pPr>
        <w:numPr>
          <w:ilvl w:val="0"/>
          <w:numId w:val="1001"/>
        </w:numPr>
        <w:pStyle w:val="Compact"/>
      </w:pPr>
      <w:r>
        <w:t xml:space="preserve">Ten dokument</w:t>
      </w:r>
      <w:r>
        <w:t xml:space="preserve"> </w:t>
      </w:r>
      <w:r>
        <w:rPr>
          <w:bCs/>
          <w:b/>
        </w:rPr>
        <w:t xml:space="preserve">nie jest opinią prawną ani podatkową</w:t>
      </w:r>
      <w:r>
        <w:t xml:space="preserve"> </w:t>
      </w:r>
      <w:r>
        <w:t xml:space="preserve">— to materiał przygotowawczy do rozmowy biznesowej, wskazujący kierunki analizy, ryzyka i pytania do dalszego zbadania.</w:t>
      </w:r>
    </w:p>
    <w:p>
      <w:pPr>
        <w:numPr>
          <w:ilvl w:val="0"/>
          <w:numId w:val="1001"/>
        </w:numPr>
        <w:pStyle w:val="Compact"/>
      </w:pPr>
      <w:r>
        <w:t xml:space="preserve">Obszar prawny opisany w tym dokumencie jest w Polsce</w:t>
      </w:r>
      <w:r>
        <w:t xml:space="preserve"> </w:t>
      </w:r>
      <w:r>
        <w:rPr>
          <w:bCs/>
          <w:b/>
        </w:rPr>
        <w:t xml:space="preserve">wyjątkowo dynamiczny w lipcu 2026 r.</w:t>
      </w:r>
      <w:r>
        <w:t xml:space="preserve"> </w:t>
      </w:r>
      <w:r>
        <w:t xml:space="preserve">(patrz sekcja 6.4) — zalecane jest odświeżenie kluczowych ustaleń bezpośrednio przed każdym kolejnym krokiem formalnym (nie tylko przed samym spotkaniem 31 lipca).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f9b3b6d0fd3f0e0e61c84e0c44641947af71fae"/>
    <w:p>
      <w:pPr>
        <w:pStyle w:val="Heading1"/>
      </w:pPr>
      <w:r>
        <w:t xml:space="preserve">1. Najważniejsze wnioski przed spotkaniem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Polska nie ma obowiązującej ustawy implementującej MiCA.</w:t>
      </w:r>
      <w:r>
        <w:t xml:space="preserve"> </w:t>
      </w:r>
      <w:r>
        <w:t xml:space="preserve">Projekt był trzykrotnie wetowany przez Prezydenta RP Karola Nawrockiego (ostatnio</w:t>
      </w:r>
      <w:r>
        <w:t xml:space="preserve"> </w:t>
      </w:r>
      <w:r>
        <w:rPr>
          <w:bCs/>
          <w:b/>
        </w:rPr>
        <w:t xml:space="preserve">11 czerwca 2026 r.</w:t>
      </w:r>
      <w:r>
        <w:t xml:space="preserve">), a unijny okres przejściowy z art. 143 ust. 3 MiCA</w:t>
      </w:r>
      <w:r>
        <w:t xml:space="preserve"> </w:t>
      </w:r>
      <w:r>
        <w:rPr>
          <w:bCs/>
          <w:b/>
        </w:rPr>
        <w:t xml:space="preserve">zakończył się 1 lipca 2026 r.</w:t>
      </w:r>
      <w:r>
        <w:t xml:space="preserve"> </w:t>
      </w:r>
      <w:r>
        <w:t xml:space="preserve">i nie mógł zostać przedłużony żadnym aktem krajowym. Efekt:</w:t>
      </w:r>
      <w:r>
        <w:t xml:space="preserve"> </w:t>
      </w:r>
      <w:r>
        <w:rPr>
          <w:bCs/>
          <w:b/>
        </w:rPr>
        <w:t xml:space="preserve">w Polsce obecnie nie ma organu uprawnionego do przyjmowania notyfikacji whitepaper MiCA ani wniosków o licencję CASP</w:t>
      </w:r>
      <w:r>
        <w:t xml:space="preserve"> </w:t>
      </w:r>
      <w:r>
        <w:t xml:space="preserve">— nie dlatego, że KNF odmawia, lecz dlatego, że nie została ustawowo wyznaczona jako organ właściwy. To najważniejszy, najbardziej czasowo krytyczny fakt tego briefu.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 nie zamyka drogi do tokenizacji — zmienia jej kształt.</w:t>
      </w:r>
      <w:r>
        <w:t xml:space="preserve"> </w:t>
      </w:r>
      <w:r>
        <w:t xml:space="preserve">Praktyczna droga dla polskich projektów objętych MiCA to dziś notyfikacja/licencja CASP w innym państwie UE/EOG (najczęściej wskazywane: Niemcy, Estonia, Francja, Austria, Holandia; Litwa zamknęła nowe wnioski w styczniu 2026) z wykorzystaniem mechanizmu paszportowania na Polskę. To rozwiązanie zgodne z prawem, nie „obejście" — MiCA wprost to przewiduje.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prywatnej emisji inwestycyjnej (Ścieżka 1) prawdopodobnie w ogóle nie podlega MiCA.</w:t>
      </w:r>
      <w:r>
        <w:t xml:space="preserve"> </w:t>
      </w:r>
      <w:r>
        <w:t xml:space="preserve">Jeśli token inkorporuje prawa typowe dla papieru wartościowego (udział w zyskach, wierzytelność, zbywalność), zgodnie z art. 2 ust. 4 lit. a) MiCA oraz wytycznymi ESMA ws. kwalifikacji kryptoaktywów jako instrumentów finansowych (ESMA75-453128700-1323, obowiązują od 18.05.2025) — token wypada z MiCA i podlega reżimowi Rozporządzenia Prospektowego + polskiego prawa rynku kapitałowego. To oznacza, że</w:t>
      </w:r>
      <w:r>
        <w:t xml:space="preserve"> </w:t>
      </w:r>
      <w:r>
        <w:rPr>
          <w:bCs/>
          <w:b/>
        </w:rPr>
        <w:t xml:space="preserve">luka w polskiej ustawie o kryptoaktywach nie blokuje Ścieżki 1</w:t>
      </w:r>
      <w:r>
        <w:t xml:space="preserve"> </w:t>
      </w:r>
      <w:r>
        <w:t xml:space="preserve">— ale otwiera inne ryzyka (patrz pkt 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Rozporządzenie Prospektowe ma nowy, wyższy próg.</w:t>
      </w:r>
      <w:r>
        <w:t xml:space="preserve"> </w:t>
      </w:r>
      <w:r>
        <w:t xml:space="preserve">Po reformie „EU Listing Act" (Rozporządzenie (UE) 2024/2809), od</w:t>
      </w:r>
      <w:r>
        <w:t xml:space="preserve"> </w:t>
      </w:r>
      <w:r>
        <w:rPr>
          <w:bCs/>
          <w:b/>
        </w:rPr>
        <w:t xml:space="preserve">5 czerwca 2026 r.</w:t>
      </w:r>
      <w:r>
        <w:t xml:space="preserve"> </w:t>
      </w:r>
      <w:r>
        <w:t xml:space="preserve">ogólny próg wyłączenia z obowiązku prospektowego wynosi</w:t>
      </w:r>
      <w:r>
        <w:t xml:space="preserve"> </w:t>
      </w:r>
      <w:r>
        <w:rPr>
          <w:bCs/>
          <w:b/>
        </w:rPr>
        <w:t xml:space="preserve">12 mln EUR w 12 miesięcy</w:t>
      </w:r>
      <w:r>
        <w:t xml:space="preserve"> </w:t>
      </w:r>
      <w:r>
        <w:t xml:space="preserve">(dawniej krajowe widełki 1–8 mln EUR), z opcją obniżenia przez państwo członkowskie do</w:t>
      </w:r>
      <w:r>
        <w:t xml:space="preserve"> </w:t>
      </w:r>
      <w:r>
        <w:rPr>
          <w:bCs/>
          <w:b/>
        </w:rPr>
        <w:t xml:space="preserve">5 mln EUR</w:t>
      </w:r>
      <w:r>
        <w:t xml:space="preserve">. Polska ustawa dostosowująca krajowy próg była w toku prac sejmowych (skierowana do Sejmu 12.06.2026) —</w:t>
      </w:r>
      <w:r>
        <w:t xml:space="preserve"> </w:t>
      </w:r>
      <w:r>
        <w:rPr>
          <w:bCs/>
          <w:b/>
        </w:rPr>
        <w:t xml:space="preserve">na 30–31 lipca 2026 status jej uchwalenia wymaga świeżego sprawdzenia</w:t>
      </w:r>
      <w:r>
        <w:t xml:space="preserve">, bo to bezpośrednio wpływa na to, ile można zebrać bez prospektu.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Największe realne ryzyko dla Ścieżki 1 to nie MiCA, lecz kwalifikacja SPV jako alternatywnego funduszu inwestycyjnego (AFI/ASI).</w:t>
      </w:r>
      <w:r>
        <w:t xml:space="preserve"> </w:t>
      </w:r>
      <w:r>
        <w:t xml:space="preserve">SPV zbierające kapitał od wielu inwestorów w celu ulokowania go w nieruchomość zgodnie z określoną polityką inwestycyjną literalnie odpowiada definicji AFI z ustawy o funduszach inwestycyjnych (art. 2 pkt 10a, art. 8a). Nie znaleziono oficjalnego stanowiska KNF wprost rozstrzygającego tę kwestię dla modeli tokenizacji nieruchomości —</w:t>
      </w:r>
      <w:r>
        <w:t xml:space="preserve"> </w:t>
      </w:r>
      <w:r>
        <w:rPr>
          <w:bCs/>
          <w:b/>
        </w:rPr>
        <w:t xml:space="preserve">to najważniejsze pytanie do zadania prawnikowi rynku kapitałowego przed strukturyzowaniem Modelu B/C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 nie może samodzielnie przenosić własności udziału w polskiej sp. z o.o.</w:t>
      </w:r>
      <w:r>
        <w:t xml:space="preserve"> </w:t>
      </w:r>
      <w:r>
        <w:t xml:space="preserve">Art. 180 KSH wymaga formy pisemnej z podpisami notarialnie poświadczonymi (poza wyjątkiem portalu S24). Blockchain może wspierać ewidencję, ale musi mieć pokrycie w ważnie zawartej umowie. Prosta spółka akcyjna (PSA) dopuszcza prowadzenie rejestru akcjonariuszy na DLT — ale wyłącznie przez uprawniony, regulowany podmiot (dom maklerski, bank powiernik, notariusz, KDPW), nie na dowolnym publicznym blockchainie.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Geofencing nie jest samodzielnym zwolnieniem prawnym</w:t>
      </w:r>
      <w:r>
        <w:t xml:space="preserve"> </w:t>
      </w:r>
      <w:r>
        <w:t xml:space="preserve">— to jeden z elementów dowodowych, nie tarcza. Dotyczy to zarówno reżimu prospektowego, jak i MiCA (reverse solicitation jest interpretowane bardzo wąsko przez ESMA — wytyczne z 26.02.2025).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Utility token musi być realnym dostępem do usługi, nie opakowaniem inwestycji.</w:t>
      </w:r>
      <w:r>
        <w:t xml:space="preserve"> </w:t>
      </w:r>
      <w:r>
        <w:t xml:space="preserve">Substance over form obowiązuje jednakowo po stronie MiCA i po stronie prawa papierów wartościowych — nazwanie tokena „utility" nie chroni przed przekwalifikowaniem.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UOKiK aktywnie ściga podobne modele biznesowe.</w:t>
      </w:r>
      <w:r>
        <w:t xml:space="preserve"> </w:t>
      </w:r>
      <w:r>
        <w:t xml:space="preserve">Komunikat z 20 lipca 2026 r. o zarzutach wobec spółek condohotelowych (Linea Mare, Beskid Resort Properties, Haveno Estate, Zdrojowa Invest2) za wprowadzanie w błąd co do zysków z inwestycji w nieruchomości to najbliższy dostępny precedens egzekucyjny — bezpośrednio istotny dla języka marketingowego obu ścieżek.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Tudor Nieruchomości wiadomo niewiele z otwartych źródeł</w:t>
      </w:r>
      <w:r>
        <w:t xml:space="preserve"> </w:t>
      </w:r>
      <w:r>
        <w:t xml:space="preserve">— to małe, butikowe, jednoosobowe biuro Konrada Kopija w Szczecinie, aktywne lokalnie (Facebook, LinkedIn, wzmianka w lokalnym magazynie), bez śladu wcześniejszego zainteresowania blockchainem/krypto. To oznacza, że</w:t>
      </w:r>
      <w:r>
        <w:t xml:space="preserve"> </w:t>
      </w:r>
      <w:r>
        <w:rPr>
          <w:bCs/>
          <w:b/>
        </w:rPr>
        <w:t xml:space="preserve">odkrycie realnych potrzeb biznesowych na spotkaniu jest ważniejsze niż prezentowanie gotowego rozwiązania</w:t>
      </w:r>
      <w:r>
        <w:t xml:space="preserve"> </w:t>
      </w:r>
      <w:r>
        <w:t xml:space="preserve">— brief w pkt 2 poniżej wyjaśnia lukę informacyjną.</w:t>
      </w:r>
    </w:p>
    <w:p>
      <w:r>
        <w:pict>
          <v:rect style="width:0;height:1.5pt" o:hralign="center" o:hrstd="t" o:hr="t"/>
        </w:pict>
      </w:r>
    </w:p>
    <w:bookmarkEnd w:id="23"/>
    <w:bookmarkStart w:id="24" w:name="X81e42ac48ecbcb9a3837ff95deffe2fbdc0a6f6"/>
    <w:p>
      <w:pPr>
        <w:pStyle w:val="Heading1"/>
      </w:pPr>
      <w:r>
        <w:t xml:space="preserve">2. Informacje o Tudor i Konradzie istotne dla rozmowy</w:t>
      </w:r>
    </w:p>
    <w:p>
      <w:pPr>
        <w:pStyle w:val="FirstParagraph"/>
      </w:pPr>
      <w:r>
        <w:rPr>
          <w:bCs/>
          <w:b/>
        </w:rPr>
        <w:t xml:space="preserve">Zastrzeżenie:</w:t>
      </w:r>
      <w:r>
        <w:t xml:space="preserve"> </w:t>
      </w:r>
      <w:r>
        <w:t xml:space="preserve">poniższe dane pochodzą z publicznie dostępnych, ale ograniczonych źródeł (WebFetch był niedostępny w sesji badawczej, więc strony firmowe nie zostały odczytane w pełnej treści — tylko fragmenty widoczne w wynikach wyszukiwania). Traktuj to jako punkt wyjścia do rozmowy, nie jako pewnik.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Ustalenie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Pewność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Tudor Nieruchomości, biuro pośrednictwa w obrocie nieruchomościami, ul. Swarożyca 14/10, 71-601 Szczecin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Właściciel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Konrad Kopij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działalności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Prawdopodobnie jednoosobowa działalność gospodarcza (CEIDG) — wpis w Aleo.com jako „Konrad Kopij – usługi doradcze i brokerskie"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 (NIP/REGON niepotwierdzone)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Pośrednictwo w obrocie nieruchomościami mieszkaniowymi, inwestycje w nieruchomości; obszar Szczecin i powiat policki (możliwie szerzej woj. zachodniopomorskie)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Mała, butikowa firma — LinkedIn firmowy ok. 132 obserwujących, Facebook ok. 1400 polubień (dane orientacyjne, niezweryfikowane bezpośrednio)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Niska–średnia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Wizerunek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Wyróżnienie w rankingu top100.pl (biura nieruchomości), wzmianka w lokalnym magazynie lifestyle „Prestiż Szczecin" („Królewskie otwarcie"), komunikacja skupiona na jakości obsługi/opiniach klientów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Technologia/krypto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Brak jakichkolwiek publicznych śladów zainteresowania blockchainem, krypto lub tokenizacją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 (brak = luka danych, nie potwierdzenie braku zainteresowania)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Obecność zagraniczna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danych o klientach zagranicznych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danych —</w:t>
            </w:r>
            <w:r>
              <w:t xml:space="preserve"> </w:t>
            </w:r>
            <w:r>
              <w:rPr>
                <w:bCs/>
                <w:b/>
              </w:rPr>
              <w:t xml:space="preserve">dopytać na spotkaniu</w:t>
            </w:r>
          </w:p>
        </w:tc>
      </w:tr>
    </w:tbl>
    <w:p>
      <w:pPr>
        <w:pStyle w:val="BodyText"/>
      </w:pPr>
      <w:r>
        <w:rPr>
          <w:bCs/>
          <w:b/>
        </w:rPr>
        <w:t xml:space="preserve">Wniosek praktyczny:</w:t>
      </w:r>
      <w:r>
        <w:t xml:space="preserve"> </w:t>
      </w:r>
      <w:r>
        <w:t xml:space="preserve">nie zakładaj, że Konrad zna terminologię blockchainową ani że ma gotowy projekt pilotażowy. Buduj rozmowę od jego celów biznesowych (wolumen, jakość obsługi, marketing, pozycja trendsettera), nie od technologii. Luka informacyjna o firmie to również dobry pretekst do dyskretnego pytania na wstępie: „Zanim przejdziemy dalej — jak wygląda dziś Wasz biznes: ile transakcji miesięcznie, jaki mix sprzedaż/wynajem, czy macie własny portfel nieruchomości inwestycyjnych?"</w:t>
      </w:r>
    </w:p>
    <w:p>
      <w:r>
        <w:pict>
          <v:rect style="width:0;height:1.5pt" o:hralign="center" o:hrstd="t" o:hr="t"/>
        </w:pict>
      </w:r>
    </w:p>
    <w:bookmarkEnd w:id="24"/>
    <w:bookmarkStart w:id="31" w:name="Xb56da1b7fcb58d857637ba62b3c08df353d98a1"/>
    <w:p>
      <w:pPr>
        <w:pStyle w:val="Heading1"/>
      </w:pPr>
      <w:r>
        <w:t xml:space="preserve">3. Pytania discovery</w:t>
      </w:r>
    </w:p>
    <w:bookmarkStart w:id="25" w:name="biznesowe"/>
    <w:p>
      <w:pPr>
        <w:pStyle w:val="Heading2"/>
      </w:pPr>
      <w:r>
        <w:t xml:space="preserve">Biznesowe</w:t>
      </w:r>
    </w:p>
    <w:p>
      <w:pPr>
        <w:numPr>
          <w:ilvl w:val="0"/>
          <w:numId w:val="1003"/>
        </w:numPr>
        <w:pStyle w:val="Compact"/>
      </w:pPr>
      <w:r>
        <w:t xml:space="preserve">Czy chcesz finansować własne nieruchomości Tudor, projekty klientów, czy współpracę z deweloperami?</w:t>
      </w:r>
    </w:p>
    <w:p>
      <w:pPr>
        <w:numPr>
          <w:ilvl w:val="0"/>
          <w:numId w:val="1003"/>
        </w:numPr>
        <w:pStyle w:val="Compact"/>
      </w:pPr>
      <w:r>
        <w:t xml:space="preserve">Czy Tudor posiada dziś jakiekolwiek nieruchomości inwestycyjne (własne lub w zarządzaniu)?</w:t>
      </w:r>
    </w:p>
    <w:p>
      <w:pPr>
        <w:numPr>
          <w:ilvl w:val="0"/>
          <w:numId w:val="1003"/>
        </w:numPr>
        <w:pStyle w:val="Compact"/>
      </w:pPr>
      <w:r>
        <w:t xml:space="preserve">Jaki jest dziś miesięczny/roczny wolumen transakcji Tudor (sprzedaż, wynajem)?</w:t>
      </w:r>
    </w:p>
    <w:p>
      <w:pPr>
        <w:numPr>
          <w:ilvl w:val="0"/>
          <w:numId w:val="1003"/>
        </w:numPr>
        <w:pStyle w:val="Compact"/>
      </w:pPr>
      <w:r>
        <w:t xml:space="preserve">Czy istnieje już konkretny projekt, który mógłby być pilotażem (adres, typ, status prawny)?</w:t>
      </w:r>
    </w:p>
    <w:p>
      <w:pPr>
        <w:numPr>
          <w:ilvl w:val="0"/>
          <w:numId w:val="1003"/>
        </w:numPr>
        <w:pStyle w:val="Compact"/>
      </w:pPr>
      <w:r>
        <w:t xml:space="preserve">Co dokładnie oznacza dla Ciebie „bycie trendsetterem" na rynku szczecińskim — jaki konkretny efekt chcesz osiągnąć w ciągu 12 miesięcy?</w:t>
      </w:r>
    </w:p>
    <w:p>
      <w:pPr>
        <w:numPr>
          <w:ilvl w:val="0"/>
          <w:numId w:val="1003"/>
        </w:numPr>
        <w:pStyle w:val="Compact"/>
      </w:pPr>
      <w:r>
        <w:t xml:space="preserve">Czy widzisz to jako nowy pion biznesowy Tudor (inwestycje/fintech), czy jako dodatek do istniejącej oferty pośrednictwa?</w:t>
      </w:r>
    </w:p>
    <w:p>
      <w:pPr>
        <w:numPr>
          <w:ilvl w:val="0"/>
          <w:numId w:val="1003"/>
        </w:numPr>
        <w:pStyle w:val="Compact"/>
      </w:pPr>
      <w:r>
        <w:t xml:space="preserve">Kto w Twojej organizacji miałby to prowadzić operacyjnie?</w:t>
      </w:r>
    </w:p>
    <w:bookmarkEnd w:id="25"/>
    <w:bookmarkStart w:id="26" w:name="finansowe"/>
    <w:p>
      <w:pPr>
        <w:pStyle w:val="Heading2"/>
      </w:pPr>
      <w:r>
        <w:t xml:space="preserve">Finansowe</w:t>
      </w:r>
    </w:p>
    <w:p>
      <w:pPr>
        <w:numPr>
          <w:ilvl w:val="0"/>
          <w:numId w:val="1004"/>
        </w:numPr>
        <w:pStyle w:val="Compact"/>
      </w:pPr>
      <w:r>
        <w:t xml:space="preserve">Jaka kwota miałaby zostać pozyskana w pilotażu i docelowo?</w:t>
      </w:r>
    </w:p>
    <w:p>
      <w:pPr>
        <w:numPr>
          <w:ilvl w:val="0"/>
          <w:numId w:val="1004"/>
        </w:numPr>
        <w:pStyle w:val="Compact"/>
      </w:pPr>
      <w:r>
        <w:t xml:space="preserve">Jaki minimalny ticket inwestycyjny wyobrażasz sobie dla inwestora?</w:t>
      </w:r>
    </w:p>
    <w:p>
      <w:pPr>
        <w:numPr>
          <w:ilvl w:val="0"/>
          <w:numId w:val="1004"/>
        </w:numPr>
        <w:pStyle w:val="Compact"/>
      </w:pPr>
      <w:r>
        <w:t xml:space="preserve">Ilu potencjalnych inwestorów Tudor realnie zna/ma w bazie kontaktów (obecni klienci, znajomi, lokalni przedsiębiorcy)?</w:t>
      </w:r>
    </w:p>
    <w:p>
      <w:pPr>
        <w:numPr>
          <w:ilvl w:val="0"/>
          <w:numId w:val="1004"/>
        </w:numPr>
        <w:pStyle w:val="Compact"/>
      </w:pPr>
      <w:r>
        <w:t xml:space="preserve">Jak dziś finansujesz zakupy/remonty nieruchomości inwestycyjnych — kredyt, kapitał własny, wspólnicy?</w:t>
      </w:r>
    </w:p>
    <w:p>
      <w:pPr>
        <w:numPr>
          <w:ilvl w:val="0"/>
          <w:numId w:val="1004"/>
        </w:numPr>
        <w:pStyle w:val="Compact"/>
      </w:pPr>
      <w:r>
        <w:t xml:space="preserve">Jaki budżet wdrożeniowy bierzesz pod uwagę na ten projekt?</w:t>
      </w:r>
    </w:p>
    <w:p>
      <w:pPr>
        <w:numPr>
          <w:ilvl w:val="0"/>
          <w:numId w:val="1004"/>
        </w:numPr>
        <w:pStyle w:val="Compact"/>
      </w:pPr>
      <w:r>
        <w:t xml:space="preserve">Czy oczekujesz zwrotu z inwestycji w projekt tokenizacyjny, czy traktujesz go jako koszt marketingowo-wizerunkowy?</w:t>
      </w:r>
    </w:p>
    <w:bookmarkEnd w:id="26"/>
    <w:bookmarkStart w:id="27" w:name="prawne"/>
    <w:p>
      <w:pPr>
        <w:pStyle w:val="Heading2"/>
      </w:pPr>
      <w:r>
        <w:t xml:space="preserve">Prawne</w:t>
      </w:r>
    </w:p>
    <w:p>
      <w:pPr>
        <w:numPr>
          <w:ilvl w:val="0"/>
          <w:numId w:val="1005"/>
        </w:numPr>
        <w:pStyle w:val="Compact"/>
      </w:pPr>
      <w:r>
        <w:t xml:space="preserve">Czy inwestorzy mają być wyłącznie detaliczni, wyłącznie profesjonalni/kwalifikowani, czy mix?</w:t>
      </w:r>
    </w:p>
    <w:p>
      <w:pPr>
        <w:numPr>
          <w:ilvl w:val="0"/>
          <w:numId w:val="1005"/>
        </w:numPr>
        <w:pStyle w:val="Compact"/>
      </w:pPr>
      <w:r>
        <w:t xml:space="preserve">Czy oferta ma być prowadzona tylko w Polsce, czy też za granicą?</w:t>
      </w:r>
    </w:p>
    <w:p>
      <w:pPr>
        <w:numPr>
          <w:ilvl w:val="0"/>
          <w:numId w:val="1005"/>
        </w:numPr>
        <w:pStyle w:val="Compact"/>
      </w:pPr>
      <w:r>
        <w:t xml:space="preserve">Czy Tudor ma dziś jakichkolwiek klientów/kontakty zagraniczne (np. Niemcy, Skandynawia — typowe dla woj. zachodniopomorskiego)?</w:t>
      </w:r>
    </w:p>
    <w:p>
      <w:pPr>
        <w:numPr>
          <w:ilvl w:val="0"/>
          <w:numId w:val="1005"/>
        </w:numPr>
        <w:pStyle w:val="Compact"/>
      </w:pPr>
      <w:r>
        <w:t xml:space="preserve">Czy Tudor jest gotowy utworzyć odrębną spółkę celową (SPV) pod projekt?</w:t>
      </w:r>
    </w:p>
    <w:p>
      <w:pPr>
        <w:numPr>
          <w:ilvl w:val="0"/>
          <w:numId w:val="1005"/>
        </w:numPr>
        <w:pStyle w:val="Compact"/>
      </w:pPr>
      <w:r>
        <w:t xml:space="preserve">Czy token ma dawać prawo do czynszu, udziału w zysku ze sprzedaży, czy tylko zwrot kapitału z odsetkami?</w:t>
      </w:r>
    </w:p>
    <w:p>
      <w:pPr>
        <w:numPr>
          <w:ilvl w:val="0"/>
          <w:numId w:val="1005"/>
        </w:numPr>
        <w:pStyle w:val="Compact"/>
      </w:pPr>
      <w:r>
        <w:t xml:space="preserve">Czy zależy Ci na obrocie wtórnym tokenami, czy inwestor ma „trzymać do końca"?</w:t>
      </w:r>
    </w:p>
    <w:p>
      <w:pPr>
        <w:numPr>
          <w:ilvl w:val="0"/>
          <w:numId w:val="1005"/>
        </w:numPr>
        <w:pStyle w:val="Compact"/>
      </w:pPr>
      <w:r>
        <w:t xml:space="preserve">Czy rozważasz kiedykolwiek listing na giełdzie/platformie obrotu?</w:t>
      </w:r>
    </w:p>
    <w:bookmarkEnd w:id="27"/>
    <w:bookmarkStart w:id="28" w:name="operacyjne"/>
    <w:p>
      <w:pPr>
        <w:pStyle w:val="Heading2"/>
      </w:pPr>
      <w:r>
        <w:t xml:space="preserve">Operacyjne</w:t>
      </w:r>
    </w:p>
    <w:p>
      <w:pPr>
        <w:numPr>
          <w:ilvl w:val="0"/>
          <w:numId w:val="1006"/>
        </w:numPr>
        <w:pStyle w:val="Compact"/>
      </w:pPr>
      <w:r>
        <w:t xml:space="preserve">Kto będzie zarządzał nieruchomością operacyjnie (najem, konserwacja, relacje z najemcami)?</w:t>
      </w:r>
    </w:p>
    <w:p>
      <w:pPr>
        <w:numPr>
          <w:ilvl w:val="0"/>
          <w:numId w:val="1006"/>
        </w:numPr>
        <w:pStyle w:val="Compact"/>
      </w:pPr>
      <w:r>
        <w:t xml:space="preserve">Kto ponosi ryzyko pustostanów — SPV, Tudor, inwestorzy proporcjonalnie?</w:t>
      </w:r>
    </w:p>
    <w:p>
      <w:pPr>
        <w:numPr>
          <w:ilvl w:val="0"/>
          <w:numId w:val="1006"/>
        </w:numPr>
        <w:pStyle w:val="Compact"/>
      </w:pPr>
      <w:r>
        <w:t xml:space="preserve">Jak dziś wyceniasz nieruchomości — własny rzeczoznawca, zewnętrzny, portale?</w:t>
      </w:r>
    </w:p>
    <w:p>
      <w:pPr>
        <w:numPr>
          <w:ilvl w:val="0"/>
          <w:numId w:val="1006"/>
        </w:numPr>
        <w:pStyle w:val="Compact"/>
      </w:pPr>
      <w:r>
        <w:t xml:space="preserve">Czy masz już zaufanego notariusza/kancelarię, z którą regularnie pracujesz?</w:t>
      </w:r>
    </w:p>
    <w:p>
      <w:pPr>
        <w:numPr>
          <w:ilvl w:val="0"/>
          <w:numId w:val="1006"/>
        </w:numPr>
        <w:pStyle w:val="Compact"/>
      </w:pPr>
      <w:r>
        <w:t xml:space="preserve">Jaki jest oczekiwany termin uruchomienia pilotażu?</w:t>
      </w:r>
    </w:p>
    <w:bookmarkEnd w:id="28"/>
    <w:bookmarkStart w:id="29" w:name="technologiczne"/>
    <w:p>
      <w:pPr>
        <w:pStyle w:val="Heading2"/>
      </w:pPr>
      <w:r>
        <w:t xml:space="preserve">Technologiczne</w:t>
      </w:r>
    </w:p>
    <w:p>
      <w:pPr>
        <w:numPr>
          <w:ilvl w:val="0"/>
          <w:numId w:val="1007"/>
        </w:numPr>
        <w:pStyle w:val="Compact"/>
      </w:pPr>
      <w:r>
        <w:t xml:space="preserve">Czy Tudor ma dziś jakąkolwiek platformę cyfrową (CRM, portal klienta) poza standardowymi portalami ogłoszeniowymi?</w:t>
      </w:r>
    </w:p>
    <w:p>
      <w:pPr>
        <w:numPr>
          <w:ilvl w:val="0"/>
          <w:numId w:val="1007"/>
        </w:numPr>
        <w:pStyle w:val="Compact"/>
      </w:pPr>
      <w:r>
        <w:t xml:space="preserve">Jaki jest poziom komfortu zespołu Tudor z nowymi technologiami — czy potrzebne będzie szkolenie?</w:t>
      </w:r>
    </w:p>
    <w:p>
      <w:pPr>
        <w:numPr>
          <w:ilvl w:val="0"/>
          <w:numId w:val="1007"/>
        </w:numPr>
        <w:pStyle w:val="Compact"/>
      </w:pPr>
      <w:r>
        <w:t xml:space="preserve">Czy zależy Ci na własnej aplikacji/panelu inwestora pod marką Tudor, czy wystarczy biała etykieta dostawcy?</w:t>
      </w:r>
    </w:p>
    <w:bookmarkEnd w:id="29"/>
    <w:bookmarkStart w:id="30" w:name="marketingowe"/>
    <w:p>
      <w:pPr>
        <w:pStyle w:val="Heading2"/>
      </w:pPr>
      <w:r>
        <w:t xml:space="preserve">Marketingowe</w:t>
      </w:r>
    </w:p>
    <w:p>
      <w:pPr>
        <w:numPr>
          <w:ilvl w:val="0"/>
          <w:numId w:val="1008"/>
        </w:numPr>
        <w:pStyle w:val="Compact"/>
      </w:pPr>
      <w:r>
        <w:t xml:space="preserve">Czy chcesz oddzielną markę inwestycyjną (np. „Tudor Capital"/„Tudor Invest"), czy wszystko pod marką Tudor Nieruchomości?</w:t>
      </w:r>
    </w:p>
    <w:p>
      <w:pPr>
        <w:numPr>
          <w:ilvl w:val="0"/>
          <w:numId w:val="1008"/>
        </w:numPr>
        <w:pStyle w:val="Compact"/>
      </w:pPr>
      <w:r>
        <w:t xml:space="preserve">Jak dziś wygląda Twój marketing — kanały, budżet, kto go prowadzi?</w:t>
      </w:r>
    </w:p>
    <w:p>
      <w:pPr>
        <w:numPr>
          <w:ilvl w:val="0"/>
          <w:numId w:val="1008"/>
        </w:numPr>
        <w:pStyle w:val="Compact"/>
      </w:pPr>
      <w:r>
        <w:t xml:space="preserve">Czy zależy Ci bardziej na rozgłosie/PR („pierwsza tokenizacja nieruchomości w Szczecinie"), czy na cichym, kontrolowanym pilotażu?</w:t>
      </w:r>
    </w:p>
    <w:p>
      <w:pPr>
        <w:numPr>
          <w:ilvl w:val="0"/>
          <w:numId w:val="1008"/>
        </w:numPr>
        <w:pStyle w:val="Compact"/>
      </w:pPr>
      <w:r>
        <w:t xml:space="preserve">Czy masz program poleceń/lojalnościowy dziś? Jak działa?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556e4aad190796a0b8dfe3d027056ad8d2e2fb5"/>
    <w:p>
      <w:pPr>
        <w:pStyle w:val="Heading1"/>
      </w:pPr>
      <w:r>
        <w:t xml:space="preserve">4. Prywatna emisja inwestycyjna (Ścieżka 1)</w:t>
      </w:r>
    </w:p>
    <w:bookmarkStart w:id="32" w:name="X59fba449f9c53aca3f5c06b1134dbf30a49dc44"/>
    <w:p>
      <w:pPr>
        <w:pStyle w:val="Heading2"/>
      </w:pPr>
      <w:r>
        <w:t xml:space="preserve">4.1 Model A — pożyczka/obligacja tokenizowana</w:t>
      </w:r>
    </w:p>
    <w:p>
      <w:pPr>
        <w:pStyle w:val="FirstParagraph"/>
      </w:pPr>
      <w:r>
        <w:rPr>
          <w:bCs/>
          <w:b/>
        </w:rPr>
        <w:t xml:space="preserve">Mechanizm:</w:t>
      </w:r>
      <w:r>
        <w:t xml:space="preserve"> </w:t>
      </w:r>
      <w:r>
        <w:t xml:space="preserve">inwestorzy finansują SPV (kupno/remont/deweloperkę/refinansowanie) poprzez tokenizowaną pożyczkę lub obligację. Token odzwierciedla wierzytelność —</w:t>
      </w:r>
      <w:r>
        <w:t xml:space="preserve"> </w:t>
      </w:r>
      <w:r>
        <w:rPr>
          <w:bCs/>
          <w:b/>
        </w:rPr>
        <w:t xml:space="preserve">ale sam token/smart kontrakt nie zastępuje umowy pożyczki/warunków emisji obligacji, jeśli prawo wymaga formy pisemnej lub rejestru</w:t>
      </w:r>
      <w:r>
        <w:t xml:space="preserve"> </w:t>
      </w:r>
      <w:r>
        <w:t xml:space="preserve">(np. obligacje rejestrowane w depozycie wymagają agenta emisji).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Rola Tudor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Sourcing nieruchomości, pośrednictwo transakcyjne, zarządzanie relacją z inwestorami lokalnymi, częściowo zarządzanie najmem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Rola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Pożyczkobiorca/emitent obligacji, właściciel nieruchomości, strona umów z wykonawcami/najemcami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Rola Tokenuj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Struktura prawna, tokenomika, smart kontrakt, platforma/panel inwestora, KYC/AML, dokumentacja,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Rola inwestora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Pożyczkodawca/obligatariusz — wierzyciel SPV, nie właściciel nieruchomości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Przepływ pieniędzy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Inwestor → SPV (kapitał) → SPV → sprzedawca/wykonawca (zakup/remont) → najem/sprzedaż → SPV → inwestor (spłata + odsetki)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Przepływ tokenów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Emisja po wpłacie i whitelistowaniu portfela → token w portfelu inwestora → (opcjonalnie) transfer na wykup przy spłacie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Zabezpieczenia inwestora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Zależnie od struktury: hipoteka na nieruchomości, zastaw na udziałach SPV, poręczenie Tudor/Konrada, gwarancja bankowa — do wynegocjowania, nie domyślne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Źródło spłaty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Przychody z najmu i/lub cena sprzedaży nieruchomości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Dystrybucja przychodów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 harmonogramu w umowie pożyczki/warunkach emisji — okresowo (np. kwartalnie) lub jednorazowo przy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Zabezpieczenia rzeczowe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Hipoteka (wymaga wpisu do księgi wieczystej — token tego nie zastępuje), zastaw rejestrowy na udziałach SPV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Wycena nieruchomości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Niezależny rzeczoznawca majątkowy przed emisją i okresowo (np. rocznie)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Prawne (stan księgi wieczystej, obciążenia, pozwolenia), techniczne (stan budynku), finansowe (biznesplan, model finansowy)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Spłata pożyczki/wykup obligacji wg harmonogramu; refinansowanie kredytem bankowym; sprzedaż nieruchomości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Wcześniejsze wyjście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Możliwe tylko jeśli umowa to przewiduje (opcja wcześniejszej spłaty) lub przez kontrolowany obrót wtórny — nie jest gwarantowane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Ryzyko braku płynności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Wysokie — token nie jest automatycznie zbywalny na rynku wtórnym bez zorganizowanej platformy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Niewypłacalność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Inwestor jako wierzyciel podlega ogólnym zasadom prawa upadłościowego/restrukturyzacyjnego; pozycja zależy od zabezpieczeń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Podatki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stronie inwestora: przychód odsetkowy, prawdopodobnie art. 30a PIT (19% zryczałtowany), pobierany przez SPV jako płatnika —</w:t>
            </w:r>
            <w:r>
              <w:t xml:space="preserve"> </w:t>
            </w:r>
            <w:r>
              <w:rPr>
                <w:bCs/>
                <w:b/>
              </w:rPr>
              <w:t xml:space="preserve">do potwierdzenia interpretacją indywidualną</w:t>
            </w:r>
            <w:r>
              <w:t xml:space="preserve"> </w:t>
            </w:r>
            <w:r>
              <w:t xml:space="preserve">(patrz sekcja 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Koszty administracyjne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Księgowość SPV, obsługa prawna, agent emisji (jeśli obligacje rejestrowane), platforma technologiczna</w:t>
            </w:r>
          </w:p>
        </w:tc>
      </w:tr>
    </w:tbl>
    <w:p>
      <w:pPr>
        <w:pStyle w:val="BodyText"/>
      </w:pPr>
      <w:r>
        <w:rPr>
          <w:bCs/>
          <w:b/>
        </w:rPr>
        <w:t xml:space="preserve">Kwalifikacja regulacyjna:</w:t>
      </w:r>
      <w:r>
        <w:t xml:space="preserve"> </w:t>
      </w:r>
      <w:r>
        <w:t xml:space="preserve">token-wierzytelność, zbywalny, emitowany seryjnie do wielu inwestorów → wysokie prawdopodobieństwo kwalifikacji jako</w:t>
      </w:r>
      <w:r>
        <w:t xml:space="preserve"> </w:t>
      </w:r>
      <w:r>
        <w:rPr>
          <w:bCs/>
          <w:b/>
        </w:rPr>
        <w:t xml:space="preserve">transferable security</w:t>
      </w:r>
      <w:r>
        <w:t xml:space="preserve"> </w:t>
      </w:r>
      <w:r>
        <w:t xml:space="preserve">wg MiFID II art. 4(1)(44)(b) →</w:t>
      </w:r>
      <w:r>
        <w:t xml:space="preserve"> </w:t>
      </w:r>
      <w:r>
        <w:rPr>
          <w:bCs/>
          <w:b/>
        </w:rPr>
        <w:t xml:space="preserve">poza zakresem MiCA</w:t>
      </w:r>
      <w:r>
        <w:t xml:space="preserve"> </w:t>
      </w:r>
      <w:r>
        <w:t xml:space="preserve">(art. 2 ust. 4 lit. a) MiCA + wytyczne ESMA ESMA75-453128700-1323) → podlega Rozporządzeniu Prospektowemu i polskiemu prawu rynku kapitałowego.</w:t>
      </w:r>
    </w:p>
    <w:bookmarkEnd w:id="32"/>
    <w:bookmarkStart w:id="33" w:name="X60fcf81a3dd045dae69d726559096e780894ea8"/>
    <w:p>
      <w:pPr>
        <w:pStyle w:val="Heading2"/>
      </w:pPr>
      <w:r>
        <w:t xml:space="preserve">4.2 Model B — udział/prawo korporacyjne w SPV</w:t>
      </w:r>
    </w:p>
    <w:p>
      <w:pPr>
        <w:pStyle w:val="FirstParagraph"/>
      </w:pPr>
      <w:r>
        <w:rPr>
          <w:bCs/>
          <w:b/>
        </w:rPr>
        <w:t xml:space="preserve">Mechanizm:</w:t>
      </w:r>
      <w:r>
        <w:t xml:space="preserve"> </w:t>
      </w:r>
      <w:r>
        <w:t xml:space="preserve">SPV posiada nieruchomość, inwestor obejmuje udział (sp. z o.o.) lub akcję (S.A./PSA), token wspiera ewidencję i proces transakcyjny.</w:t>
      </w:r>
    </w:p>
    <w:p>
      <w:pPr>
        <w:pStyle w:val="BodyText"/>
      </w:pPr>
      <w:r>
        <w:rPr>
          <w:bCs/>
          <w:b/>
        </w:rPr>
        <w:t xml:space="preserve">Ograniczenie polskiego prawa spółek — kluczowe do wyjaśnienia Konradowi wprost: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Sp. z o.o.:</w:t>
      </w:r>
      <w:r>
        <w:t xml:space="preserve"> </w:t>
      </w:r>
      <w:r>
        <w:t xml:space="preserve">zbycie udziału wymaga formy pisemnej z podpisami notarialnie poświadczonymi (art. 180 KSH), poza wyjątkiem spółek zawiązanych w portalu S24 (kwalifikowany podpis elektroniczny/podpis zaufany, ale tylko w tym systemie).</w:t>
      </w:r>
      <w:r>
        <w:t xml:space="preserve"> </w:t>
      </w:r>
      <w:r>
        <w:rPr>
          <w:bCs/>
          <w:b/>
        </w:rPr>
        <w:t xml:space="preserve">Token sam w sobie nie przenosi własności udziału</w:t>
      </w:r>
      <w:r>
        <w:t xml:space="preserve"> </w:t>
      </w:r>
      <w:r>
        <w:t xml:space="preserve">— może być jedynie pomocniczą ewidencją z pokryciem w ważnej umowie.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Dodatkowe ograniczenie od 10.11.2023 r. (art. 182¹/257¹ KSH):</w:t>
      </w:r>
      <w:r>
        <w:t xml:space="preserve"> </w:t>
      </w:r>
      <w:r>
        <w:t xml:space="preserve">zakaz kierowania oferty objęcia/nabycia udziałów sp. z o.o. do „nieoznaczonego adresata" oraz zakaz promowania takiej oferty wobec nieoznaczonego adresata — sankcja karna do 6 miesięcy pozbawienia wolności (art. 595¹/595² KSH). To bezpośrednio ogranicza możliwość szerokiego marketingu udziałowego crowdfundingu w sp. z o.o.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Prosta spółka akcyjna (PSA):</w:t>
      </w:r>
      <w:r>
        <w:t xml:space="preserve"> </w:t>
      </w:r>
      <w:r>
        <w:t xml:space="preserve">dopuszcza prowadzenie rejestru akcjonariuszy w rozproszonej, zdecentralizowanej bazie danych (blockchain) —</w:t>
      </w:r>
      <w:r>
        <w:t xml:space="preserve"> </w:t>
      </w:r>
      <w:r>
        <w:rPr>
          <w:bCs/>
          <w:b/>
        </w:rPr>
        <w:t xml:space="preserve">ale wyłącznie przez uprawniony podmiot regulowany</w:t>
      </w:r>
      <w:r>
        <w:t xml:space="preserve"> </w:t>
      </w:r>
      <w:r>
        <w:t xml:space="preserve">(dom maklerski, bank powiernik prowadzący rachunki papierów wartościowych, zagraniczna instytucja kredytowa/firma inwestycyjna działająca w Polsce, KDPW, lub notariusz). Blockchain publiczny, bezzezwoleniowy, zarządzany samodzielnie przez spółkę/dostawcę technologii</w:t>
      </w:r>
      <w:r>
        <w:t xml:space="preserve"> </w:t>
      </w:r>
      <w:r>
        <w:rPr>
          <w:bCs/>
          <w:b/>
        </w:rPr>
        <w:t xml:space="preserve">nie spełnia tego wymogu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Wniosek praktyczny:</w:t>
      </w:r>
      <w:r>
        <w:t xml:space="preserve"> </w:t>
      </w:r>
      <w:r>
        <w:t xml:space="preserve">Model B jest technicznie i prawnie najbardziej złożony. Token pełni rolę warstwy ewidencyjnej/UX (panel inwestora, raportowanie, komunikacja), a nie samodzielnego nośnika własności. Wymaga PSA (nie sp. z o.o.) jeśli ma być realny komponent DLT w samym rejestrze akcjonariuszy, oraz współpracy z uprawnionym podmiotem prowadzącym ten rejestr.</w:t>
      </w:r>
    </w:p>
    <w:p>
      <w:pPr>
        <w:pStyle w:val="BodyText"/>
      </w:pPr>
      <w:r>
        <w:rPr>
          <w:bCs/>
          <w:b/>
        </w:rPr>
        <w:t xml:space="preserve">Ryzyko AFI/ASI (patrz też sekcja 6.3):</w:t>
      </w:r>
      <w:r>
        <w:t xml:space="preserve"> </w:t>
      </w:r>
      <w:r>
        <w:t xml:space="preserve">SPV zbierające kapitał od wielu inwestorów w celu ulokowania go zgodnie z określoną polityką inwestycyjną odpowiada definicji AFI (art. 2 pkt 10a UFI). Próg rejestracji (bez zezwolenia) zamiast pełnego zezwolenia ZASI:</w:t>
      </w:r>
      <w:r>
        <w:t xml:space="preserve"> </w:t>
      </w:r>
      <w:r>
        <w:rPr>
          <w:bCs/>
          <w:b/>
        </w:rPr>
        <w:t xml:space="preserve">100 mln EUR aktywów</w:t>
      </w:r>
      <w:r>
        <w:t xml:space="preserve"> </w:t>
      </w:r>
      <w:r>
        <w:t xml:space="preserve">(z dźwignią) lub</w:t>
      </w:r>
      <w:r>
        <w:t xml:space="preserve"> </w:t>
      </w:r>
      <w:r>
        <w:rPr>
          <w:bCs/>
          <w:b/>
        </w:rPr>
        <w:t xml:space="preserve">500 mln EUR</w:t>
      </w:r>
      <w:r>
        <w:t xml:space="preserve"> </w:t>
      </w:r>
      <w:r>
        <w:t xml:space="preserve">(bez dźwigni, brak prawa do umorzenia przez 5 lat) — pilotaż na jedną nieruchomość prawdopodobnie mieści się poniżej progu rejestracyjnego, ale</w:t>
      </w:r>
      <w:r>
        <w:t xml:space="preserve"> </w:t>
      </w:r>
      <w:r>
        <w:rPr>
          <w:bCs/>
          <w:b/>
        </w:rPr>
        <w:t xml:space="preserve">sam obowiązek rejestracji jako ZASI może i tak powstać</w:t>
      </w:r>
      <w:r>
        <w:t xml:space="preserve"> </w:t>
      </w:r>
      <w:r>
        <w:t xml:space="preserve">i wymaga odrębnej analizy prawnej przed uruchomieniem.</w:t>
      </w:r>
    </w:p>
    <w:bookmarkEnd w:id="33"/>
    <w:bookmarkStart w:id="34" w:name="Xe831001a231b3ddb1fa8d3bac23c21cf1a32821"/>
    <w:p>
      <w:pPr>
        <w:pStyle w:val="Heading2"/>
      </w:pPr>
      <w:r>
        <w:t xml:space="preserve">4.3 Model C — udział w przychodach/zyskach</w:t>
      </w:r>
    </w:p>
    <w:p>
      <w:pPr>
        <w:pStyle w:val="FirstParagraph"/>
      </w:pPr>
      <w:r>
        <w:rPr>
          <w:bCs/>
          <w:b/>
        </w:rPr>
        <w:t xml:space="preserve">Mechanizm:</w:t>
      </w:r>
      <w:r>
        <w:t xml:space="preserve"> </w:t>
      </w:r>
      <w:r>
        <w:t xml:space="preserve">inwestor finansuje projekt w zamian za określony % udziału w przychodach z najmu i/lub zysku ze sprzedaży, bez formalnego stosunku pożyczki ani udziału korporacyjnego (revenue-share agreement).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Ryzyko kwalifikacji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Papier wartościowy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Wysokie</w:t>
            </w:r>
            <w:r>
              <w:t xml:space="preserve"> </w:t>
            </w:r>
            <w:r>
              <w:t xml:space="preserve">— jeśli prawo do udziału w przychodach jest zbywalne i emitowane seryjnie (ta sama treść dla wielu inwestorów), funkcjonalnie przypomina „papier wartościowy równoważny akcji" (MiFID II art. 4(1)(44)(a))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finansowy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Pochodna powyższego — jeśli tak, poza MiCA, w reżimie MiFID II/Prospektowym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Zbiorowe inwestowanie (AFI)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Wysokie</w:t>
            </w:r>
            <w:r>
              <w:t xml:space="preserve"> </w:t>
            </w:r>
            <w:r>
              <w:t xml:space="preserve">— to najbardziej „podręcznikowy" przykład zbierania kapitału od wielu inwestorów wg określonej polityki inwestycyjnej; ryzyko wyższe niż w Modelu B, bo brak formalnej struktury korporacyjnej może wyglądać jeszcze bardziej jak fundusz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Działalność crowdfundingowa (ECSPR)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Zależy od kanału dystrybucji: jeśli oferowane przez</w:t>
            </w:r>
            <w:r>
              <w:t xml:space="preserve"> </w:t>
            </w:r>
            <w:r>
              <w:rPr>
                <w:bCs/>
                <w:b/>
              </w:rPr>
              <w:t xml:space="preserve">publicznie dostępną platformę internetową</w:t>
            </w:r>
            <w:r>
              <w:t xml:space="preserve"> </w:t>
            </w:r>
            <w:r>
              <w:t xml:space="preserve">— tak, wymaga zezwolenia CSP (próg 5 mln EUR/12 mies.); jeśli</w:t>
            </w:r>
            <w:r>
              <w:t xml:space="preserve"> </w:t>
            </w:r>
            <w:r>
              <w:rPr>
                <w:bCs/>
                <w:b/>
              </w:rPr>
              <w:t xml:space="preserve">w pełni prywatnie, na imienne zaproszenie, bez otwartej platformy</w:t>
            </w:r>
            <w:r>
              <w:t xml:space="preserve"> </w:t>
            </w:r>
            <w:r>
              <w:t xml:space="preserve">— prawdopodobnie poza zakresem ECSPR (na podstawie analogii do ESMA Q&amp;A 3.11 o ofercie do pojedynczego inwestora — ale ESMA nie potwierdziła tego wprost dla grupy kilkunastu zaproszonych osób, co jest istotną luką interpretacyjną)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Działalność wymagająca licencji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Jeśli struktura jest dystrybuowana przez pośrednika finansowego świadczącego usługi inwestycyjne (przyjmowanie/przekazywanie zleceń, doradztwo) — tak, wymaga licencji firmy inwestycyjnej lub działania przez podmiot już licencjonowany</w:t>
            </w:r>
          </w:p>
        </w:tc>
      </w:tr>
    </w:tbl>
    <w:p>
      <w:pPr>
        <w:pStyle w:val="BodyText"/>
      </w:pPr>
      <w:r>
        <w:rPr>
          <w:bCs/>
          <w:b/>
        </w:rPr>
        <w:t xml:space="preserve">Wniosek:</w:t>
      </w:r>
      <w:r>
        <w:t xml:space="preserve"> </w:t>
      </w:r>
      <w:r>
        <w:t xml:space="preserve">Model C jest najprostszy komunikacyjnie („inwestujesz i dostajesz % z najmu"), ale ma</w:t>
      </w:r>
      <w:r>
        <w:t xml:space="preserve"> </w:t>
      </w:r>
      <w:r>
        <w:rPr>
          <w:bCs/>
          <w:b/>
        </w:rPr>
        <w:t xml:space="preserve">najwyższe łączne ryzyko regulacyjne</w:t>
      </w:r>
      <w:r>
        <w:t xml:space="preserve"> </w:t>
      </w:r>
      <w:r>
        <w:t xml:space="preserve">ze wszystkich trzech modeli — brakuje mu twardej kotwicy prawnej (ani dług, ani udział korporacyjny), więc kwalifikacja opiera się w całości na testach „substance over form". Rekomendacja: jeśli Tudor chce iść w tym kierunku, warto rozważyć oparcie konstrukcji o Model A (pożyczka z odsetkami powiązanymi z wynikiem — np. oprocentowanie zmienne uzależnione od przychodu z najmu) zamiast czystego revenue-share, żeby mieć jaśniejszą kotwicę prawną.</w:t>
      </w:r>
    </w:p>
    <w:bookmarkEnd w:id="34"/>
    <w:bookmarkStart w:id="35" w:name="X720d9926a3ff6b73272faf903b0930bd4b4d9fa"/>
    <w:p>
      <w:pPr>
        <w:pStyle w:val="Heading2"/>
      </w:pPr>
      <w:r>
        <w:t xml:space="preserve">4.4 Wyłączenia dla emisji prywatnej — tabela (Rozporządzenie Prospektowe vs MiCA)</w:t>
      </w:r>
    </w:p>
    <w:p>
      <w:pPr>
        <w:pStyle w:val="FirstParagraph"/>
      </w:pPr>
      <w:r>
        <w:rPr>
          <w:bCs/>
          <w:b/>
        </w:rPr>
        <w:t xml:space="preserve">Nie mieszaj tych dwóch reżimów — to częsty błąd.</w:t>
      </w:r>
      <w:r>
        <w:t xml:space="preserve"> </w:t>
      </w:r>
      <w:r>
        <w:t xml:space="preserve">Poniższa tabela pokazuje, że mają różne przesłanki, różne progi i różny cel.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Rozporządzenie Prospektowe (UE) 2017/1129 (po Listing 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 (UE) 2023/1114, Tytuł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Czego dotyczy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Papiery wartościowe (udziały, obligacje, tokeny-security)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„Inne kryptoaktywa" (nie ART/EMT, nie instrumenty finansowe)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Próg wartości oferty w 12 mies.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mln EUR</w:t>
            </w:r>
            <w:r>
              <w:t xml:space="preserve"> </w:t>
            </w:r>
            <w:r>
              <w:t xml:space="preserve">ogólnie w UE od 5.06.2026; państwo członkowskie może obniżyć do</w:t>
            </w:r>
            <w:r>
              <w:t xml:space="preserve"> </w:t>
            </w:r>
            <w:r>
              <w:rPr>
                <w:bCs/>
                <w:b/>
              </w:rPr>
              <w:t xml:space="preserve">5 mln EUR</w:t>
            </w:r>
            <w:r>
              <w:t xml:space="preserve"> </w:t>
            </w:r>
            <w:r>
              <w:t xml:space="preserve">(status polskiej ustawy dostosowującej na 30.07.2026 — do sprawdzenia na bieżąco)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mln EUR</w:t>
            </w:r>
            <w:r>
              <w:t xml:space="preserve"> </w:t>
            </w:r>
            <w:r>
              <w:t xml:space="preserve">w 12 miesiącach (art. 4 ust.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Wyłącznie inwestorzy kwalifikowani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(art. 1 ust. 4 lit.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(art. 4 ust.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Próg liczby osób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Mniej niż 150 osób</w:t>
            </w:r>
            <w:r>
              <w:t xml:space="preserve"> </w:t>
            </w:r>
            <w:r>
              <w:t xml:space="preserve">na państwo członkowskie (art. 1 ust. 4 lit.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Mniej niż 150 osób</w:t>
            </w:r>
            <w:r>
              <w:t xml:space="preserve"> </w:t>
            </w:r>
            <w:r>
              <w:t xml:space="preserve">na państwo członkowskie (art. 4 ust. 3) — ten sam próg liczbowy, ale w innym akcie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Minimalny nominał jednostkowy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100 000 EUR</w:t>
            </w:r>
            <w:r>
              <w:t xml:space="preserve"> </w:t>
            </w:r>
            <w:r>
              <w:t xml:space="preserve">(art. 1 ust. 4 lit.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takiego wyłączenia w 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Minimalna wartość nabycia na inwestora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100 000 EUR</w:t>
            </w:r>
            <w:r>
              <w:t xml:space="preserve"> </w:t>
            </w:r>
            <w:r>
              <w:t xml:space="preserve">(art. 1 ust. 4 lit.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takiego wyłączenia w 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Wyłączenie dla dostępu do istniejącej usługi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dotyczy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„utility token exemption" dla dostępu do towaru/usługi już działającej (art. 4 ust.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 właściwy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KNF (zatwierdzenie prospektu / przyjęcie memorandum)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Docelowo KNF (notyfikacja whitepaper) —</w:t>
            </w:r>
            <w:r>
              <w:t xml:space="preserve"> </w:t>
            </w:r>
            <w:r>
              <w:rPr>
                <w:bCs/>
                <w:b/>
              </w:rPr>
              <w:t xml:space="preserve">obecnie brak umocowania ustawowego w Polsce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Charakter kontroli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Prospekt zatwierdzany merytorycznie przez KNF; memorandum poniżej progu — bez zatwierdzania, ale z obowiązkiem notyfikacji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Whitepaper</w:t>
            </w:r>
            <w:r>
              <w:t xml:space="preserve"> </w:t>
            </w:r>
            <w:r>
              <w:rPr>
                <w:bCs/>
                <w:b/>
              </w:rPr>
              <w:t xml:space="preserve">notyfikowany, nie zatwierdzany</w:t>
            </w:r>
            <w:r>
              <w:t xml:space="preserve"> </w:t>
            </w:r>
            <w:r>
              <w:t xml:space="preserve">(art. 8 MiCA) — nawet w części UE, gdzie MiCA już w pełni działa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Sankcja za obejście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Grzywna do 10 mln zł i/lub do 2 lat pozbawienia wolności (polska ustawa o ofercie publicznej) + kary administracyjne KNF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Sankcje wynikające z krajowej ustawy implementującej —</w:t>
            </w:r>
            <w:r>
              <w:t xml:space="preserve"> </w:t>
            </w:r>
            <w:r>
              <w:rPr>
                <w:bCs/>
                <w:b/>
              </w:rPr>
              <w:t xml:space="preserve">w Polsce obecnie niedostępne z powodu braku ustawy</w:t>
            </w:r>
            <w:r>
              <w:t xml:space="preserve">, co samo w sobie jest źródłem niepewności prawnej, nie luką bezkarności</w:t>
            </w:r>
          </w:p>
        </w:tc>
      </w:tr>
    </w:tbl>
    <w:p>
      <w:pPr>
        <w:pStyle w:val="BodyText"/>
      </w:pPr>
      <w:r>
        <w:rPr>
          <w:bCs/>
          <w:b/>
        </w:rPr>
        <w:t xml:space="preserve">Zasada dla Modeli A/B/C:</w:t>
      </w:r>
      <w:r>
        <w:t xml:space="preserve"> </w:t>
      </w:r>
      <w:r>
        <w:t xml:space="preserve">jeśli token kwalifikuje się jako papier wartościowy (co jest najbardziej prawdopodobne dla Ścieżki 1),</w:t>
      </w:r>
      <w:r>
        <w:t xml:space="preserve"> </w:t>
      </w:r>
      <w:r>
        <w:rPr>
          <w:bCs/>
          <w:b/>
        </w:rPr>
        <w:t xml:space="preserve">stosuje się reżim Prospektowy, nie MiCA</w:t>
      </w:r>
      <w:r>
        <w:t xml:space="preserve"> </w:t>
      </w:r>
      <w:r>
        <w:t xml:space="preserve">— nawet jeśli token jest technicznie zapisany na blockchainie. Polska luka ustawowa w MiCA</w:t>
      </w:r>
      <w:r>
        <w:t xml:space="preserve"> </w:t>
      </w:r>
      <w:r>
        <w:rPr>
          <w:bCs/>
          <w:b/>
        </w:rPr>
        <w:t xml:space="preserve">nie blokuje</w:t>
      </w:r>
      <w:r>
        <w:t xml:space="preserve"> </w:t>
      </w:r>
      <w:r>
        <w:t xml:space="preserve">tej ścieżki.</w:t>
      </w:r>
    </w:p>
    <w:bookmarkEnd w:id="35"/>
    <w:bookmarkStart w:id="36" w:name="Xc9ebe21b1b987f9228473a8469c3a56e2831c37"/>
    <w:p>
      <w:pPr>
        <w:pStyle w:val="Heading2"/>
      </w:pPr>
      <w:r>
        <w:t xml:space="preserve">4.5 Kontrola dostępu do emisji prywatnej — proces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Wynika z prawa czy dobra praktyka?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Zamknięty landing page (bez publicznej ceny/przycisku zakupu)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 wspierająca zachowanie wyłączenia z prospektu — prawo nie nakazuje formy strony, ale skutki jej otwartości mogą zniweczyć wyłączenie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Dostęp wyłącznie na indywidualne zaproszenie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Wynika z prawa</w:t>
            </w:r>
            <w:r>
              <w:t xml:space="preserve"> </w:t>
            </w:r>
            <w:r>
              <w:t xml:space="preserve">— konieczne dla zachowania „oferty do mniej niż 150 osób" / uniknięcia „nieoznaczonego adresata" (art. 182¹ KSH przy udziałach)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/ potwierdzenie poufności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Formularz inwestora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 (operacyjna konieczność)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Kwalifikacja inwestora (kwalifikowany/detaliczny)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Wynika z prawa</w:t>
            </w:r>
            <w:r>
              <w:t xml:space="preserve">, jeśli oferta ma korzystać z wyłączenia dla inwestorów kwalifikowanych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Wynika z prawa</w:t>
            </w:r>
            <w:r>
              <w:t xml:space="preserve"> </w:t>
            </w:r>
            <w:r>
              <w:t xml:space="preserve">— jeśli w proces zaangażowany jest podmiot będący instytucją obowiązaną (np. agent emisji, CASP); jeśli emitent/SPV działa samodzielnie bez pośrednika regulowanego, status jako instytucji obowiązanej jest niejednoznaczny (patrz sekcja 6.2), ale</w:t>
            </w:r>
            <w:r>
              <w:t xml:space="preserve"> </w:t>
            </w:r>
            <w:r>
              <w:rPr>
                <w:bCs/>
                <w:b/>
              </w:rPr>
              <w:t xml:space="preserve">obowiązek screeningu sankcyjnego obowiązuje zawsze</w:t>
            </w:r>
            <w:r>
              <w:t xml:space="preserve">, niezależnie od statusu instytucji obowiązanej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Suitability/appropriateness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Wynika z prawa</w:t>
            </w:r>
            <w:r>
              <w:t xml:space="preserve"> </w:t>
            </w:r>
            <w:r>
              <w:rPr>
                <w:bCs/>
                <w:b/>
              </w:rPr>
              <w:t xml:space="preserve">tylko</w:t>
            </w:r>
            <w:r>
              <w:t xml:space="preserve"> </w:t>
            </w:r>
            <w:r>
              <w:t xml:space="preserve">jeśli usługę świadczy podmiot objęty MiFID II (doradztwo/zarządzanie portfelem)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Potwierdzenie kraju rezydencji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 wspierająca ocenę zakresu terytorialnego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Zaakceptowanie dokumentów (regulamin, risk disclosure)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 + częściowo wynika z ogólnych zasad prawa cywilnego (skuteczność zgody)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Podpis elektroniczny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 umowy pożyczki/obligacji — forma dokumentowa może wystarczyć; dla udziałów sp. z o.o. —</w:t>
            </w:r>
            <w:r>
              <w:t xml:space="preserve"> </w:t>
            </w:r>
            <w:r>
              <w:rPr>
                <w:bCs/>
                <w:b/>
              </w:rPr>
              <w:t xml:space="preserve">wymagany podpis notarialnie poświadczony</w:t>
            </w:r>
            <w:r>
              <w:t xml:space="preserve"> </w:t>
            </w:r>
            <w:r>
              <w:t xml:space="preserve">(poza S24)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Wpłata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Operacyjna konieczność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Whitelistowanie portfela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 / element compliance dla warstwy blockchain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lub transfer tokena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Techniczna konieczność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Bieżące raportowanie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praktyka, wzmacniana przez ogólne obowiązki informacyjne wobec wierzycieli/wspólników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Dystrybucja świadczeń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Wynika z umowy (pożyczka/obligacja/udział)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Kontrolowany obrót wtórny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praktyka +</w:t>
            </w:r>
            <w:r>
              <w:t xml:space="preserve"> </w:t>
            </w:r>
            <w:r>
              <w:rPr>
                <w:bCs/>
                <w:b/>
              </w:rPr>
              <w:t xml:space="preserve">wymaga odrębnej analizy prawnej</w:t>
            </w:r>
            <w:r>
              <w:t xml:space="preserve">, bo nieprawidłowo zorganizowany obrót wtórny może sam stworzyć „rynek" i zmienić kwalifikację oferty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X0e1aa7533beaca222b3afec7add66e3e2936f52"/>
    <w:p>
      <w:pPr>
        <w:pStyle w:val="Heading1"/>
      </w:pPr>
      <w:r>
        <w:t xml:space="preserve">5. Publiczny utility token Tudor (Ścieżka 2)</w:t>
      </w:r>
    </w:p>
    <w:bookmarkStart w:id="41" w:name="Xd76d229e65e5c2b670c80ec3cf97830eeac31cf"/>
    <w:p>
      <w:pPr>
        <w:pStyle w:val="Heading2"/>
      </w:pPr>
      <w:r>
        <w:t xml:space="preserve">5.1 20–30 realnych utility — podział wg ryzyka regulacyjnego</w:t>
      </w:r>
    </w:p>
    <w:bookmarkStart w:id="38" w:name="Xaebe422b7c6f56444b04c68c62349cde762f018"/>
    <w:p>
      <w:pPr>
        <w:pStyle w:val="Heading3"/>
      </w:pPr>
      <w:r>
        <w:t xml:space="preserve">Bezpieczne regulacyjnie (bezpośredni dostęp do usługi/produktu, brak cech inwestycyjnych)</w:t>
      </w:r>
    </w:p>
    <w:p>
      <w:pPr>
        <w:numPr>
          <w:ilvl w:val="0"/>
          <w:numId w:val="1010"/>
        </w:numPr>
        <w:pStyle w:val="Compact"/>
      </w:pPr>
      <w:r>
        <w:t xml:space="preserve">Dostęp do ofert nieruchomości przed publikacją (early access)</w:t>
      </w:r>
    </w:p>
    <w:p>
      <w:pPr>
        <w:numPr>
          <w:ilvl w:val="0"/>
          <w:numId w:val="1010"/>
        </w:numPr>
        <w:pStyle w:val="Compact"/>
      </w:pPr>
      <w:r>
        <w:t xml:space="preserve">Dostęp do ofert off-market</w:t>
      </w:r>
    </w:p>
    <w:p>
      <w:pPr>
        <w:numPr>
          <w:ilvl w:val="0"/>
          <w:numId w:val="1010"/>
        </w:numPr>
        <w:pStyle w:val="Compact"/>
      </w:pPr>
      <w:r>
        <w:t xml:space="preserve">Pierwszeństwo rezerwacji terminu prezentacji nieruchomości</w:t>
      </w:r>
    </w:p>
    <w:p>
      <w:pPr>
        <w:numPr>
          <w:ilvl w:val="0"/>
          <w:numId w:val="1010"/>
        </w:numPr>
        <w:pStyle w:val="Compact"/>
      </w:pPr>
      <w:r>
        <w:t xml:space="preserve">Rabat na prowizję pośrednika przy transakcji</w:t>
      </w:r>
    </w:p>
    <w:p>
      <w:pPr>
        <w:numPr>
          <w:ilvl w:val="0"/>
          <w:numId w:val="1010"/>
        </w:numPr>
        <w:pStyle w:val="Compact"/>
      </w:pPr>
      <w:r>
        <w:t xml:space="preserve">Rabat na usługi przygotowania nieruchomości do sprzedaży (home staging, drobne remonty)</w:t>
      </w:r>
    </w:p>
    <w:p>
      <w:pPr>
        <w:numPr>
          <w:ilvl w:val="0"/>
          <w:numId w:val="1010"/>
        </w:numPr>
        <w:pStyle w:val="Compact"/>
      </w:pPr>
      <w:r>
        <w:t xml:space="preserve">Dostęp do raportów i analiz lokalnego rynku (Szczecin, woj. zachodniopomorskie)</w:t>
      </w:r>
    </w:p>
    <w:p>
      <w:pPr>
        <w:numPr>
          <w:ilvl w:val="0"/>
          <w:numId w:val="1010"/>
        </w:numPr>
        <w:pStyle w:val="Compact"/>
      </w:pPr>
      <w:r>
        <w:t xml:space="preserve">Dostęp do webinarów i materiałów edukacyjnych</w:t>
      </w:r>
    </w:p>
    <w:p>
      <w:pPr>
        <w:numPr>
          <w:ilvl w:val="0"/>
          <w:numId w:val="1010"/>
        </w:numPr>
        <w:pStyle w:val="Compact"/>
      </w:pPr>
      <w:r>
        <w:t xml:space="preserve">Dostęp do zamkniętej społeczności inwestorów/właścicieli (np. grupa networkingowa)</w:t>
      </w:r>
    </w:p>
    <w:p>
      <w:pPr>
        <w:numPr>
          <w:ilvl w:val="0"/>
          <w:numId w:val="1010"/>
        </w:numPr>
        <w:pStyle w:val="Compact"/>
      </w:pPr>
      <w:r>
        <w:t xml:space="preserve">Vouchery na konkretne usługi (np. sesja ze stagerem, konsultacja z architektem wnętrz)</w:t>
      </w:r>
    </w:p>
    <w:p>
      <w:pPr>
        <w:numPr>
          <w:ilvl w:val="0"/>
          <w:numId w:val="1010"/>
        </w:numPr>
        <w:pStyle w:val="Compact"/>
      </w:pPr>
      <w:r>
        <w:t xml:space="preserve">Priorytetowa obsługa klienta (szybsza odpowiedź, dedykowany agent)</w:t>
      </w:r>
    </w:p>
    <w:p>
      <w:pPr>
        <w:numPr>
          <w:ilvl w:val="0"/>
          <w:numId w:val="1010"/>
        </w:numPr>
        <w:pStyle w:val="Compact"/>
      </w:pPr>
      <w:r>
        <w:t xml:space="preserve">Program poleceń (rabat za polecenie nowego klienta)</w:t>
      </w:r>
    </w:p>
    <w:p>
      <w:pPr>
        <w:numPr>
          <w:ilvl w:val="0"/>
          <w:numId w:val="1010"/>
        </w:numPr>
        <w:pStyle w:val="Compact"/>
      </w:pPr>
      <w:r>
        <w:t xml:space="preserve">Poziomy członkostwa (np. Bronze/Silver/Gold) odblokowujące kolejne funkcje platformy</w:t>
      </w:r>
    </w:p>
    <w:p>
      <w:pPr>
        <w:numPr>
          <w:ilvl w:val="0"/>
          <w:numId w:val="1010"/>
        </w:numPr>
        <w:pStyle w:val="Compact"/>
      </w:pPr>
      <w:r>
        <w:t xml:space="preserve">Dostęp do wydarzeń i spotkań networkingowych Tudor</w:t>
      </w:r>
    </w:p>
    <w:bookmarkEnd w:id="38"/>
    <w:bookmarkStart w:id="39" w:name="Xbdd864e28571e89b910b52bdc2cadb86ee4f83a"/>
    <w:p>
      <w:pPr>
        <w:pStyle w:val="Heading3"/>
      </w:pPr>
      <w:r>
        <w:t xml:space="preserve">Wymagające dodatkowej analizy (zależą od konstrukcji — mogą przesunąć się w stronę ryzyka)</w:t>
      </w:r>
    </w:p>
    <w:p>
      <w:pPr>
        <w:numPr>
          <w:ilvl w:val="0"/>
          <w:numId w:val="1011"/>
        </w:numPr>
        <w:pStyle w:val="Compact"/>
      </w:pPr>
      <w:r>
        <w:t xml:space="preserve">Wyceny i raporty „premium" (jeśli sugerują rekomendację inwestycyjną — bliżej doradztwa inwestycyjnego niż utility)</w:t>
      </w:r>
    </w:p>
    <w:p>
      <w:pPr>
        <w:numPr>
          <w:ilvl w:val="0"/>
          <w:numId w:val="1011"/>
        </w:numPr>
        <w:pStyle w:val="Compact"/>
      </w:pPr>
      <w:r>
        <w:t xml:space="preserve">Dostęp do partnerów: kredyty hipoteczne (pośrednictwo kredytowe ma odrębny reżim regulacyjny — ustawa o kredycie hipotecznym)</w:t>
      </w:r>
    </w:p>
    <w:p>
      <w:pPr>
        <w:numPr>
          <w:ilvl w:val="0"/>
          <w:numId w:val="1011"/>
        </w:numPr>
        <w:pStyle w:val="Compact"/>
      </w:pPr>
      <w:r>
        <w:t xml:space="preserve">Dostęp do partnerów: notariusz, architekt, ekipy remontowe, zarządzanie najmem (samo pośrednictwo OK, ale uważać na prowizje wpływające na klasyfikację jako usługa finansowa)</w:t>
      </w:r>
    </w:p>
    <w:p>
      <w:pPr>
        <w:numPr>
          <w:ilvl w:val="0"/>
          <w:numId w:val="1011"/>
        </w:numPr>
        <w:pStyle w:val="Compact"/>
      </w:pPr>
      <w:r>
        <w:t xml:space="preserve">Pakiety concierge (jeśli obejmują elementy doradztwa inwestycyjnego — do analizy)</w:t>
      </w:r>
    </w:p>
    <w:p>
      <w:pPr>
        <w:numPr>
          <w:ilvl w:val="0"/>
          <w:numId w:val="1011"/>
        </w:numPr>
        <w:pStyle w:val="Compact"/>
      </w:pPr>
      <w:r>
        <w:t xml:space="preserve">Głosowanie nad funkcjami platformy/rozwojem ekosystemu (governance) — ryzyko, jeśli głosowanie dotyczy alokacji kapitału/decyzji inwestycyjnych, a nie funkcji produktu</w:t>
      </w:r>
    </w:p>
    <w:p>
      <w:pPr>
        <w:numPr>
          <w:ilvl w:val="0"/>
          <w:numId w:val="1011"/>
        </w:numPr>
        <w:pStyle w:val="Compact"/>
      </w:pPr>
      <w:r>
        <w:t xml:space="preserve">Program lojalnościowy dla kupujących/sprzedających/najemców/wynajmujących (OK jako mechanika, ale unikać elementów przypominających zwrot z kapitału)</w:t>
      </w:r>
    </w:p>
    <w:p>
      <w:pPr>
        <w:numPr>
          <w:ilvl w:val="0"/>
          <w:numId w:val="1011"/>
        </w:numPr>
        <w:pStyle w:val="Compact"/>
      </w:pPr>
      <w:r>
        <w:t xml:space="preserve">Płatność za usługi tokenem (jeśli token pełni funkcję zbliżoną do środka płatniczego na szerszą skalę — ryzyko klasyfikacji jako e-money token, patrz sekcja 6)</w:t>
      </w:r>
    </w:p>
    <w:bookmarkEnd w:id="39"/>
    <w:bookmarkStart w:id="40" w:name="X3118e6c0daad51c6276b2d73da315c6ab9798ed"/>
    <w:p>
      <w:pPr>
        <w:pStyle w:val="Heading3"/>
      </w:pPr>
      <w:r>
        <w:t xml:space="preserve">Wysokiego ryzyka (bliskie cechom inwestycyjnym — unikać lub izolować od rdzenia produktu)</w:t>
      </w:r>
    </w:p>
    <w:p>
      <w:pPr>
        <w:numPr>
          <w:ilvl w:val="0"/>
          <w:numId w:val="1012"/>
        </w:numPr>
        <w:pStyle w:val="Compact"/>
      </w:pPr>
      <w:r>
        <w:t xml:space="preserve">Token jako zabezpieczenie/kolateral dla innych produktów finansowych</w:t>
      </w:r>
    </w:p>
    <w:p>
      <w:pPr>
        <w:numPr>
          <w:ilvl w:val="0"/>
          <w:numId w:val="1012"/>
        </w:numPr>
        <w:pStyle w:val="Compact"/>
      </w:pPr>
      <w:r>
        <w:t xml:space="preserve">Mechanizm buy-back/odkup tokena przez Tudor po ustalonej lub rosnącej cenie</w:t>
      </w:r>
    </w:p>
    <w:p>
      <w:pPr>
        <w:numPr>
          <w:ilvl w:val="0"/>
          <w:numId w:val="1012"/>
        </w:numPr>
        <w:pStyle w:val="Compact"/>
      </w:pPr>
      <w:r>
        <w:t xml:space="preserve">Jakikolwiek mechanizm „staking" tokena z obiecanym zwrotem</w:t>
      </w:r>
    </w:p>
    <w:p>
      <w:pPr>
        <w:numPr>
          <w:ilvl w:val="0"/>
          <w:numId w:val="1012"/>
        </w:numPr>
        <w:pStyle w:val="Compact"/>
      </w:pPr>
      <w:r>
        <w:t xml:space="preserve">Emisja dodatkowych tokenów proporcjonalnie do posiadanej ilości (przypomina dywidendę)</w:t>
      </w:r>
    </w:p>
    <w:p>
      <w:pPr>
        <w:numPr>
          <w:ilvl w:val="0"/>
          <w:numId w:val="1012"/>
        </w:numPr>
        <w:pStyle w:val="Compact"/>
      </w:pPr>
      <w:r>
        <w:t xml:space="preserve">Powiązanie wartości tokena ze wzrostem wartości portfela nieruchomości Tudor</w:t>
      </w:r>
    </w:p>
    <w:p>
      <w:pPr>
        <w:numPr>
          <w:ilvl w:val="0"/>
          <w:numId w:val="1012"/>
        </w:numPr>
        <w:pStyle w:val="Compact"/>
      </w:pPr>
      <w:r>
        <w:t xml:space="preserve">Sprzedaż tokena z narracją „im więcej osób kupi, tym więcej zarobisz" (ryzyko systemu piramidalnego — art. 7 ustawy o przeciwdziałaniu nieuczciwym praktykom rynkowym)</w:t>
      </w:r>
    </w:p>
    <w:p>
      <w:pPr>
        <w:numPr>
          <w:ilvl w:val="0"/>
          <w:numId w:val="1012"/>
        </w:numPr>
        <w:pStyle w:val="Compact"/>
      </w:pPr>
      <w:r>
        <w:t xml:space="preserve">Token jako „udział" w przyszłych przychodach z prowizji Tudor</w:t>
      </w:r>
    </w:p>
    <w:p>
      <w:pPr>
        <w:pStyle w:val="FirstParagraph"/>
      </w:pPr>
      <w:r>
        <w:rPr>
          <w:bCs/>
          <w:b/>
        </w:rPr>
        <w:t xml:space="preserve">Rekomendacja:</w:t>
      </w:r>
      <w:r>
        <w:t xml:space="preserve"> </w:t>
      </w:r>
      <w:r>
        <w:t xml:space="preserve">buduj rdzeń produktu z pozycji 1–13 (bezpieczne), traktuj 14–20 jako opcjonalny rozwój po konsultacji prawnej,</w:t>
      </w:r>
      <w:r>
        <w:t xml:space="preserve"> </w:t>
      </w:r>
      <w:r>
        <w:rPr>
          <w:bCs/>
          <w:b/>
        </w:rPr>
        <w:t xml:space="preserve">wyklucz całkowicie</w:t>
      </w:r>
      <w:r>
        <w:t xml:space="preserve"> </w:t>
      </w:r>
      <w:r>
        <w:t xml:space="preserve">pozycje 21–27 z pierwszej wersji produktu.</w:t>
      </w:r>
    </w:p>
    <w:bookmarkEnd w:id="40"/>
    <w:bookmarkEnd w:id="41"/>
    <w:bookmarkStart w:id="42" w:name="X56c3b5e1b4aabe0ab787570b4a4e4a8fd25fec0"/>
    <w:p>
      <w:pPr>
        <w:pStyle w:val="Heading2"/>
      </w:pPr>
      <w:r>
        <w:t xml:space="preserve">5.2 Czego utility token nie powinien obiecywać</w:t>
      </w:r>
    </w:p>
    <w:p>
      <w:pPr>
        <w:pStyle w:val="FirstParagraph"/>
      </w:pPr>
      <w:r>
        <w:t xml:space="preserve">Dywidendy · odsetek · czynszu · gwarantowanego zwrotu · gwarantowanego wzrostu ceny · udziału w zysku Tudor · udziału we wzroście wartości nieruchomości · obowiązkowego odkupu po wyższej cenie · sztywnego powiązania z PLN/EUR/nieruchomością · pasywnego dochodu.</w:t>
      </w:r>
    </w:p>
    <w:p>
      <w:pPr>
        <w:pStyle w:val="BodyText"/>
      </w:pPr>
      <w:r>
        <w:rPr>
          <w:bCs/>
          <w:b/>
        </w:rPr>
        <w:t xml:space="preserve">Każdy z tych elementów, jeśli obecny, przesuwa token w stronę instrumentu finansowego/ART/EMT — niezależnie od nazwy „utility".</w:t>
      </w:r>
    </w:p>
    <w:bookmarkEnd w:id="42"/>
    <w:bookmarkStart w:id="43" w:name="X875e77a6cb56933dcdf305a45ecbc5189db5266"/>
    <w:p>
      <w:pPr>
        <w:pStyle w:val="Heading2"/>
      </w:pPr>
      <w:r>
        <w:t xml:space="preserve">5.3 Ryzykowne zwroty marketingowe i bezpieczniejsze odpowiedniki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Unikać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Bezpieczniejszy odpowiednik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„Inwestycja"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Sugeruje oczekiwanie zwrotu z kapitału — kluczowe słowo w testach „substance over form" i w definicjach nieuczciwych praktyk rynkowych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„Uczestnictwo w ekosystemie", „dostęp do usług"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„ROI"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Wprost odwołuje się do zwrotu z inwestycji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„Korzyści z członkostwa", „oszczędności na usługach"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„Zarabianie na tokenie"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Sugeruje pasywny dochód/spekulację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„Korzystanie z tokena", „wykorzystanie tokena w ekosystemie"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„Wzrost wartości"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Obietnica aprecjacji ceny — typowa cecha papieru wartościowego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„Rozwój ekosystemu", „rosnący zakres funkcji"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„Bezpieczny zysk"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Podwójnie problematyczne: „bezpieczny" (nieprawda przy każdej inwestycji) + „zysk"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Unikać całkowicie — nie ma bezpiecznego odpowiednika, bo to obietnica z definicji niedozwolona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„Token zabezpieczony nieruchomością"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Sugeruje asset-referenced token (ART) lub zabezpieczenie rzeczowe typowe dla papieru dłużnego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„Token wykorzystywany w usługach Tudor", ewentualnie opisowo bez odniesienia do zabezpieczenia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„Pasywny dochód"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Klasyczny element testu Howey/instrumentu finansowego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Unikać całkowicie</w:t>
            </w:r>
          </w:p>
        </w:tc>
      </w:tr>
    </w:tbl>
    <w:p>
      <w:pPr>
        <w:pStyle w:val="BodyText"/>
      </w:pPr>
      <w:r>
        <w:rPr>
          <w:bCs/>
          <w:b/>
        </w:rPr>
        <w:t xml:space="preserve">Kontekst egzekucyjny:</w:t>
      </w:r>
      <w:r>
        <w:t xml:space="preserve"> </w:t>
      </w:r>
      <w:r>
        <w:t xml:space="preserve">UOKiK w komunikacie z 20 lipca 2026 r. postawił zarzuty spółkom sprzedającym udziały w condohotelach (Linea Mare, Beskid Resort Properties, Haveno Estate, Zdrojowa Invest2) właśnie za wprowadzanie w błąd co do wysokości i pewności zysków z inwestycji w nieruchomości. To najbliższy dostępny precedens egzekucyjny w Polsce — model biznesowy (inwestor nabywa prawo do nieruchomości z obietnicą zwrotu z najmu) jest strukturalnie bliski tokenizacji nieruchomości.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348c79008e5970f3501bdfe7bff22a888af7344"/>
    <w:p>
      <w:pPr>
        <w:pStyle w:val="Heading1"/>
      </w:pPr>
      <w:r>
        <w:t xml:space="preserve">6. Klasyfikacja regulacyjna</w:t>
      </w:r>
    </w:p>
    <w:bookmarkStart w:id="45" w:name="Xb6fd7ee72dbb483ba684aa361ec40882f479b19"/>
    <w:p>
      <w:pPr>
        <w:pStyle w:val="Heading2"/>
      </w:pPr>
      <w:r>
        <w:t xml:space="preserve">6.1 Zastrzeżenie klasyfikacyjne — zasada nadrzędna</w:t>
      </w:r>
    </w:p>
    <w:p>
      <w:pPr>
        <w:pStyle w:val="FirstParagraph"/>
      </w:pPr>
      <w:r>
        <w:rPr>
          <w:bCs/>
          <w:b/>
        </w:rPr>
        <w:t xml:space="preserve">Token powiązany z nieruchomością nie ma jednej, z góry ustalonej kategorii prawnej.</w:t>
      </w:r>
      <w:r>
        <w:t xml:space="preserve"> </w:t>
      </w:r>
      <w:r>
        <w:t xml:space="preserve">Klasyfikacja zależy wyłącznie od praw, jakie faktycznie inkorporuje — nie od nazwy nadanej przez emitenta, technologii (blockchain) ani intencji marketingowej. Nazwanie tokena „utility" nie przesądza jego klasyfikacji — obowiązuje zasada</w:t>
      </w:r>
      <w:r>
        <w:t xml:space="preserve"> </w:t>
      </w:r>
      <w:r>
        <w:rPr>
          <w:bCs/>
          <w:b/>
        </w:rPr>
        <w:t xml:space="preserve">substance over form</w:t>
      </w:r>
      <w:r>
        <w:t xml:space="preserve">, wprost potwierdzona przez wytyczne ESMA (ESMA75-453128700-1323, obowiązujące od 18.05.2025) wydane na podstawie art. 2 ust. 4 lit. a) MiCA.</w:t>
      </w:r>
    </w:p>
    <w:bookmarkEnd w:id="45"/>
    <w:bookmarkStart w:id="46" w:name="X6b7ae05cb540f5f64dad67e645f0ec8b2b9ef7d"/>
    <w:p>
      <w:pPr>
        <w:pStyle w:val="Heading2"/>
      </w:pPr>
      <w:r>
        <w:t xml:space="preserve">6.2 Analiza wariantowa — co token daje posiadaczowi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Prawo inkorporowane w tokenie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Najbardziej prawdopodobna klasyfikacja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Uzasadnienie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Udział w spółce (SPV)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Papier wartościowy</w:t>
            </w:r>
            <w:r>
              <w:t xml:space="preserve"> </w:t>
            </w:r>
            <w:r>
              <w:t xml:space="preserve">(transferable security, MiFID II art. 4(1)(44)(a)) → poza 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„Akcje spółek i inne papiery wartościowe równoważne akcjom"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Prawo do dywidendy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Papier wartościowy</w:t>
            </w:r>
            <w:r>
              <w:t xml:space="preserve"> </w:t>
            </w:r>
            <w:r>
              <w:t xml:space="preserve">/ instrument finansowy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Klasyczna cecha udziałowa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Prawo do czynszu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Prawdopodobnie papier wartościowy lub jednostka uczestnictwa w zbiorowym inwestowaniu (AFI)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Zależnie od tego, czy powiązane z formalnym udziałem, czy z umową revenue-share przy wielu inwestorach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Udział w przychodach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Wysokie ryzyko: papier wartościowy i/lub AFI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twardej kotwicy prawnej (patrz Model C, sekcja 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Udział w zysku ze sprzedaży nieruchomości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Wysokie ryzyko: papier wartościowy i/lub AFI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 wyżej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Odsetki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 dłużny (obligacja/pożyczka tokenizowana)</w:t>
            </w:r>
            <w:r>
              <w:t xml:space="preserve"> </w:t>
            </w:r>
            <w:r>
              <w:t xml:space="preserve">→ poza MiCA, w reżimie Prospektowym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„Obligacje lub inne formy sekurytyzowanego długu" (MiFID II art. 4(1)(44)(b))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Obowiązek odkupu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Wzmacnia klasyfikację jako</w:t>
            </w:r>
            <w:r>
              <w:t xml:space="preserve"> </w:t>
            </w:r>
            <w:r>
              <w:rPr>
                <w:bCs/>
                <w:b/>
              </w:rPr>
              <w:t xml:space="preserve">instrument dłużny/papier wartościowy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Cecha typowa dla obligacji, nie dla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Prawo do zwrotu kapitału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 wyżej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Prawo do wzrostu wartości aktywa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 pochodny lub papier wartościowy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Zbliżone do kontraktu na różnicę / instrumentu pochodnego (MiFID II Sekcja C pkt 9) jeśli rozliczane pieniężnie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Prawo głosu ws. zarządzania nieruchomością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 wzmacniający klasyfikację jako AFI/jednostka zbiorowego inwestowania</w:t>
            </w:r>
            <w:r>
              <w:t xml:space="preserve"> </w:t>
            </w:r>
            <w:r>
              <w:t xml:space="preserve">lub udział korporacyjny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nad wspólnym aktywem to cecha strukturalna funduszu/spółki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Wyłącznie dostęp do produktów/usług/zniżek/funkcji platformy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Utility token w rozumieniu MiCA</w:t>
            </w:r>
            <w:r>
              <w:t xml:space="preserve"> </w:t>
            </w:r>
            <w:r>
              <w:t xml:space="preserve">(art. 3 MiCA), poza MiFID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Warunek: brak jakiegokolwiek elementu z powyższych wierszy</w:t>
            </w:r>
          </w:p>
        </w:tc>
      </w:tr>
    </w:tbl>
    <w:bookmarkEnd w:id="46"/>
    <w:bookmarkStart w:id="47" w:name="X9f8bf6417e3000e8f7a426a72b21eef37051556"/>
    <w:p>
      <w:pPr>
        <w:pStyle w:val="Heading2"/>
      </w:pPr>
      <w:r>
        <w:t xml:space="preserve">6.3 Drzewo decyzyjne (test klasyfikacyjny)</w:t>
      </w:r>
    </w:p>
    <w:p>
      <w:pPr>
        <w:pStyle w:val="SourceCode"/>
      </w:pPr>
      <w:r>
        <w:rPr>
          <w:rStyle w:val="VerbatimChar"/>
        </w:rPr>
        <w:t xml:space="preserve">START: Co token faktycznie daje posiadaczowi? (analiza treści praw, nie nazwy)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Czy token daje prawo do udziału w kapitale/zysku/przychodach spółki lub SPV,</w:t>
      </w:r>
      <w:r>
        <w:br/>
      </w:r>
      <w:r>
        <w:rPr>
          <w:rStyle w:val="VerbatimChar"/>
        </w:rPr>
        <w:t xml:space="preserve">│  jest zbywalny i emitowany seryjnie (ta sama treść dla wielu posiadaczy)?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TAK → Test MiFID II art. 4(1)(44): czy to "klasa papierów wartościowych"</w:t>
      </w:r>
      <w:r>
        <w:br/>
      </w:r>
      <w:r>
        <w:rPr>
          <w:rStyle w:val="VerbatimChar"/>
        </w:rPr>
        <w:t xml:space="preserve">│  │        zbywalna na rynku kapitałowym, nie instrument płatniczy?</w:t>
      </w:r>
      <w:r>
        <w:br/>
      </w:r>
      <w:r>
        <w:rPr>
          <w:rStyle w:val="VerbatimChar"/>
        </w:rPr>
        <w:t xml:space="preserve">│  │  │</w:t>
      </w:r>
      <w:r>
        <w:br/>
      </w:r>
      <w:r>
        <w:rPr>
          <w:rStyle w:val="VerbatimChar"/>
        </w:rPr>
        <w:t xml:space="preserve">│  │  ├─ TAK → PAPIER WARTOŚCIOWY / INSTRUMENT FINANSOWY</w:t>
      </w:r>
      <w:r>
        <w:br/>
      </w:r>
      <w:r>
        <w:rPr>
          <w:rStyle w:val="VerbatimChar"/>
        </w:rPr>
        <w:t xml:space="preserve">│  │  │        → poza zakresem MiCA (art. 2 ust. 4 lit. a MiCA)</w:t>
      </w:r>
      <w:r>
        <w:br/>
      </w:r>
      <w:r>
        <w:rPr>
          <w:rStyle w:val="VerbatimChar"/>
        </w:rPr>
        <w:t xml:space="preserve">│  │  │        → stosuje się: MiFID II + Rozporządzenie Prospektowe (UE) 2017/1129</w:t>
      </w:r>
      <w:r>
        <w:br/>
      </w:r>
      <w:r>
        <w:rPr>
          <w:rStyle w:val="VerbatimChar"/>
        </w:rPr>
        <w:t xml:space="preserve">│  │  │          + polska ustawa o ofercie publicznej / o obrocie instrumentami finansowymi</w:t>
      </w:r>
      <w:r>
        <w:br/>
      </w:r>
      <w:r>
        <w:rPr>
          <w:rStyle w:val="VerbatimChar"/>
        </w:rPr>
        <w:t xml:space="preserve">│  │  │        → SPRAWDŹ DODATKOWO: czy struktura (SPV zbierające kapitał od wielu</w:t>
      </w:r>
      <w:r>
        <w:br/>
      </w:r>
      <w:r>
        <w:rPr>
          <w:rStyle w:val="VerbatimChar"/>
        </w:rPr>
        <w:t xml:space="preserve">│  │  │          inwestorów wg polityki inwestycyjnej) = AFI/ASI (ustawa o funduszach</w:t>
      </w:r>
      <w:r>
        <w:br/>
      </w:r>
      <w:r>
        <w:rPr>
          <w:rStyle w:val="VerbatimChar"/>
        </w:rPr>
        <w:t xml:space="preserve">│  │  │          inwestycyjnych, art. 2 pkt 10a, art. 8a)? → jeśli tak, dodatkowy</w:t>
      </w:r>
      <w:r>
        <w:br/>
      </w:r>
      <w:r>
        <w:rPr>
          <w:rStyle w:val="VerbatimChar"/>
        </w:rPr>
        <w:t xml:space="preserve">│  │  │          reżim rejestracji/zezwolenia ZASI</w:t>
      </w:r>
      <w:r>
        <w:br/>
      </w:r>
      <w:r>
        <w:rPr>
          <w:rStyle w:val="VerbatimChar"/>
        </w:rPr>
        <w:t xml:space="preserve">│  │  │</w:t>
      </w:r>
      <w:r>
        <w:br/>
      </w:r>
      <w:r>
        <w:rPr>
          <w:rStyle w:val="VerbatimChar"/>
        </w:rPr>
        <w:t xml:space="preserve">│  │  └─ NIE (np. niezbywalny, pojedyncza umowa, nie "klasa") →</w:t>
      </w:r>
      <w:r>
        <w:br/>
      </w:r>
      <w:r>
        <w:rPr>
          <w:rStyle w:val="VerbatimChar"/>
        </w:rPr>
        <w:t xml:space="preserve">│  │           prawdopodobnie ZWYKŁE ROSZCZENIE CYWILNOPRAWNE poza MiFID/MiCA,</w:t>
      </w:r>
      <w:r>
        <w:br/>
      </w:r>
      <w:r>
        <w:rPr>
          <w:rStyle w:val="VerbatimChar"/>
        </w:rPr>
        <w:t xml:space="preserve">│  │           ALE token jako "cyfrowa reprezentacja prawa" może nadal mieścić się</w:t>
      </w:r>
      <w:r>
        <w:br/>
      </w:r>
      <w:r>
        <w:rPr>
          <w:rStyle w:val="VerbatimChar"/>
        </w:rPr>
        <w:t xml:space="preserve">│  │           w definicji "crypto-asset" MiCA art. 3 → sprawdź wyłączenia art. 4 ust. 3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├─ Czy token ma na celu utrzymanie stabilnej wartości w odniesieniu do waluty/koszyka</w:t>
      </w:r>
      <w:r>
        <w:br/>
      </w:r>
      <w:r>
        <w:rPr>
          <w:rStyle w:val="VerbatimChar"/>
        </w:rPr>
        <w:t xml:space="preserve">│  aktywów (nie jest instrumentem finansowym)?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Odniesienie do jednej waluty urzędowej → E-MONEY TOKEN (MiCA Tytuł IV)</w:t>
      </w:r>
      <w:r>
        <w:br/>
      </w:r>
      <w:r>
        <w:rPr>
          <w:rStyle w:val="VerbatimChar"/>
        </w:rPr>
        <w:t xml:space="preserve">│  ├─ Odniesienie do koszyka/innych wartości → ASSET-REFERENCED TOKEN (MiCA Tytuł III)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├─ Czy token jest unikatowy i niezamienny, reprezentujący konkretną, pojedynczą</w:t>
      </w:r>
      <w:r>
        <w:br/>
      </w:r>
      <w:r>
        <w:rPr>
          <w:rStyle w:val="VerbatimChar"/>
        </w:rPr>
        <w:t xml:space="preserve">│  nieruchomość lub prawo (nie ułamkowy, nie emitowany seryjnie)?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TAK → potencjalnie POZA ZAKRESEM MiCA (art. 2 ust. 3 — wyłączenie NFT),</w:t>
      </w:r>
      <w:r>
        <w:br/>
      </w:r>
      <w:r>
        <w:rPr>
          <w:rStyle w:val="VerbatimChar"/>
        </w:rPr>
        <w:t xml:space="preserve">│  │        ALE: fractionalizacja (podział na wiele tokenów) usuwa to wyłączenie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├─ Czy token daje WYŁĄCZNIE dostęp do towaru/usługi Tudor (bez praw finansowych</w:t>
      </w:r>
      <w:r>
        <w:br/>
      </w:r>
      <w:r>
        <w:rPr>
          <w:rStyle w:val="VerbatimChar"/>
        </w:rPr>
        <w:t xml:space="preserve">│  z powyższych gałęzi)?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TAK → UTILITY TOKEN w rozumieniu MiCA (art. 3) → Tytuł II MiCA</w:t>
      </w:r>
      <w:r>
        <w:br/>
      </w:r>
      <w:r>
        <w:rPr>
          <w:rStyle w:val="VerbatimChar"/>
        </w:rPr>
        <w:t xml:space="preserve">│           (obowiązek whitepaper, chyba że zastosowanie ma wyłączenie z art. 4 ust. 3:</w:t>
      </w:r>
      <w:r>
        <w:br/>
      </w:r>
      <w:r>
        <w:rPr>
          <w:rStyle w:val="VerbatimChar"/>
        </w:rPr>
        <w:t xml:space="preserve">│           próg &lt;1 mln EUR/12mies., &lt;150 osób/state, inwestorzy kwalifikowani,</w:t>
      </w:r>
      <w:r>
        <w:br/>
      </w:r>
      <w:r>
        <w:rPr>
          <w:rStyle w:val="VerbatimChar"/>
        </w:rPr>
        <w:t xml:space="preserve">│           dostęp do już istniejącej usługi, ograniczona sieć)</w:t>
      </w:r>
      <w:r>
        <w:br/>
      </w:r>
      <w:r>
        <w:rPr>
          <w:rStyle w:val="VerbatimChar"/>
        </w:rPr>
        <w:t xml:space="preserve">│           → SPRAWDŹ: czy polski organ jest obecnie zdolny przyjąć notyfikację</w:t>
      </w:r>
      <w:r>
        <w:br/>
      </w:r>
      <w:r>
        <w:rPr>
          <w:rStyle w:val="VerbatimChar"/>
        </w:rPr>
        <w:t xml:space="preserve">│             (na 30.07.2026 — NIE, patrz sekcja 6.4) → rozważ notyfikację przez</w:t>
      </w:r>
      <w:r>
        <w:br/>
      </w:r>
      <w:r>
        <w:rPr>
          <w:rStyle w:val="VerbatimChar"/>
        </w:rPr>
        <w:t xml:space="preserve">│             podmiot z innego państwa EOG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Czy token jest wyłącznie środkiem wymiany bez odniesienia do konkretnego</w:t>
      </w:r>
      <w:r>
        <w:br/>
      </w:r>
      <w:r>
        <w:rPr>
          <w:rStyle w:val="VerbatimChar"/>
        </w:rPr>
        <w:t xml:space="preserve">   dostawcy usługi (płatniczy, ogólny)?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TAK → sprawdź czy to "waluta wirtualna" w rozumieniu ustawy AML</w:t>
      </w:r>
      <w:r>
        <w:br/>
      </w:r>
      <w:r>
        <w:rPr>
          <w:rStyle w:val="VerbatimChar"/>
        </w:rPr>
        <w:t xml:space="preserve">            (definicja negatywna wyklucza instrumenty finansowe) → jeśli tak,</w:t>
      </w:r>
      <w:r>
        <w:br/>
      </w:r>
      <w:r>
        <w:rPr>
          <w:rStyle w:val="VerbatimChar"/>
        </w:rPr>
        <w:t xml:space="preserve">            reżim AML dla VASP + MiCA (jeśli objęty definicją ART/crypto-asset)</w:t>
      </w:r>
    </w:p>
    <w:p>
      <w:pPr>
        <w:pStyle w:val="FirstParagraph"/>
      </w:pPr>
      <w:r>
        <w:rPr>
          <w:bCs/>
          <w:b/>
        </w:rPr>
        <w:t xml:space="preserve">Kluczowy wniosek dla Was:</w:t>
      </w:r>
      <w:r>
        <w:t xml:space="preserve"> </w:t>
      </w:r>
      <w:r>
        <w:t xml:space="preserve">ten test trzeba przejść</w:t>
      </w:r>
      <w:r>
        <w:t xml:space="preserve"> </w:t>
      </w:r>
      <w:r>
        <w:rPr>
          <w:bCs/>
          <w:b/>
        </w:rPr>
        <w:t xml:space="preserve">oddzielnie dla Ścieżki 1 (prawdopodobnie kończy się w gałęzi „papier wartościowy") i Ścieżki 2 (celowo projektowana, by wylądować w gałęzi „utility token")</w:t>
      </w:r>
      <w:r>
        <w:t xml:space="preserve">. Mieszanie cech z obu gałęzi w jednym tokenie to najczęstszy błąd projektowy — patrz sekcja 13.</w:t>
      </w:r>
    </w:p>
    <w:bookmarkEnd w:id="47"/>
    <w:bookmarkStart w:id="48" w:name="X4ecbaf1a009a8a99102a42f15e79b2b2a4ec655"/>
    <w:p>
      <w:pPr>
        <w:pStyle w:val="Heading2"/>
      </w:pPr>
      <w:r>
        <w:t xml:space="preserve">6.4 Status polskiej ustawy o rynku kryptoaktywów po wecie z 11 czerwca 2026 r. — potwierdzone fakty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Pewność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Rządowy projekt ustawy (implementacja MiCA) wpływa do Sejmu (druk 1424)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26.06.2025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Sejm uchwala pierwszą wersję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listopad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weto Prezydenta 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grudzień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 (dzień dzienny niepotwierdzony)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Sejm uchwala złagodzoną wersję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ok. 18.12.2025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weto Prezydenta 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grudzień 2025/styczeń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Nieudana próba odrzucenia weta (243 za, wymagane 263 — 3/5)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wiosna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Sejm uchwala trzecią wersję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ok. 15.05.2026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Niska–średnia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weto Prezydenta 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11.06.2026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Wysoka — wiele niezależnych, zbieżnych źródeł prasowych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Zapowiedź „czwartej ustawy" (minister finansów Andrzej Domański)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krótko po 11.06.2026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Wynik ew. głosowania nad odrzuceniem III weta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Nieustalone w tym researchu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danych — do sprawdzenia bezpośrednio przed spotkaniem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Koniec okresu przejściowego MiCA (art. 143 ust.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1.07.2026, nieprzedłużalny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Wysoka — potwierdzone stanowiskiem KNF z 10.02.2026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 na koniec lipca 2026: brak ustawy, brak wyznaczonego organu, ok. 1200–1800 podmiotów w polskim rejestrze walut wirtualnych dotkniętych luką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lipiec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Praktyczne konsekwencje dla projektu Tudor: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KNF nie jest formalnie umocowana</w:t>
      </w:r>
      <w:r>
        <w:t xml:space="preserve"> </w:t>
      </w:r>
      <w:r>
        <w:t xml:space="preserve">do przyjmowania notyfikacji whitepaper ani wniosków o licencję CASP w Polsce — nie z powodu odmowy, lecz braku ustawowego wyznaczenia organu.</w:t>
      </w:r>
    </w:p>
    <w:p>
      <w:pPr>
        <w:numPr>
          <w:ilvl w:val="0"/>
          <w:numId w:val="1013"/>
        </w:numPr>
        <w:pStyle w:val="Compact"/>
      </w:pPr>
      <w:r>
        <w:t xml:space="preserve">Jedyna praktycznie dostępna droga dla elementów projektu objętych MiCA (przede wszystkim utility token, jeśli wymaga whitepaper) to</w:t>
      </w:r>
      <w:r>
        <w:t xml:space="preserve"> </w:t>
      </w:r>
      <w:r>
        <w:rPr>
          <w:bCs/>
          <w:b/>
        </w:rPr>
        <w:t xml:space="preserve">notyfikacja/licencja CASP uzyskana w innym państwie UE/EOG</w:t>
      </w:r>
      <w:r>
        <w:t xml:space="preserve"> </w:t>
      </w:r>
      <w:r>
        <w:t xml:space="preserve">(najczęściej wskazywane: Niemcy, Estonia, Francja, Austria, Holandia — Litwa zamknęła okno nowych wniosków w styczniu 2026) z wykorzystaniem mechanizmu paszportowania na Polskę (art. 11 MiCA dla whitepaper, art. 65 MiCA dla CASP).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 nie jest sugestia obchodzenia polskiego prawa</w:t>
      </w:r>
      <w:r>
        <w:t xml:space="preserve"> </w:t>
      </w:r>
      <w:r>
        <w:t xml:space="preserve">— to jedyny obecnie funkcjonujący, zgodny z prawem UE mechanizm, z którego korzystają setki polskich podmiotów w analogicznej sytuacji.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Ścieżka 1 (prywatna emisja jako papier wartościowy) jest w praktyce mniej dotknięta tą luką</w:t>
      </w:r>
      <w:r>
        <w:t xml:space="preserve">, ponieważ nie podlega MiCA — podlega Rozporządzeniu Prospektowemu i prawu krajowemu, gdzie KNF ma pełne umocowanie ustawowe.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774e07dfdf0ed9903a36e3d205bc5def520d73a"/>
    <w:p>
      <w:pPr>
        <w:pStyle w:val="Heading1"/>
      </w:pPr>
      <w:r>
        <w:t xml:space="preserve">7. Limity i wyłączenia</w:t>
      </w:r>
    </w:p>
    <w:p>
      <w:pPr>
        <w:pStyle w:val="FirstParagraph"/>
      </w:pPr>
      <w:r>
        <w:rPr>
          <w:iCs/>
          <w:i/>
        </w:rPr>
        <w:t xml:space="preserve">(Tabela Prospekt vs MiCA — patrz sekcja 4.4 powyżej, nie duplikuję).</w:t>
      </w:r>
    </w:p>
    <w:bookmarkStart w:id="50" w:name="X50def7e5744b0146a4aff87c97f6d8eab00724e"/>
    <w:p>
      <w:pPr>
        <w:pStyle w:val="Heading2"/>
      </w:pPr>
      <w:r>
        <w:t xml:space="preserve">7.1 ECSPR (crowdfunding) — kiedy ma zastosowanie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Ustalenie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mln EUR w 12 miesięcy</w:t>
            </w:r>
            <w:r>
              <w:t xml:space="preserve"> </w:t>
            </w:r>
            <w:r>
              <w:t xml:space="preserve">(art. 1 ust. 2 lit. c ECSPR) — powyżej progu ECSPR nie ma zastosowania, wymagany prospekt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Definicyjny warunek kluczowy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Usługa finansowania społecznościowego wymaga</w:t>
            </w:r>
            <w:r>
              <w:t xml:space="preserve"> </w:t>
            </w:r>
            <w:r>
              <w:rPr>
                <w:bCs/>
                <w:b/>
              </w:rPr>
              <w:t xml:space="preserve">publicznie dostępnej platformy internetowej z jednym operatorem</w:t>
            </w:r>
            <w:r>
              <w:t xml:space="preserve"> </w:t>
            </w:r>
            <w:r>
              <w:t xml:space="preserve">(art. 2 ust. 1 lit.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Precedens ESMA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ESMA35-42-1088 (23.09.2022): oferta do</w:t>
            </w:r>
            <w:r>
              <w:t xml:space="preserve"> </w:t>
            </w:r>
            <w:r>
              <w:rPr>
                <w:bCs/>
                <w:b/>
              </w:rPr>
              <w:t xml:space="preserve">pojedynczego</w:t>
            </w:r>
            <w:r>
              <w:t xml:space="preserve"> </w:t>
            </w:r>
            <w:r>
              <w:t xml:space="preserve">inwestora nie jest „usługą finansowania społecznościowego" — brak elementu publicznej platformy.</w:t>
            </w:r>
            <w:r>
              <w:t xml:space="preserve"> </w:t>
            </w:r>
            <w:r>
              <w:rPr>
                <w:bCs/>
                <w:b/>
              </w:rPr>
              <w:t xml:space="preserve">ESMA nie wypowiedziała się wprost o ofercie do kilku/kilkunastu imiennie zaproszonych inwestorów</w:t>
            </w:r>
            <w:r>
              <w:t xml:space="preserve"> </w:t>
            </w:r>
            <w:r>
              <w:t xml:space="preserve">— istotna luka interpretacyjna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Polski akt implementujący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Ustawa z 7.07.2022 o finansowaniu społecznościowym dla przedsięwzięć gospodarczych (Dz.U. 2022 poz. 1488), nadzór KNF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Sankcje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Kary administracyjne KNF (do ok. 2 250 000 PLN lub 5% rocznego przychodu) oraz sankcje karne za działalność bez zezwolenia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Wniosek dla Tudor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Jeśli emisja jest w pełni prywatna (zamknięta grupa, imienne zaproszenia, brak otwartej platformy) — dobre argumenty za wyłączeniem spod ECSPR, ale</w:t>
            </w:r>
            <w:r>
              <w:t xml:space="preserve"> </w:t>
            </w:r>
            <w:r>
              <w:rPr>
                <w:bCs/>
                <w:b/>
              </w:rPr>
              <w:t xml:space="preserve">niepotwierdzone wprost przez ESMA/KNF dla scenariusza wieloosobowego</w:t>
            </w:r>
            <w:r>
              <w:t xml:space="preserve"> </w:t>
            </w:r>
            <w:r>
              <w:t xml:space="preserve">→ rekomendacja: zapytanie/interpretacja KNF przed poleganiem na tej analizie</w:t>
            </w:r>
          </w:p>
        </w:tc>
      </w:tr>
    </w:tbl>
    <w:bookmarkEnd w:id="50"/>
    <w:bookmarkStart w:id="51" w:name="Xa746f97ca8288f91218cfc3c07de3acae2eeb2b"/>
    <w:p>
      <w:pPr>
        <w:pStyle w:val="Heading2"/>
      </w:pPr>
      <w:r>
        <w:t xml:space="preserve">7.2 AML/KYC/Travel Rule/sankcje — co obowiązuje już dziś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 na 30.07.2026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Rule (Rozporządzenie (UE) 2023/1113)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pełni stosowane od 30.12.2024 r. Próg dodatkowej weryfikacji dla portfeli niehostowanych:</w:t>
            </w:r>
            <w:r>
              <w:t xml:space="preserve"> </w:t>
            </w:r>
            <w:r>
              <w:rPr>
                <w:bCs/>
                <w:b/>
              </w:rPr>
              <w:t xml:space="preserve">1000 EUR</w:t>
            </w:r>
            <w:r>
              <w:t xml:space="preserve"> </w:t>
            </w:r>
            <w:r>
              <w:t xml:space="preserve">(art. 14). Brak progu de minimis dla transferów między CASP.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AMLR (nowy pakiet UE, Rozporządzenie (UE) 2024/1624)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Jeszcze nie obowiązuje dla CASP</w:t>
            </w:r>
            <w:r>
              <w:t xml:space="preserve"> </w:t>
            </w:r>
            <w:r>
              <w:t xml:space="preserve">— data pełnego stosowania to</w:t>
            </w:r>
            <w:r>
              <w:t xml:space="preserve"> </w:t>
            </w:r>
            <w:r>
              <w:rPr>
                <w:bCs/>
                <w:b/>
              </w:rPr>
              <w:t xml:space="preserve">10 lipca 2027 r.</w:t>
            </w:r>
            <w:r>
              <w:t xml:space="preserve"> </w:t>
            </w:r>
            <w:r>
              <w:t xml:space="preserve">Obecnie obowiązuje „stary" reżim krajowy + Travel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Polska ustawa AML (1.03.2018)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VASP jako instytucja obowiązana (art. 2 ust. 1 pkt 12) — status formalnie trwa, ale w praktyce podmioty z polskiego rejestru walut wirtualnych (RDWW) są w „podwójnej niespójności": nadal instytucje obowiązane, ale bez możliwości uzyskania licencji CASP w Polsce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Sankcje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Aktywny, rozbudowywany reżim wobec Rosji (20. pakiet 23.04.2026, 21. pakiet sygnalizowany ok. 23.07.2026) obejmujący m.in. zakazy dot. usług kryptoaktywowych; obowiązek screeningu sankcyjnego dotyczy</w:t>
            </w:r>
            <w:r>
              <w:t xml:space="preserve"> </w:t>
            </w:r>
            <w:r>
              <w:rPr>
                <w:bCs/>
                <w:b/>
              </w:rPr>
              <w:t xml:space="preserve">każdego podmiotu w UE</w:t>
            </w:r>
            <w:r>
              <w:t xml:space="preserve">, niezależnie od statusu instytucji obowiązanej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przy prywatnej emisji papierów wartościowych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Katalog instytucji obowiązanych w ustawie AML ma charakter zamknięty — zwykłe SPV emitujące własne papiery wartościowe bez pośrednictwa licencjonowanego podmiotu</w:t>
            </w:r>
            <w:r>
              <w:t xml:space="preserve"> </w:t>
            </w:r>
            <w:r>
              <w:rPr>
                <w:bCs/>
                <w:b/>
              </w:rPr>
              <w:t xml:space="preserve">prawdopodobnie nie staje się z tego tytułu samodzielnie instytucją obowiązaną</w:t>
            </w:r>
            <w:r>
              <w:t xml:space="preserve"> </w:t>
            </w:r>
            <w:r>
              <w:t xml:space="preserve">(hipoteza robocza, do potwierdzenia u prawnika), ale nadal podlega obowiązkowi screeningu sankcyjnego. Jeśli w emisję zaangażowany jest agent emisji (dom maklerski) — to on, jako firma inwestycyjna, przeprowadza KYC.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Xbb37587a1ccb899b8d1fd16ddee9d4e51261ee3"/>
    <w:p>
      <w:pPr>
        <w:pStyle w:val="Heading1"/>
      </w:pPr>
      <w:r>
        <w:t xml:space="preserve">8. Geofencing</w:t>
      </w:r>
    </w:p>
    <w:p>
      <w:pPr>
        <w:pStyle w:val="BlockText"/>
      </w:pPr>
      <w:r>
        <w:rPr>
          <w:bCs/>
          <w:b/>
        </w:rPr>
        <w:t xml:space="preserve">Geofencing nie zmienia klasyfikacji prawnej tokena i nie jest samodzielnym wyłączeniem regulacyjnym. Jest jednym z elementów wykazania, do których państw oferta nie była kierowana.</w:t>
      </w:r>
    </w:p>
    <w:p>
      <w:pPr>
        <w:pStyle w:val="FirstParagraph"/>
      </w:pPr>
      <w:r>
        <w:t xml:space="preserve">Potwierdza to również stanowisko ESMA ws. reverse solicitation (wytyczne ESMA35-1872330276-2030, ostateczne 26.02.2025, obowiązują od ok. 27.04.2025): wyjątek jest interpretowany</w:t>
      </w:r>
      <w:r>
        <w:t xml:space="preserve"> </w:t>
      </w:r>
      <w:r>
        <w:rPr>
          <w:bCs/>
          <w:b/>
        </w:rPr>
        <w:t xml:space="preserve">bardzo wąsko</w:t>
      </w:r>
      <w:r>
        <w:t xml:space="preserve"> </w:t>
      </w:r>
      <w:r>
        <w:t xml:space="preserve">— sam disclaimer „nie kierujemy oferty do UE" nie chroni, jeśli faktyczne działania (marketing, dostępność strony, follow-up, lokalna domena/język) wskazują inaczej. Nie znaleziono oficjalnych wytycznych ESMA ani KNF stwierdzających wprost, że geoblocking sam w sobie jest wystarczającym dowodem braku kierowania oferty — traktowany jest jako</w:t>
      </w:r>
      <w:r>
        <w:t xml:space="preserve"> </w:t>
      </w:r>
      <w:r>
        <w:rPr>
          <w:bCs/>
          <w:b/>
        </w:rPr>
        <w:t xml:space="preserve">element wspierający w ocenie całościowej</w:t>
      </w:r>
      <w:r>
        <w:t xml:space="preserve">, nie samodzielna „bezpieczna przystań".</w:t>
      </w:r>
    </w:p>
    <w:bookmarkStart w:id="53" w:name="X866188ff0976ce1cc5ba5dd295525a7c23efb7f"/>
    <w:p>
      <w:pPr>
        <w:pStyle w:val="Heading2"/>
      </w:pPr>
      <w:r>
        <w:t xml:space="preserve">8.1 System wielowarstwowy</w:t>
      </w:r>
    </w:p>
    <w:p>
      <w:pPr>
        <w:pStyle w:val="FirstParagraph"/>
      </w:pPr>
      <w:r>
        <w:rPr>
          <w:bCs/>
          <w:b/>
        </w:rPr>
        <w:t xml:space="preserve">Warstwa marketingowa:</w:t>
      </w:r>
      <w:r>
        <w:t xml:space="preserve"> </w:t>
      </w:r>
      <w:r>
        <w:t xml:space="preserve">niewyświetlanie reklam w zablokowanych państwach; wykluczenia lokalizacji w Google Ads/Meta/X i innych kanałach; brak influencerów kierujących treści do zablokowanych państw; brak lokalnych wersji językowych sugerujących aktywne kierowanie oferty; brak SEO/kampanii na frazy inwestycyjne w wyłączonych krajach; disclaimery o ograniczeniach terytorialnych.</w:t>
      </w:r>
    </w:p>
    <w:p>
      <w:pPr>
        <w:pStyle w:val="BodyText"/>
      </w:pPr>
      <w:r>
        <w:rPr>
          <w:bCs/>
          <w:b/>
        </w:rPr>
        <w:t xml:space="preserve">Warstwa strony internetowej:</w:t>
      </w:r>
      <w:r>
        <w:t xml:space="preserve"> </w:t>
      </w:r>
      <w:r>
        <w:t xml:space="preserve">kontrola IP i blokowanie krajów; komunikat o niedostępności zamiast strony ofertowej; niewyświetlanie ceny i przycisku zakupu poza dozwolonym obszarem; ograniczenie dostępu do dokumentów ofertowych za logowaniem; logowanie prób dostępu; wykrywanie VPN/proxy/Tor; ponowna kontrola przy rejestracji i zakupie (nie tylko przy pierwszym wejściu).</w:t>
      </w:r>
    </w:p>
    <w:p>
      <w:pPr>
        <w:pStyle w:val="BodyText"/>
      </w:pPr>
      <w:r>
        <w:rPr>
          <w:bCs/>
          <w:b/>
        </w:rPr>
        <w:t xml:space="preserve">Warstwa użytkownika:</w:t>
      </w:r>
      <w:r>
        <w:t xml:space="preserve"> </w:t>
      </w:r>
      <w:r>
        <w:t xml:space="preserve">deklaracja kraju zamieszkania i obywatelstwa; dokument potwierdzający adres; numer podatkowy; pełne KYC; screening sankcyjny i PEP; weryfikacja źródła środków przy określonych progach; zaakceptowanie „restricted persons statement"; blokada wielokrotnych kont (jeden inwestor = jedno konto).</w:t>
      </w:r>
    </w:p>
    <w:p>
      <w:pPr>
        <w:pStyle w:val="BodyText"/>
      </w:pPr>
      <w:r>
        <w:rPr>
          <w:bCs/>
          <w:b/>
        </w:rPr>
        <w:t xml:space="preserve">Warstwa blockchain:</w:t>
      </w:r>
      <w:r>
        <w:t xml:space="preserve"> </w:t>
      </w:r>
      <w:r>
        <w:t xml:space="preserve">transfer restrictions na poziomie smart kontraktu; whitelista portfeli; rola compliance administratora z uprawnieniami do zamrożenia transferów; kontrola mint i transfer; ograniczenie peer-to-peer poza whitelistą; możliwość wymuszonego transferu w przypadkach prawnych (nakaz sądu/spadek); rejestr statusu KYC bez ujawniania danych osobowych on-chain (dane osobowe</w:t>
      </w:r>
      <w:r>
        <w:t xml:space="preserve"> </w:t>
      </w:r>
      <w:r>
        <w:rPr>
          <w:bCs/>
          <w:b/>
        </w:rPr>
        <w:t xml:space="preserve">off-chain</w:t>
      </w:r>
      <w:r>
        <w:t xml:space="preserve">, on-chain tylko hashe/identyfikatory — zgodnie z podejściem rekomendowanym przez unijne organy ochrony danych, patrz sekcja 9); procedura utraty klucza; procedura dziedziczenia; procedura śmierci inwestora; procedura wykonania nakazu organu/sądu.</w:t>
      </w:r>
    </w:p>
    <w:p>
      <w:pPr>
        <w:pStyle w:val="BodyText"/>
      </w:pPr>
      <w:r>
        <w:rPr>
          <w:bCs/>
          <w:b/>
        </w:rPr>
        <w:t xml:space="preserve">Warstwa dowodowa:</w:t>
      </w:r>
      <w:r>
        <w:t xml:space="preserve"> </w:t>
      </w:r>
      <w:r>
        <w:t xml:space="preserve">logi dostępu i transakcji; wersjonowanie regulaminów z datami; timestamp akceptacji dokumentów; dowód źródła ruchu (analytics); archiwizacja kampanii reklamowych; kopie komunikatów marketingowych; historia statusu KYC; zapis zastosowanych blokad geograficznych.</w:t>
      </w:r>
    </w:p>
    <w:bookmarkEnd w:id="53"/>
    <w:bookmarkStart w:id="54" w:name="X0d5ee820538a8069cdc83cdd35392e13e903b46"/>
    <w:p>
      <w:pPr>
        <w:pStyle w:val="Heading2"/>
      </w:pPr>
      <w:r>
        <w:t xml:space="preserve">8.2 Macierz państw (orientacyjna — wymaga potwierdzenia prawnika lokalnego przed uruchomieniem)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Kraj/region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Wstępna ocena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Rynek docelowy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Pełne KYC/AML + zgodność z krajowym prawem rynku kapitałowego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Pozostałe państwa 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Możliwe przy zgodności z MiCA (paszportowanie) / Rozporządzeniem Prospektowym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Wymaga analizy per state (niektóre kraje mają dodatkowe wymogi krajowe)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Domyślnie zablokować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Reżim securities (Securities Act, Reg D/S) niezależny od UE, wysokie ryzyko egzekucji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Wielka Brytania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Domyślnie zablokować do opinii lokalnego prawnika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UE, własny reżim FCA (financial promotion regime)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Szwajcaria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Domyślnie zablokować do opinii lokalnego prawnika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UE/EOG, własny reżim FINMA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Domyślnie zablokować do opinii lokalnego prawnika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Odrębne reżimy (ADGM/DIFC/VARA), wysokie ryzyko błędnej kwalifikacji bez lokalnej opinii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Domyślnie zablokować do opinii lokalnego prawnika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Odrębny reżim securities per prowincja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Domyślnie zablokować do opinii lokalnego prawnika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Odrębny reżim 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Kraje objęte sankcjami UE (Rosja, Białoruś, Iran, Korea Płn. i in.)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Zawsze zablokować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Obowiązek screeningu sankcyjnego niezależny od modelu biznesowego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Pozostałe państwa trzecie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Domyślnie zablokować do czasu analizy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Zasada: brak analizy = brak dostępu</w:t>
            </w:r>
          </w:p>
        </w:tc>
      </w:tr>
    </w:tbl>
    <w:p>
      <w:pPr>
        <w:pStyle w:val="BodyText"/>
      </w:pPr>
      <w:r>
        <w:rPr>
          <w:bCs/>
          <w:b/>
        </w:rPr>
        <w:t xml:space="preserve">Nie przesądzamy dostępności w żadnym z powyższych krajów bez aktualnej, odrębnej analizy lokalnego prawnika</w:t>
      </w:r>
      <w:r>
        <w:t xml:space="preserve"> </w:t>
      </w:r>
      <w:r>
        <w:t xml:space="preserve">— powyższe to wyłącznie domyślne ustawienie ostrożnościowe do czasu takiej analizy.</w:t>
      </w:r>
    </w:p>
    <w:bookmarkEnd w:id="54"/>
    <w:bookmarkStart w:id="55" w:name="X0977747189e2d95ca77e235027e7b019ebc94f4"/>
    <w:p>
      <w:pPr>
        <w:pStyle w:val="Heading2"/>
      </w:pPr>
      <w:r>
        <w:t xml:space="preserve">8.3 Rozróżnienia pojęciowe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Pojęcie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Definicja robocza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Techniczne blokowanie dostępu wg lokalizacji (IP, deklaracja) — element dowodowy, nie zwolnienie prawne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Wyjątek dla sytuacji, gdy to klient z własnej, niezainicjowanej przez ofertującego inicjatywy zwraca się o usługę — interpretowany bardzo wąsko przez 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Oferta transgraniczna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Świadczenie usługi/oferowanie instrumentu do klienta w innym państwie niż państwo emitenta — samo w sobie neutralne, ale uruchamia pytanie o właściwy reżim (paszport, notyfikacja, lokalne prawo)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Paszportowanie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Formalny mechanizm UE pozwalający na świadczenie usług w całej Unii na bazie jednej autoryzacji/notyfikacji w państwie macierzystym (np. art. 65 MiCA dla CASP, art. 11 MiCA dla whitepaper)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Aktywny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Celowe kierowanie komunikacji do odbiorców w danym państwie (reklama, lokalna domena, język, SEO) — kluczowy element ustalający, czy oferta była „kierowana" do danego państwa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Przypadkowe wejście użytkownika na stronę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zamierzonego kierowania — nie powinno samo w sobie tworzyć oferty w danym państwie, ale ryzyko rośnie, jeśli strona nie ma żadnych zabezpieczeń geograficznych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Rzeczywiste oferowanie tokena w danym państwie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powyższych czynników oceniana całościowo przez organ nadzoru — nie ma jednego testu, decyduje kontekst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Xc6c2731b7122dcad4fd5b172bb96aedca7447f6"/>
    <w:p>
      <w:pPr>
        <w:pStyle w:val="Heading1"/>
      </w:pPr>
      <w:r>
        <w:t xml:space="preserve">9. Dokumentacja</w:t>
      </w:r>
    </w:p>
    <w:bookmarkStart w:id="57" w:name="X9095f60233d24d5d1285ee9c84154249d1a9a5a"/>
    <w:p>
      <w:pPr>
        <w:pStyle w:val="Heading2"/>
      </w:pPr>
      <w:r>
        <w:t xml:space="preserve">9.1 Prywatna emisja inwestycyjna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classification memorandum (test z sekcji 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Uchwały korporacyjne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Umowa inwestycyjna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Umowa pożyczki / warunki emisji obligacji / umowa udziału w przychodach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(zależny od wybranego modelu A/B/C)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 ofertowy / memorandum informacyjne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Obowiązkowy, jeśli powyżej krajowego progu bez-dokumentowego; zależny od wartości emisji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Regulamin emisji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Umowa objęcia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KYC/AML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Prawdopodobnie obowiązkowy (zależny od tego, czy emitent/pośrednik jest instytucją obowiązaną)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 sankcyjna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(niezależnie od statusu instytucji obowiązanej)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reklamacyjna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(minimalizacja ryzyka regulacyjnego + UOKiK)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 dot. konfliktów interesów (Tudor/Tokenuj/SPV)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Rekomendowany, prawdopodobnie obowiązkowy przy zaangażowaniu podmiotu regulowanego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Wycena nieruchomości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Raport techniczny nieruchomości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Audyt prawny nieruchomości (w tym księga wieczysta)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Biznesplan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finansowy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Dokumentacja zabezpieczeń (hipoteka/zastaw)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od konstrukcji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Waterfall płatności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raportowania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Umowa z operatorem nieruchomości (zarządzanie najmem)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od konstrukcji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Umowa między Tudor a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Dokumentacja smart kontraktu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Audyt smart kontraktu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(bezpieczeństwo + wiarygodność wobec inwestorów)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transferów (whitelist, ograniczenia)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odzyskiwania dostępu (utrata klucza)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RODO / 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Regulamin platformy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 defaultu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 wyjścia i likwidacji projektu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</w:tbl>
    <w:bookmarkEnd w:id="57"/>
    <w:bookmarkStart w:id="58" w:name="Xaf8723a45d044894431508325e9f9645c4f7199"/>
    <w:p>
      <w:pPr>
        <w:pStyle w:val="Heading2"/>
      </w:pPr>
      <w:r>
        <w:t xml:space="preserve">9.2 Utility token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Crypto-asset whitepaper zgodny z MiCA (format iXBRL/XHTML)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Obowiązkowy, jeśli powyżej progów wyłączenia z art. 4 MiCA —</w:t>
            </w:r>
            <w:r>
              <w:t xml:space="preserve"> </w:t>
            </w:r>
            <w:r>
              <w:rPr>
                <w:bCs/>
                <w:b/>
              </w:rPr>
              <w:t xml:space="preserve">z zastrzeżeniem braku organu w Polsce (sekcja 6.4), notyfikacja przez podmiot z innego EOG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Wyjaśnienie klasyfikacyjne do notyfikacji (dlaczego to nie ART/EMT/instrument finansowy)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przy notyfikacji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Regulamin sprzedaży tokena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Regulamin korzystania z ekosystemu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Opis utility (dokładny zakres funkcji)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Regulamin voucherów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od konstrukcji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Regulamin programu partnerskiego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od konstrukcji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Zasady governance (jeśli głosowanie)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od konstrukcji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KYC/AML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od tego, czy dystrybucja odbywa się przez CASP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geofencingu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Rekomendowany, praktycznie 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countries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(RODO)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reklamacji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 odstąpienia (14 dni, art. 13 MiCA)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dla nabywców detalicznych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communications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 (art. 7 MiCA)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Dokumentacja techniczna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Audyt smart kontraktów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— obowiązkowy dla CASP (art. 66 MiCA); dla emitenta Tytułu II wymaga odrębnego potwierdzenia zakresu w art. 6/Zał. I 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Zasady przechowywania tokenów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 utraty portfela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 zmian smart kontraktu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cyberbezpieczeństwa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Warunki współpracy z CASP (jeśli dystrybucja przez zewnętrzny CASP)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Obowiązkowy, jeśli dotyczy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Polityka listingu i płynności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Rekomendowany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X17b56e2f5092fc48a6f2515612e10d7d53f3bb1"/>
    <w:p>
      <w:pPr>
        <w:pStyle w:val="Heading1"/>
      </w:pPr>
      <w:r>
        <w:t xml:space="preserve">10. Korzyści dla emitenta (Tudor)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Korzyść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Wartość biznesowa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wdrożenia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Ryzyko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Nowe źródło przychodów (fee od emisji/platformy)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Dywersyfikacja poza prowizję pośrednictwa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Wolumen wystarczający do pokrycia kosztów wdrożenia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Niski popyt w pilotażu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Przychód z fee / kwartał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Obsługa inwestorów, nie tylko kupujących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Nowy segment klienta o innej częstotliwości kontaktu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Osobny proces onboardingu inwestora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Kanibalizacja uwagi zespołu sprzedażowego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aktywnych inwestorów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Finansowanie konkretnych projektów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Alternatywa dla kredytu bankowego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Dobrze zdefiniowany projekt pilotażowy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Niedomknięta emisja (patrz sekcja 15 — obiekcje)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zebranej kwoty vs 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Szybsze testowanie zainteresowania projektem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Walidacja popytu przed pełnym zaangażowaniem kapitału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Jasne kryteria sukcesu pilotażu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Fałszywie pozytywny/negatywny sygnał przy małej próbie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 do zebrania pierwszych X%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Budowanie własnej bazy inwestorów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Aktyw długoterminowy, niezależny od jednej transakcji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i zgody marketingowe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utrzymania relacji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Wielkość bazy, retencja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Zwiększenie powtarzalności relacji z klientem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inwestor wraca przy kolejnych projektach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Jakość pierwszego doświadczenia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Zawód przy pierwszym projekcie niszczy zaufanie do kolejnych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inwestorów powracających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lojalnościowy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Wyższe LTV 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token z sekcji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Nadmierna komplikacja dla małej firmy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Aktywność w programie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Cross-selling usług (kredyt, notariusz, remont)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Dodatkowe przychody partnerskie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Sieć partnerów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Jakość partnerów wpływa na markę Tudor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transakcji cross-sell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Organiczny marketing, niższy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Aktywne moderowanie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Wymaga czasu/zasobów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Zaangażowanie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Pozyskiwanie leadów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Nowy kanał akwizycji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+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pozyskania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Koszt/lead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Dostęp do klientów zagranicznych po zapewnieniu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Rozszerzenie rynku (Niemcy/Skandynawia — bliskość Szczecina)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Pełna analiza geofencingu per kraj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Wysokie ryzyko regulacyjne bez lokalnej opinii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inwestorów zagranicznych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Częściowa automatyzacja rozliczeń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Niższe koszty administracyjne w skali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Wdrożona platforma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wdrożenia &gt; oszczędności przy małej skali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 obsługi/inwestora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Transparentne raportowanie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Wzrost zaufania, przewaga konkurencyjna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inwestora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utrzymania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inwestorów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partnerski dla agentów i klientów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Motywacja zespołu i sieci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Jasne zasady prowizyjne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Konflikt z modelem prowizyjnym pośrednictwa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aktywnych partnerów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Przewaga wizerunkowa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Pozycjonowanie jako trendsetter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Spójna komunikacja (sekcja 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Ryzyko wizerunkowe przy błędzie regulacyjnym (odwrotność korzyści)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Udział głosu w mediach lokalnych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Wyróżnienie na rynku szczecińskim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Pierwszeństwo „first mover"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Rzeczywiste wdrożenie, nie tylko zapowiedź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Konkurencja może skopiować szybciej niż Tudor zbuduje przewagę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Udział w rynku lokalnym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Osobna marka inwestycyjna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Separacja ryzyka i pozycjonowania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Decyzja Konrada (sekcja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budowy drugiej marki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Rozpoznawalność marki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Współpraca z deweloperami/właścicielami gruntów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Nowy kanał pozyskiwania projektów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Reputacja po pilotażu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Zależność od jakości pierwszego projektu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ofert od deweloperów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Zarządzanie portfelem nieruchomości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Nowy, powtarzalny strumień przychodu (fee za zarządzanie)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Zasoby operacyjne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Odpowiedzialność za jakość zarządzania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 (assets under management)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Możliwość tworzenia kolejnych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Powtarzalny model po pilotażu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Sukces pierwszego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Ryzyko rozcieńczenia uwagi na wiele projektów naraz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kolejnych emisji/rok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Dane o zachowaniu klientów i popycie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Lepsze decyzje produktowe/marketingowe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Analityka platformy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RODO — ograniczenia w wykorzystaniu danych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Jakość segmentacji klientów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X38e42e71ed724628507aad7977eafb753f29f65"/>
    <w:p>
      <w:pPr>
        <w:pStyle w:val="Heading1"/>
      </w:pPr>
      <w:r>
        <w:t xml:space="preserve">11. Korzyści i ryzyka dla inwestora/użytkownika</w:t>
      </w:r>
    </w:p>
    <w:bookmarkStart w:id="61" w:name="X728ab45c2742e103dc68cc3d052e7d6a155ceda"/>
    <w:p>
      <w:pPr>
        <w:pStyle w:val="Heading2"/>
      </w:pPr>
      <w:r>
        <w:t xml:space="preserve">11.1 Emisja prywatna</w:t>
      </w:r>
    </w:p>
    <w:p>
      <w:pPr>
        <w:pStyle w:val="FirstParagraph"/>
      </w:pPr>
      <w:r>
        <w:rPr>
          <w:bCs/>
          <w:b/>
        </w:rPr>
        <w:t xml:space="preserve">Korzyści:</w:t>
      </w:r>
      <w:r>
        <w:t xml:space="preserve"> </w:t>
      </w:r>
      <w:r>
        <w:t xml:space="preserve">niższy próg wejścia (jeśli konstrukcja i prawo na to pozwalają) · dostęp do konkretnych, lokalnie znanych projektów · cyfrowe raportowanie · automatyzacja świadczeń · transparentność przepływów · uporządkowany onboarding · możliwość kontrolowanego obrotu wtórnego, jeśli prawnie dopuszczalny.</w:t>
      </w:r>
    </w:p>
    <w:p>
      <w:pPr>
        <w:pStyle w:val="BodyText"/>
      </w:pPr>
      <w:r>
        <w:rPr>
          <w:bCs/>
          <w:b/>
        </w:rPr>
        <w:t xml:space="preserve">Ryzyka:</w:t>
      </w:r>
      <w:r>
        <w:t xml:space="preserve"> </w:t>
      </w:r>
      <w:r>
        <w:t xml:space="preserve">utrata całości kapitału · ryzyko deweloperskie (opóźnienia, przekroczenie budżetu) · ryzyko wyceny (nieruchomość warta mniej niż zakładano) · ryzyko najemcy (pustostany, niepłacenie) · brak płynności (token trudny do zbycia przed terminem) · niewypłacalność SPV · ryzyko prawne (błędna klasyfikacja, zmiana przepisów) · ryzyko podatkowe (niejasna kwalifikacja, patrz sekcja 6/9) · ryzyko smart kontraktu (błąd, podatność) · utrata klucza dostępu · ryzyko operatora nieruchomości · opóźnienia w realizacji projektu · brak gwarancji sprzedaży nieruchomości po zakładanej cenie.</w:t>
      </w:r>
    </w:p>
    <w:bookmarkEnd w:id="61"/>
    <w:bookmarkStart w:id="62" w:name="X993c643e796aa5b2d3b3424050e58394e559b16"/>
    <w:p>
      <w:pPr>
        <w:pStyle w:val="Heading2"/>
      </w:pPr>
      <w:r>
        <w:t xml:space="preserve">11.2 Utility token</w:t>
      </w:r>
    </w:p>
    <w:p>
      <w:pPr>
        <w:pStyle w:val="FirstParagraph"/>
      </w:pPr>
      <w:r>
        <w:rPr>
          <w:bCs/>
          <w:b/>
        </w:rPr>
        <w:t xml:space="preserve">Korzyści:</w:t>
      </w:r>
      <w:r>
        <w:t xml:space="preserve"> </w:t>
      </w:r>
      <w:r>
        <w:t xml:space="preserve">tańsze usługi (rabaty) · lepszy dostęp (early access, off-market) · pierwszeństwo obsługi · dodatkowe funkcje platformy · udział w społeczności · korzyści partnerskie (kredyt, notariusz, remont).</w:t>
      </w:r>
    </w:p>
    <w:p>
      <w:pPr>
        <w:pStyle w:val="BodyText"/>
      </w:pPr>
      <w:r>
        <w:rPr>
          <w:bCs/>
          <w:b/>
        </w:rPr>
        <w:t xml:space="preserve">Ryzyka:</w:t>
      </w:r>
      <w:r>
        <w:t xml:space="preserve"> </w:t>
      </w:r>
      <w:r>
        <w:t xml:space="preserve">utrata wartości tokena · ograniczona płynność (brak gwarantowanego rynku wtórnego) · zmiana zakresu usług przez emitenta · awaria techniczna platformy/smart kontraktu · zakończenie projektu przez Tudor/Tokenuj · ograniczenia terytorialne (geofencing może wykluczyć część użytkowników) · ryzyko regulacyjne (zmiana klasyfikacji tokena w trakcie życia projektu) ·</w:t>
      </w:r>
      <w:r>
        <w:t xml:space="preserve"> </w:t>
      </w:r>
      <w:r>
        <w:rPr>
          <w:bCs/>
          <w:b/>
        </w:rPr>
        <w:t xml:space="preserve">brak systemu gwarancji depozytów lub rekompensat</w:t>
      </w:r>
      <w:r>
        <w:t xml:space="preserve"> </w:t>
      </w:r>
      <w:r>
        <w:t xml:space="preserve">(utility token nie jest objęty żadnym systemem ochrony analogicznym do depozytów bankowych).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a310090004a7c03520c6ea97c38a7294aa71cea"/>
    <w:p>
      <w:pPr>
        <w:pStyle w:val="Heading1"/>
      </w:pPr>
      <w:r>
        <w:t xml:space="preserve">12. Porównanie ofert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Ścieżka 1 — Prywatna emisja inwestycyjna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Ścieżka 2 — Publiczny utility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Główny 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Finansowanie konkretnej nieruchomości/portfela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Rozwój ekosystemu usług Tudor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Odbiorcy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Ograniczona, imiennie zaproszona grupa (inwestorzy kwalifikowani/detaliczni)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Szeroki krąg klientów Tudor (kupujący, sprzedający, najemcy, wynajmujący)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Źródło wartości tokena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Prawa ekonomiczne do nieruchomości/SPV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Użyteczność w ekosystemie usług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Prawa posiadacza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Wierzytelność/udział/przychód (zależnie od modelu A/B/C)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Dostęp do usług/rabaty/funkcje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Publiczny marketing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Ograniczony/zakazany</w:t>
            </w:r>
            <w:r>
              <w:t xml:space="preserve"> </w:t>
            </w:r>
            <w:r>
              <w:t xml:space="preserve">poza wąskim kręgiem (ryzyko utraty wyłączenia z prospektu, art. 53 ustawy o ofercie publicznej)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Możliwy, w granicach uczciwych praktyk rynkowych i art. 7 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Klasyfikacja regulacyjna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Prawdopodobnie papier wartościowy/instrument finansowy, poza 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Prawdopodobnie utility token w rozumieniu MiCA (jeśli zaprojektowany zgodnie z sekcją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Wymagane dokumenty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Sekcja 9.1 (ok. 27 dokumentów)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Sekcja 9.2 (ok. 27 dokumentów)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Potencjalne licencje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licencji CASP; możliwy wymóg rejestracji ZASI (AFI); ew. agent emisji (dom maklerski)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Notyfikacja whitepaper MiCA (obecnie przez podmiot z innego EOG, patrz 6.4); ew. CASP jeśli dystrybucja przez zewnętrzną platformę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Obowiązkowy, dostosowany do progu i statusu inwestora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Zależny od skali i sposobu dystrybucji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Kluczowy dla zachowania wyłączenia z prospektu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Kluczowy dla ograniczenia odpowiedzialności terytorialnej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Wielkość możliwej emisji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progu wyłączenia z prospektu (5–12 mln EUR/12 mies. — zależnie od finalnego polskiego progu)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1 mln EUR/12 mies. bez whitepaper; powyżej — pełny whitepaper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Czas wdrożenia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Dłuższy (struktura prawna SPV, due diligence nieruchomości)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Krótszy dla wersji podstawowej (rdzeń: dostęp do usług)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Koszt wdrożenia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Wyższy (struktura SPV, dokumentacja inwestycyjna, wycena, audyt)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Niższy dla wersji podstawowej, rośnie z zakresem funkcji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Koszty utrzymania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Raportowanie okresowe, obsługa prawna SPV, audyt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Utrzymanie platformy, aktualizacje whitepaper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Płynność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Niska, zależna od zorganizowanego obrotu wtórnego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Zależna od skali ekosystemu i ew. listingu (z zastrzeżeniem ryzyk z sekcji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Ryzyko prawne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Wysokie przy błędnej klasyfikacji (AFI, papier wartościowy bez zgodności z Prospektowym)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Średnie — głównie ryzyko „ukrytej" cechy inwestycyjnej (substance over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Atrakcyjność dla Tudor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Bezpośrednie finansowanie projektów, twardy KPI (zebrana kwota)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Budowa marki i lojalności, miękkie KPI w krótkim terminie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Łatwość sprzedaży (na spotkaniu)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Wymaga konkretnego projektu pilotażowego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Łatwiejsza do zrozumienia bez konkretnego aktywa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Skalowalność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Skalowalna przez kolejne SPV/emisje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Skalowalna organicznie z bazą klientów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Możliwość powtarzania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Tak, każda nieruchomość = nowa emisja/SPV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Tak, jeden token, rozwijany funkcjonalnie</w:t>
            </w:r>
          </w:p>
        </w:tc>
      </w:tr>
    </w:tbl>
    <w:p>
      <w:pPr>
        <w:pStyle w:val="BodyText"/>
      </w:pPr>
      <w:r>
        <w:rPr>
          <w:bCs/>
          <w:b/>
        </w:rPr>
        <w:t xml:space="preserve">Widełki kosztowe wdrożenia — orientacyjne, wymagają dostosowania po warsztacie discovery: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Orientacyjne widełki (jednorazowo)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Orientacyjne koszty utrzymania (rocznie)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Podstawowy (jedna ścieżka, prosty smart kontrakt, zamknięty onboarding)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doprecyzowania po discovery — zależne od zakresu prawnego i liczby jurysdykcji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doprecyzowania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Rozszerzony (platforma inwestora, panel emitenta, płatności, raportowanie)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doprecyzowania po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doprecyzowania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Ekosystemowy (utility token, marketplace, aplikacja, integracje partnerskie)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doprecyzowania po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doprecyzowania</w:t>
            </w:r>
          </w:p>
        </w:tc>
      </w:tr>
    </w:tbl>
    <w:p>
      <w:pPr>
        <w:pStyle w:val="BodyText"/>
      </w:pPr>
      <w:r>
        <w:rPr>
          <w:iCs/>
          <w:i/>
        </w:rPr>
        <w:t xml:space="preserve">Celowo nie podaję tu konkretnych kwot PLN/EUR — zależą od zakresu prawnego (liczba jurysdykcji, model A/B/C), wybranej infrastruktury technologicznej i tego, czy Tokenuj korzysta z własnych, czy partnerskich licencji CASP. To temat na komercyjną rozmowę po warsztacie discovery, nie na pierwsze spotkanie.</w:t>
      </w:r>
    </w:p>
    <w:p>
      <w:r>
        <w:pict>
          <v:rect style="width:0;height:1.5pt" o:hralign="center" o:hrstd="t" o:hr="t"/>
        </w:pict>
      </w:r>
    </w:p>
    <w:bookmarkEnd w:id="64"/>
    <w:bookmarkStart w:id="68" w:name="X172257962de94eb191051a8e73c3441cd8ca87e"/>
    <w:p>
      <w:pPr>
        <w:pStyle w:val="Heading1"/>
      </w:pPr>
      <w:r>
        <w:t xml:space="preserve">13. Rekomendowany model dla Tudor</w:t>
      </w:r>
    </w:p>
    <w:p>
      <w:pPr>
        <w:pStyle w:val="FirstParagraph"/>
      </w:pPr>
      <w:r>
        <w:rPr>
          <w:bCs/>
          <w:b/>
        </w:rPr>
        <w:t xml:space="preserve">Zastrzeżenie:</w:t>
      </w:r>
      <w:r>
        <w:t xml:space="preserve"> </w:t>
      </w:r>
      <w:r>
        <w:t xml:space="preserve">poniższa rekomendacja opiera się na ograniczonych publicznie dostępnych danych o Tudor (sekcja 2) i musi zostać zweryfikowana odpowiedziami z discovery (sekcja 3). Nie traktuj jej jako gotowej decyzji do przedstawienia jako fakt dokonany — przedstaw ją jako</w:t>
      </w:r>
      <w:r>
        <w:t xml:space="preserve"> </w:t>
      </w:r>
      <w:r>
        <w:rPr>
          <w:bCs/>
          <w:b/>
        </w:rPr>
        <w:t xml:space="preserve">punkt wyjścia do dyskusji</w:t>
      </w:r>
      <w:r>
        <w:t xml:space="preserve">.</w:t>
      </w:r>
    </w:p>
    <w:bookmarkStart w:id="65" w:name="etap-1--pilotaż-prywatny-ścieżka-1"/>
    <w:p>
      <w:pPr>
        <w:pStyle w:val="Heading2"/>
      </w:pPr>
      <w:r>
        <w:t xml:space="preserve">Etap 1 — Pilotaż prywatny (Ścieżka 1)</w:t>
      </w:r>
    </w:p>
    <w:p>
      <w:pPr>
        <w:pStyle w:val="FirstParagraph"/>
      </w:pPr>
      <w:r>
        <w:t xml:space="preserve">Jedna konkretna nieruchomość · osobne SPV · ograniczona grupa inwestorów (np. istniejący klienci/kontakty Tudor) · pełne KYC · brak masowej reklamy · zamknięty panel inwestora · kontrolowany smart kontrakt (whitelist, brak wolnego obrotu wtórnego na start) · cykliczne raportowanie · cel: potwierdzenie popytu i dopracowanie procesu przy niskim ryzyku regulacyjnym i wizerunkowym.</w:t>
      </w:r>
    </w:p>
    <w:p>
      <w:pPr>
        <w:pStyle w:val="BodyText"/>
      </w:pPr>
      <w:r>
        <w:rPr>
          <w:bCs/>
          <w:b/>
        </w:rPr>
        <w:t xml:space="preserve">Dlaczego od tego zacząć:</w:t>
      </w:r>
      <w:r>
        <w:t xml:space="preserve"> </w:t>
      </w:r>
      <w:r>
        <w:t xml:space="preserve">mała skala pilotażu prawdopodobnie mieści się poniżej progów wymagających pełnego prospektu i licencji CASP; buduje realny dowód koncepcji (nie tylko deklarację) do wykorzystania w materiałach dla przyszłych inwestorów i w PR; nie wymaga rozwiązania kwestii braku organu MiCA w Polsce, bo Ścieżka 1 prawdopodobnie w ogóle nie podlega MiCA.</w:t>
      </w:r>
    </w:p>
    <w:bookmarkEnd w:id="65"/>
    <w:bookmarkStart w:id="66" w:name="etap-2--ekosystem-publiczny-ścieżka-2"/>
    <w:p>
      <w:pPr>
        <w:pStyle w:val="Heading2"/>
      </w:pPr>
      <w:r>
        <w:t xml:space="preserve">Etap 2 — Ekosystem publiczny (Ścieżka 2)</w:t>
      </w:r>
    </w:p>
    <w:p>
      <w:pPr>
        <w:pStyle w:val="FirstParagraph"/>
      </w:pPr>
      <w:r>
        <w:t xml:space="preserve">Utility token Tudor · zniżki · priorytetowy dostęp · program partnerski · community · płatne funkcje · rozbudowa sieci partnerów · wdrożenie zgodne z MiCA odpowiednie do finalnej klasyfikacji (notyfikacja przez podmiot z innego EOG, jeśli w Polsce nadal brak organu właściwego).</w:t>
      </w:r>
    </w:p>
    <w:p>
      <w:pPr>
        <w:pStyle w:val="BodyText"/>
      </w:pPr>
      <w:r>
        <w:rPr>
          <w:bCs/>
          <w:b/>
        </w:rPr>
        <w:t xml:space="preserve">Dlaczego po pilotażu, nie równolegle:</w:t>
      </w:r>
      <w:r>
        <w:t xml:space="preserve"> </w:t>
      </w:r>
      <w:r>
        <w:t xml:space="preserve">Etap 2 korzysta z wiarygodności zbudowanej w Etapie 1 („Tudor już to zrobił, to działa"); rozdzielenie w czasie zmniejsza ryzyko pomieszania narracji inwestycyjnej i użytkowej (patrz niżej).</w:t>
      </w:r>
    </w:p>
    <w:bookmarkEnd w:id="66"/>
    <w:bookmarkStart w:id="67" w:name="Xed4d8917a9802cf75b596175725afc88c620890"/>
    <w:p>
      <w:pPr>
        <w:pStyle w:val="Heading2"/>
      </w:pPr>
      <w:r>
        <w:t xml:space="preserve">Separacja obu tokenów — odpowiedź na pytanie z briefu</w:t>
      </w:r>
    </w:p>
    <w:p>
      <w:pPr>
        <w:pStyle w:val="FirstParagraph"/>
      </w:pPr>
      <w:r>
        <w:rPr>
          <w:bCs/>
          <w:b/>
        </w:rPr>
        <w:t xml:space="preserve">Tak, oba tokeny powinny być całkowicie oddzielone: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Prawnie:</w:t>
      </w:r>
      <w:r>
        <w:t xml:space="preserve"> </w:t>
      </w:r>
      <w:r>
        <w:t xml:space="preserve">różne reżimy (papier wartościowy/Prospektowy vs. MiCA Tytuł II) — połączenie w jednym instrumencie tworzy hybrydę podlegającą najsurowszemu z obu reżimów.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Ekonomicznie:</w:t>
      </w:r>
      <w:r>
        <w:t xml:space="preserve"> </w:t>
      </w:r>
      <w:r>
        <w:t xml:space="preserve">wartość utility tokena nie może być powiązana z wynikiem finansowym projektów nieruchomościowych — inaczej przejmuje cechy inwestycyjne.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Technologicznie:</w:t>
      </w:r>
      <w:r>
        <w:t xml:space="preserve"> </w:t>
      </w:r>
      <w:r>
        <w:t xml:space="preserve">osobne smart kontrakty — współdzielona infrastruktura zwiększa ryzyko, że błąd/incydent w jednym projekcie wpłynie na drugi.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Marketingowo:</w:t>
      </w:r>
      <w:r>
        <w:t xml:space="preserve"> </w:t>
      </w:r>
      <w:r>
        <w:t xml:space="preserve">osobna komunikacja — użytkownik utility tokena nie powinien nigdy zobaczyć komunikatu sugerującego, że jego token jest powiązany z wynikiem inwestycji nieruchomościowej.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Poprzez osobne strony i dokumentację:</w:t>
      </w:r>
      <w:r>
        <w:t xml:space="preserve"> </w:t>
      </w:r>
      <w:r>
        <w:t xml:space="preserve">osobne domeny/podstrony, osobne regulaminy, osobne whitepapers/memoranda.</w:t>
      </w:r>
    </w:p>
    <w:p>
      <w:pPr>
        <w:pStyle w:val="FirstParagraph"/>
      </w:pPr>
      <w:r>
        <w:rPr>
          <w:bCs/>
          <w:b/>
        </w:rPr>
        <w:t xml:space="preserve">Ryzyko połączenia (do wprost wyartykułowania Konradowi):</w:t>
      </w:r>
      <w:r>
        <w:t xml:space="preserve"> </w:t>
      </w:r>
      <w:r>
        <w:t xml:space="preserve">jeśli utility token Tudor zacznie być komunikowany razem z projektami inwestycyjnymi (np. „posiadacze utility tokena dostają dostęp do najlepszych ofert inwestycyjnych z dyskontem na wejściu do SPV"), realne staje się ryzyko, że</w:t>
      </w:r>
      <w:r>
        <w:t xml:space="preserve"> </w:t>
      </w:r>
      <w:r>
        <w:rPr>
          <w:bCs/>
          <w:b/>
        </w:rPr>
        <w:t xml:space="preserve">cały utility token zostanie przekwalifikowany jako instrument finansowy</w:t>
      </w:r>
      <w:r>
        <w:t xml:space="preserve"> </w:t>
      </w:r>
      <w:r>
        <w:t xml:space="preserve">— bo w oczach regulatora i przeciętnego odbiorcy staje się furtką do produktu inwestycyjnego. To zniweczyłoby całą przewagę modelu utility (brak whitepaper poniżej progu, prostszy marketing, brak reżimu prospektowego).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X59f1c56ffa7c450983267af27c6c29c7f0c0b00"/>
    <w:p>
      <w:pPr>
        <w:pStyle w:val="Heading1"/>
      </w:pPr>
      <w:r>
        <w:t xml:space="preserve">14. Scenariusz spotkania (45–60 minut)</w:t>
      </w:r>
    </w:p>
    <w:bookmarkStart w:id="69" w:name="otwarcie-23-minuty--dosłowny-tekst"/>
    <w:p>
      <w:pPr>
        <w:pStyle w:val="Heading2"/>
      </w:pPr>
      <w:r>
        <w:t xml:space="preserve">Otwarcie (2–3 minuty) — dosłowny tekst</w:t>
      </w:r>
    </w:p>
    <w:p>
      <w:pPr>
        <w:pStyle w:val="BlockText"/>
      </w:pPr>
      <w:r>
        <w:t xml:space="preserve">„Konrad, dzięki że znalazłeś czas. Zanim powiem cokolwiek o technologii czy przepisach, chcę zrozumieć, gdzie dziś jest Tudor i dokąd chcesz go zaprowadzić. Wiem, że rozwijacie wolumen transakcji, jakość obsługi i marketing, i że zależy Ci, żeby Tudor był postrzegany jako lider, a nie tylko kolejne biuro nieruchomości w Szczecinie. Chciałbym dziś porozmawiać o dwóch rzeczach, które robimy w Tokenuj i które — jeśli będą pasować do Twojego biznesu — mogą Ci w tym pomóc: sposobie na pozyskanie kapitału na konkretne projekty nieruchomościowe bez klasycznego kredytu, oraz sposobie na zbudowanie własnego ekosystemu lojalnościowego wokół Twojej marki. Ale zanim przejdę do szczegółów — chcę najpierw zadać Ci kilka pytań o to, jak dziś wygląda Twój biznes, żebyśmy nie tracili czasu na rozwiązania, które się nie dopasują."</w:t>
      </w:r>
    </w:p>
    <w:bookmarkEnd w:id="69"/>
    <w:bookmarkStart w:id="70" w:name="discovery"/>
    <w:p>
      <w:pPr>
        <w:pStyle w:val="Heading2"/>
      </w:pPr>
      <w:r>
        <w:t xml:space="preserve">Discovery</w:t>
      </w:r>
    </w:p>
    <w:p>
      <w:pPr>
        <w:pStyle w:val="FirstParagraph"/>
      </w:pPr>
      <w:r>
        <w:rPr>
          <w:iCs/>
          <w:i/>
        </w:rPr>
        <w:t xml:space="preserve">(Pełna lista 32 pytań — sekcja 3 powyżej. W spotkaniu 45–60 min realistycznie zadasz 8–12 najważniejszych — priorytetyzuj pytania biznesowe i finansowe [1–13], dodaj 2–3 prawne, resztę zostaw na warsztat discovery.)</w:t>
      </w:r>
    </w:p>
    <w:bookmarkEnd w:id="70"/>
    <w:bookmarkStart w:id="73" w:name="X50d536258e58991b1ee112a9bd8ce6b06b3f470"/>
    <w:p>
      <w:pPr>
        <w:pStyle w:val="Heading2"/>
      </w:pPr>
      <w:r>
        <w:t xml:space="preserve">Prezentacja dwóch modeli (po 4–5 minut każdy)</w:t>
      </w:r>
    </w:p>
    <w:bookmarkStart w:id="71" w:name="Xdbb017c1e291d391cef4575a108f5dd9bfc0d44"/>
    <w:p>
      <w:pPr>
        <w:pStyle w:val="Heading3"/>
      </w:pPr>
      <w:r>
        <w:t xml:space="preserve">1. Prywatna emisja inwestycyjna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finansowanie zakupu/remontu konkretnej nieruchomości dziś oznacza albo kredyt bankowy (wolny, sztywny, wymaga zdolności kredytowej), albo własny kapitał (ogranicza skalę), albo wspólnicy (komplikują strukturę własności).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Rozwiązanie:</w:t>
      </w:r>
      <w:r>
        <w:t xml:space="preserve"> </w:t>
      </w:r>
      <w:r>
        <w:t xml:space="preserve">Tudor identyfikuje projekt, Tokenuj strukturyzuje prawnie i technologicznie sposób, w jaki grono zaproszonych inwestorów może sfinansować go wspólnie — z jasnymi zasadami spłaty/udziału w zysku, cyfrowym raportowaniem i uporządkowanym procesem prawnym.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Mechanizm:</w:t>
      </w:r>
      <w:r>
        <w:t xml:space="preserve"> </w:t>
      </w:r>
      <w:r>
        <w:t xml:space="preserve">SPV kupuje/remontuje nieruchomość, inwestorzy wchodzą jako wierzyciele lub udziałowcy (zależnie od struktury), rozliczenia i raportowanie odbywają się przez panel inwestora.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Korzyści:</w:t>
      </w:r>
      <w:r>
        <w:t xml:space="preserve"> </w:t>
      </w:r>
      <w:r>
        <w:t xml:space="preserve">nowe źródło kapitału niezależne od banku; twardy dowód popytu na kolejne projekty; baza inwestorów do wykorzystania przy następnych nieruchomościach.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Ograniczenia:</w:t>
      </w:r>
      <w:r>
        <w:t xml:space="preserve"> </w:t>
      </w:r>
      <w:r>
        <w:t xml:space="preserve">to nie jest publiczna zbiórka — krąg inwestorów musi być ograniczony i dobrze poprowadzony prawnie; wymaga realnego, konkretnego projektu na start.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Przykład:</w:t>
      </w:r>
      <w:r>
        <w:t xml:space="preserve"> </w:t>
      </w:r>
      <w:r>
        <w:t xml:space="preserve">jedna kamienica do remontu w Szczecinie, 8–15 zaproszonych inwestorów, jasny harmonogram spłaty z przychodu z najmu po remoncie.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Następny krok:</w:t>
      </w:r>
      <w:r>
        <w:t xml:space="preserve"> </w:t>
      </w:r>
      <w:r>
        <w:t xml:space="preserve">wybór konkretnej nieruchomości pod pilotaż i warsztat discovery.</w:t>
      </w:r>
    </w:p>
    <w:bookmarkEnd w:id="71"/>
    <w:bookmarkStart w:id="72" w:name="X41f0fb0777c1f0cb705c6bce0f6a054842a370b"/>
    <w:p>
      <w:pPr>
        <w:pStyle w:val="Heading3"/>
      </w:pPr>
      <w:r>
        <w:t xml:space="preserve">2. Publiczny utility token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dziś relacja Tudor z klientem kończy się zwykle na jednej transakcji — brak mechanizmu, który utrzymuje kontakt i buduje lojalność między transakcjami, oraz brak narzędzia budującego markę „Tudor jako ekosystem", a nie „Tudor jako pojedynczy agent".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Rozwiązanie:</w:t>
      </w:r>
      <w:r>
        <w:t xml:space="preserve"> </w:t>
      </w:r>
      <w:r>
        <w:t xml:space="preserve">token dający dostęp do realnych korzyści w ekosystemie usług Tudor — wcześniejszy dostęp do ofert, rabaty, priorytetowa obsługa, społeczność.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Mechanizm:</w:t>
      </w:r>
      <w:r>
        <w:t xml:space="preserve"> </w:t>
      </w:r>
      <w:r>
        <w:t xml:space="preserve">klienci zdobywają/kupują token, wykorzystują go do korzystania z usług Tudor i partnerów — bez obietnicy zwrotu finansowego.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Korzyści:</w:t>
      </w:r>
      <w:r>
        <w:t xml:space="preserve"> </w:t>
      </w:r>
      <w:r>
        <w:t xml:space="preserve">budowa własnej, mierzalnej bazy lojalnych klientów; cross-selling z partnerami (kredyt, notariusz, remont); wizerunek innowatora na rynku szczecińskim.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Ograniczenia:</w:t>
      </w:r>
      <w:r>
        <w:t xml:space="preserve"> </w:t>
      </w:r>
      <w:r>
        <w:t xml:space="preserve">to nie jest produkt inwestycyjny i nigdy nie powinien być tak komunikowany — inaczej wraca całe ryzyko prawne Ścieżki 1.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Przykład:</w:t>
      </w:r>
      <w:r>
        <w:t xml:space="preserve"> </w:t>
      </w:r>
      <w:r>
        <w:t xml:space="preserve">posiadacz tokena dostaje 48h wcześniejszy dostęp do nowych ofert i 10% rabatu na przygotowanie nieruchomości do sprzedaży.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Następny krok:</w:t>
      </w:r>
      <w:r>
        <w:t xml:space="preserve"> </w:t>
      </w:r>
      <w:r>
        <w:t xml:space="preserve">warsztat discovery nad zakresem funkcji i priorytetyzacją utility.</w:t>
      </w:r>
    </w:p>
    <w:bookmarkEnd w:id="72"/>
    <w:bookmarkEnd w:id="73"/>
    <w:bookmarkStart w:id="74" w:name="obiekcje-konrada--odpowiedzi"/>
    <w:p>
      <w:pPr>
        <w:pStyle w:val="Heading2"/>
      </w:pPr>
      <w:r>
        <w:t xml:space="preserve">Obiekcje Konrada — odpowiedzi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Obiekcja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co token, skoro można zrobić zwykłą spółkę/pożyczkę?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nie zastępuje umowy — jest warstwą techniczną nad nią: automatyzuje raportowanie, ułatwia zarządzanie wieloma inwestorami, daje przejrzystość. Prawna podstawa (pożyczka/udział) pozostaje taka sama jak w klasycznym modelu.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token gwarantuje płynność?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i nikt uczciwie tego nie obieca — płynność zależy od zorganizowania rynku wtórnego, którego na starcie nie ma. Mówimy o tym wprost, bo to jedno z realnych ryzyk dla inwestora.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możemy reklamować to publicznie?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Zależy od ścieżki: prywatna emisja — nie, publiczna reklama niszczy wyłączenie z prospektu i grozi sankcjami; utility token — tak, w granicach uczciwej reklamy.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potrzebujemy zgody KNF?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Zależy od skali i konstrukcji — dla małego pilotażu prywatnego prawdopodobnie nie (poniżej progu prospektowego); dla utility tokena obowiązek zależy od tego, czy przekroczysz próg 1 mln EUR/12 mies. i czy zdecydujemy się notyfikować whitepaper. To ustalimy dokładnie w warsztacie discovery z prawnikiem.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możemy sprzedawać tokeny za granicą?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Technicznie tak, prawnie wymaga to odrębnej analizy per kraj — nie zakładamy tego automatycznie, budujemy geofencing i rozszerzamy rynek stopniowo, po opinii prawnej.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wystarczy zablokować USA?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inne jurysdykcje (UK, Szwajcaria, ZEA, Kanada, Australia) mają własne reżimy i wymagają osobnej analizy, nie jednego wyjątku.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geofencing chroni nas prawnie?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w sobie nie — to jeden z elementów dowodowych, nie tarcza. Chroni w połączeniu z resztą compliance (KYC, dokumentacja, ograniczony marketing).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utility token może rosnąć na wartości?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Może się tak zdarzyć organicznie wraz z rozwojem ekosystemu, ale nigdy tego nie obiecujemy ani nie projektujemy jako mechanizmu — inaczej przestaje być utility tokenem w sensie prawnym.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możemy obiecać inwestorowi określony zwrot?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to jest właśnie granica między legalną strukturą a obietnicą, której nie możemy dotrzymać z pewnością. Możemy pokazać model finansowy i założenia, nie gwarancję.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możemy wypłacać czynsz w stablecoinie?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Technicznie możliwe, ale wymaga dodatkowej analizy (stablecoin jako e-money token pod MiCA, obowiązki podmiotu wypłacającego) — nie zakładamy tego bez sprawdzenia.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się stanie, gdy inwestor zgubi portfel?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Potrzebujemy jasnej, opisanej z góry procedury odzyskiwania dostępu — to element dokumentacji, którą przygotowujemy dla każdego projektu.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inwestor rzeczywiście posiada fragment nieruchomości?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Zależy od modelu: w Modelu A jest wierzycielem SPV (nie współwłaścicielem nieruchomości), w Modelu B może posiadać udział korporacyjny w SPV, które jest właścicielem. To rozróżnienie musimy jasno komunikować, żeby nie wprowadzać w błąd.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token można sprzedać na giełdzie?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na starcie i nie obiecujemy tego — listing wiąże się z dodatkowymi wymogami i ryzykami, które omówimy, jeśli w ogóle będzie rozważany w przyszłości.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Ile trwa wdrożenie?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Zależy od wybranego wariantu — szczegóły w roadmapie (sekcja 17), dokładne ramy czasowe ustalimy po warsztacie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Ile kosztuje wdrożenie?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Przedstawimy widełki po discovery — zależą od zakresu prawnego, liczby jurysdykcji i wybranego wariantu (podstawowy/rozszerzony/ekosystemowy).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Kto odpowiada za dokumenty?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Tokenuj przygotowuje dokumentację przy współpracy z kancelarią prawną — Tudor i SPV podejmują ostateczne decyzje biznesowe i podpisują dokumenty jako strona.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się stanie, jeżeli projekt nie zbierze całej kwoty?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ustalamy z góry w warunkach emisji — typowo: próg minimalny, poniżej którego środki są zwracane inwestorom (all-or-nothing) lub projekt jest finansowany częściowo z korektą zakresu.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budujemy zaufanie inwestorów?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Transparentna dokumentacja, niezależna wycena, audyt smart kontraktu, realne raportowanie, i — najważniejsze — brak przesadzonych obietnic w marketingu.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Dlaczego Tudor ma być emitentem/organizatorem?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to Tudor zna lokalny rynek, ma relację z klientami i wiarygodność w Szczecinie — Tokenuj dostarcza strukturę prawną i technologię, ale zaufanie do konkretnej nieruchomości buduje Tudor.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Tokenuj zarabia na projekcie?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Wynagrodzenie za wdrożenie (jednorazowe) i/lub opłata za utrzymanie platformy (cykliczna) — model rozliczeń ustalimy transparentnie po ustaleniu zakresu projektu.</w:t>
            </w:r>
          </w:p>
        </w:tc>
      </w:tr>
    </w:tbl>
    <w:bookmarkEnd w:id="74"/>
    <w:bookmarkStart w:id="75" w:name="zamknięcie-rozmowy--dosłowny-skrypt"/>
    <w:p>
      <w:pPr>
        <w:pStyle w:val="Heading2"/>
      </w:pPr>
      <w:r>
        <w:t xml:space="preserve">Zamknięcie rozmowy — dosłowny skrypt</w:t>
      </w:r>
    </w:p>
    <w:p>
      <w:pPr>
        <w:pStyle w:val="BlockText"/>
      </w:pPr>
      <w:r>
        <w:t xml:space="preserve">„Konrad, nie oczekuję, że dziś podejmiesz decyzję o pełnym wdrożeniu — to byłoby nieodpowiedzialne z mojej strony, bo dobrze zrobiony projekt wymaga solidnego przygotowania. To, o co chcę Cię dziś poprosić, to zgoda na cztery konkretne, ograniczone kroki: po pierwsze, wspólny warsztat discovery, na którym dokładnie zmapujemy Twoje cele, dostępne projekty i grupę potencjalnych inwestorów. Po drugie, wybór jednej konkretnej nieruchomości, którą moglibyśmy potraktować jako pilotaż. Po trzecie, udostępnienie nam podstawowych danych o tej nieruchomości i Twoim dotychczasowym biznesie, żebyśmy mogli przygotować wstępną architekturę prawno-biznesową. Po czwarte — na tej podstawie przygotujemy dwa warianty budżetu, żebyś mógł podjąć świadomą decyzję go/no-go, bez żadnego zobowiązania na tym etapie. Czy to brzmi jak rozsądny następny krok?"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5d59c2c1075408b62db5f08a73e583397192d65"/>
    <w:p>
      <w:pPr>
        <w:pStyle w:val="Heading1"/>
      </w:pPr>
      <w:r>
        <w:t xml:space="preserve">15. Odpowiedzi na obiekcje</w:t>
      </w:r>
    </w:p>
    <w:p>
      <w:pPr>
        <w:pStyle w:val="FirstParagraph"/>
      </w:pPr>
      <w:r>
        <w:rPr>
          <w:iCs/>
          <w:i/>
        </w:rPr>
        <w:t xml:space="preserve">(Zintegrowane w sekcji 14 powyżej — tabela obiekcji jest częścią scenariusza spotkania zgodnie z żądaną strukturą numerowaną).</w:t>
      </w:r>
    </w:p>
    <w:p>
      <w:r>
        <w:pict>
          <v:rect style="width:0;height:1.5pt" o:hralign="center" o:hrstd="t" o:hr="t"/>
        </w:pict>
      </w:r>
    </w:p>
    <w:bookmarkEnd w:id="77"/>
    <w:bookmarkStart w:id="78" w:name="X77ec170178627471571c28b0ad94f68fbe2f0ef"/>
    <w:p>
      <w:pPr>
        <w:pStyle w:val="Heading1"/>
      </w:pPr>
      <w:r>
        <w:t xml:space="preserve">16. Zamknięcie rozmowy</w:t>
      </w:r>
    </w:p>
    <w:p>
      <w:pPr>
        <w:pStyle w:val="FirstParagraph"/>
      </w:pPr>
      <w:r>
        <w:rPr>
          <w:iCs/>
          <w:i/>
        </w:rPr>
        <w:t xml:space="preserve">(Skrypt zamykający — patrz sekcja 14, „Zamknięcie rozmowy — dosłowny skrypt").</w:t>
      </w:r>
    </w:p>
    <w:p>
      <w:r>
        <w:pict>
          <v:rect style="width:0;height:1.5pt" o:hralign="center" o:hrstd="t" o:hr="t"/>
        </w:pict>
      </w:r>
    </w:p>
    <w:bookmarkEnd w:id="78"/>
    <w:bookmarkStart w:id="82" w:name="X451784926bec99dcaca1255f576c377ec54190e"/>
    <w:p>
      <w:pPr>
        <w:pStyle w:val="Heading1"/>
      </w:pPr>
      <w:r>
        <w:t xml:space="preserve">17. Roadmapa</w:t>
      </w:r>
    </w:p>
    <w:bookmarkStart w:id="79" w:name="wariant-podstawowy"/>
    <w:p>
      <w:pPr>
        <w:pStyle w:val="Heading2"/>
      </w:pPr>
      <w:r>
        <w:t xml:space="preserve">Wariant podstawowy</w:t>
      </w:r>
    </w:p>
    <w:p>
      <w:pPr>
        <w:pStyle w:val="FirstParagraph"/>
      </w:pPr>
      <w:r>
        <w:rPr>
          <w:bCs/>
          <w:b/>
        </w:rPr>
        <w:t xml:space="preserve">Etapy:</w:t>
      </w:r>
      <w:r>
        <w:t xml:space="preserve"> </w:t>
      </w:r>
      <w:r>
        <w:t xml:space="preserve">analiza i klasyfikacja prawna → dokumentacja → prosty smart kontrakt → zamknięty onboarding → brak obrotu wtórnego na start.</w:t>
      </w:r>
      <w:r>
        <w:t xml:space="preserve"> </w:t>
      </w:r>
      <w:r>
        <w:rPr>
          <w:bCs/>
          <w:b/>
        </w:rPr>
        <w:t xml:space="preserve">Zależności:</w:t>
      </w:r>
      <w:r>
        <w:t xml:space="preserve"> </w:t>
      </w:r>
      <w:r>
        <w:t xml:space="preserve">wybór konkretnej nieruchomości/projektu pilotażowego; dostępność danych od Tudor.</w:t>
      </w:r>
      <w:r>
        <w:t xml:space="preserve"> </w:t>
      </w:r>
      <w:r>
        <w:rPr>
          <w:bCs/>
          <w:b/>
        </w:rPr>
        <w:t xml:space="preserve">Odpowiedzialność:</w:t>
      </w:r>
      <w:r>
        <w:t xml:space="preserve"> </w:t>
      </w:r>
      <w:r>
        <w:t xml:space="preserve">Tokenuj — struktura prawna, dokumentacja, technologia; Tudor — sourcing nieruchomości, relacja z inwestorami, dane wejściowe.</w:t>
      </w:r>
      <w:r>
        <w:t xml:space="preserve"> </w:t>
      </w:r>
      <w:r>
        <w:rPr>
          <w:bCs/>
          <w:b/>
        </w:rPr>
        <w:t xml:space="preserve">Ryzyka:</w:t>
      </w:r>
      <w:r>
        <w:t xml:space="preserve"> </w:t>
      </w:r>
      <w:r>
        <w:t xml:space="preserve">błędna klasyfikacja bez dogłębnej analizy prawnej; niedoszacowanie czasu na due diligence nieruchomości.</w:t>
      </w:r>
      <w:r>
        <w:t xml:space="preserve"> </w:t>
      </w:r>
      <w:r>
        <w:rPr>
          <w:bCs/>
          <w:b/>
        </w:rPr>
        <w:t xml:space="preserve">Orientacyjny czas:</w:t>
      </w:r>
      <w:r>
        <w:t xml:space="preserve"> </w:t>
      </w:r>
      <w:r>
        <w:t xml:space="preserve">do ustalenia po discovery (zależny od gotowości dokumentacji nieruchomości).</w:t>
      </w:r>
      <w:r>
        <w:t xml:space="preserve"> </w:t>
      </w:r>
      <w:r>
        <w:rPr>
          <w:bCs/>
          <w:b/>
        </w:rPr>
        <w:t xml:space="preserve">Orientacyjne widełki kosztowe / koszty utrzymania:</w:t>
      </w:r>
      <w:r>
        <w:t xml:space="preserve"> </w:t>
      </w:r>
      <w:r>
        <w:t xml:space="preserve">do doprecyzowania po discovery (sekcja 12).</w:t>
      </w:r>
    </w:p>
    <w:bookmarkEnd w:id="79"/>
    <w:bookmarkStart w:id="80" w:name="wariant-rozszerzony"/>
    <w:p>
      <w:pPr>
        <w:pStyle w:val="Heading2"/>
      </w:pPr>
      <w:r>
        <w:t xml:space="preserve">Wariant rozszerzony</w:t>
      </w:r>
    </w:p>
    <w:p>
      <w:pPr>
        <w:pStyle w:val="FirstParagraph"/>
      </w:pPr>
      <w:r>
        <w:rPr>
          <w:bCs/>
          <w:b/>
        </w:rPr>
        <w:t xml:space="preserve">Etapy:</w:t>
      </w:r>
      <w:r>
        <w:t xml:space="preserve"> </w:t>
      </w:r>
      <w:r>
        <w:t xml:space="preserve">wszystko z wariantu podstawowego + platforma inwestora + panel emitenta + pełne KYC + integracja płatności + raportowanie automatyczne + dystrybucja świadczeń + zaawansowana dokumentacja (waterfall, procedury defaultu).</w:t>
      </w:r>
      <w:r>
        <w:t xml:space="preserve"> </w:t>
      </w:r>
      <w:r>
        <w:rPr>
          <w:bCs/>
          <w:b/>
        </w:rPr>
        <w:t xml:space="preserve">Zależności:</w:t>
      </w:r>
      <w:r>
        <w:t xml:space="preserve"> </w:t>
      </w:r>
      <w:r>
        <w:t xml:space="preserve">sukces/wnioski z wariantu podstawowego (jeśli realizowany etapowo); wybór dostawcy KYC/płatności.</w:t>
      </w:r>
      <w:r>
        <w:t xml:space="preserve"> </w:t>
      </w:r>
      <w:r>
        <w:rPr>
          <w:bCs/>
          <w:b/>
        </w:rPr>
        <w:t xml:space="preserve">Odpowiedzialność:</w:t>
      </w:r>
      <w:r>
        <w:t xml:space="preserve"> </w:t>
      </w:r>
      <w:r>
        <w:t xml:space="preserve">Tokenuj — pełny stack technologiczny i compliance; Tudor — operacyjne zarządzanie nieruchomością i relacją z inwestorami.</w:t>
      </w:r>
      <w:r>
        <w:t xml:space="preserve"> </w:t>
      </w:r>
      <w:r>
        <w:rPr>
          <w:bCs/>
          <w:b/>
        </w:rPr>
        <w:t xml:space="preserve">Ryzyka:</w:t>
      </w:r>
      <w:r>
        <w:t xml:space="preserve"> </w:t>
      </w:r>
      <w:r>
        <w:t xml:space="preserve">wyższa złożoność projektu, dłuższy czas wdrożenia, wyższe wymagania co do jakości danych i procesów Tudor.</w:t>
      </w:r>
      <w:r>
        <w:t xml:space="preserve"> </w:t>
      </w:r>
      <w:r>
        <w:rPr>
          <w:bCs/>
          <w:b/>
        </w:rPr>
        <w:t xml:space="preserve">Orientacyjny czas / koszty:</w:t>
      </w:r>
      <w:r>
        <w:t xml:space="preserve"> </w:t>
      </w:r>
      <w:r>
        <w:t xml:space="preserve">do doprecyzowania po discovery.</w:t>
      </w:r>
    </w:p>
    <w:bookmarkEnd w:id="80"/>
    <w:bookmarkStart w:id="81" w:name="wariant-ekosystemowy"/>
    <w:p>
      <w:pPr>
        <w:pStyle w:val="Heading2"/>
      </w:pPr>
      <w:r>
        <w:t xml:space="preserve">Wariant ekosystemowy</w:t>
      </w:r>
    </w:p>
    <w:p>
      <w:pPr>
        <w:pStyle w:val="FirstParagraph"/>
      </w:pPr>
      <w:r>
        <w:rPr>
          <w:bCs/>
          <w:b/>
        </w:rPr>
        <w:t xml:space="preserve">Etapy:</w:t>
      </w:r>
      <w:r>
        <w:t xml:space="preserve"> </w:t>
      </w:r>
      <w:r>
        <w:t xml:space="preserve">utility token Tudor + program partnerski + marketplace usług + community + aplikacja + kolejne emisje SPV + integracje z zewnętrznymi partnerami (kredyt, notariusz, remont, zarządzanie najmem).</w:t>
      </w:r>
      <w:r>
        <w:t xml:space="preserve"> </w:t>
      </w:r>
      <w:r>
        <w:rPr>
          <w:bCs/>
          <w:b/>
        </w:rPr>
        <w:t xml:space="preserve">Zależności:</w:t>
      </w:r>
      <w:r>
        <w:t xml:space="preserve"> </w:t>
      </w:r>
      <w:r>
        <w:t xml:space="preserve">dojrzałość marki i bazy klientów Tudor; wynik pilotażu Ścieżki 1 (wiarygodność) — rekomendowane uruchomienie po Etapie 1, nie równolegle (patrz sekcja 13).</w:t>
      </w:r>
      <w:r>
        <w:t xml:space="preserve"> </w:t>
      </w:r>
      <w:r>
        <w:rPr>
          <w:bCs/>
          <w:b/>
        </w:rPr>
        <w:t xml:space="preserve">Odpowiedzialność:</w:t>
      </w:r>
      <w:r>
        <w:t xml:space="preserve"> </w:t>
      </w:r>
      <w:r>
        <w:t xml:space="preserve">Tokenuj — platforma i zgodność z MiCA; Tudor — sieć partnerów i zaangażowanie community.</w:t>
      </w:r>
      <w:r>
        <w:t xml:space="preserve"> </w:t>
      </w:r>
      <w:r>
        <w:rPr>
          <w:bCs/>
          <w:b/>
        </w:rPr>
        <w:t xml:space="preserve">Ryzyka:</w:t>
      </w:r>
      <w:r>
        <w:t xml:space="preserve"> </w:t>
      </w:r>
      <w:r>
        <w:t xml:space="preserve">największe ryzyko pomieszania narracji inwestycyjnej i utility (sekcja 13); wymaga dyscypliny komunikacyjnej w czasie.</w:t>
      </w:r>
      <w:r>
        <w:t xml:space="preserve"> </w:t>
      </w:r>
      <w:r>
        <w:rPr>
          <w:bCs/>
          <w:b/>
        </w:rPr>
        <w:t xml:space="preserve">Orientacyjny czas / koszty:</w:t>
      </w:r>
      <w:r>
        <w:t xml:space="preserve"> </w:t>
      </w:r>
      <w:r>
        <w:t xml:space="preserve">do doprecyzowania po discovery, istotnie wyższe niż warianty poprzednie ze względu na zakres funkcjonalny.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63c370463e15f26d8030f981133b3e391fb942c"/>
    <w:p>
      <w:pPr>
        <w:pStyle w:val="Heading1"/>
      </w:pPr>
      <w:r>
        <w:t xml:space="preserve">18. Materiały do przedstawienia</w:t>
      </w:r>
    </w:p>
    <w:p>
      <w:pPr>
        <w:pStyle w:val="FirstParagraph"/>
      </w:pPr>
      <w:r>
        <w:t xml:space="preserve">Poniżej zarys zawartości każdego materiału (do przygotowania jako osobne pliki/slajdy na bazie tego dokumentu):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Jednostronicowa ściąga na spotkanie</w:t>
      </w:r>
      <w:r>
        <w:t xml:space="preserve"> </w:t>
      </w:r>
      <w:r>
        <w:t xml:space="preserve">→ patrz sekcja 20 „Ściąga Michała".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Executive summary</w:t>
      </w:r>
      <w:r>
        <w:t xml:space="preserve"> </w:t>
      </w:r>
      <w:r>
        <w:t xml:space="preserve">→ sekcja 1 (najważniejsze wnioski) w formie skróconej, 1 strona.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Dwie jednostronicowe karty ofert</w:t>
      </w:r>
      <w:r>
        <w:t xml:space="preserve"> </w:t>
      </w:r>
      <w:r>
        <w:t xml:space="preserve">→ oparte na sekcji 14 „Prezentacja dwóch modeli" (problem/rozwiązanie/mechanizm/korzyści/ograniczenia/przykład/następny krok).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Tabela porównawcza</w:t>
      </w:r>
      <w:r>
        <w:t xml:space="preserve"> </w:t>
      </w:r>
      <w:r>
        <w:t xml:space="preserve">→ sekcja 12, gotowa do wklejenia do prezentacji.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Roadmapa wdrożenia</w:t>
      </w:r>
      <w:r>
        <w:t xml:space="preserve"> </w:t>
      </w:r>
      <w:r>
        <w:t xml:space="preserve">→ sekcja 17, w formie trzech kolumn (podstawowy/rozszerzony/ekosystemowy).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Checklista dokumentów</w:t>
      </w:r>
      <w:r>
        <w:t xml:space="preserve"> </w:t>
      </w:r>
      <w:r>
        <w:t xml:space="preserve">→ sekcja 9 (tabele 9.1 i 9.2).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Schemat przepływu środków</w:t>
      </w:r>
      <w:r>
        <w:t xml:space="preserve"> </w:t>
      </w:r>
      <w:r>
        <w:t xml:space="preserve">→ do zwizualizowania na bazie sekcji 4 (Inwestor → SPV → wykonawca/sprzedawca → najem/sprzedaż → SPV → Inwestor).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Schemat struktury SPV</w:t>
      </w:r>
      <w:r>
        <w:t xml:space="preserve"> </w:t>
      </w:r>
      <w:r>
        <w:t xml:space="preserve">→ Tudor (sourcing/zarządzanie) — SPV (właściciel nieruchomości) — Tokenuj (struktura/technologia) — Inwestorzy (kapitał).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Schemat geofencingu i whitelisty</w:t>
      </w:r>
      <w:r>
        <w:t xml:space="preserve"> </w:t>
      </w:r>
      <w:r>
        <w:t xml:space="preserve">→ na bazie sekcji 8 (pięć warstw: marketing, strona, użytkownik, blockchain, dowodowa).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Lista pytań discovery</w:t>
      </w:r>
      <w:r>
        <w:t xml:space="preserve"> </w:t>
      </w:r>
      <w:r>
        <w:t xml:space="preserve">→ sekcja 3, gotowa do wydruku jako checklista na warsztat.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Lista czerwonych flag</w:t>
      </w:r>
      <w:r>
        <w:t xml:space="preserve"> </w:t>
      </w:r>
      <w:r>
        <w:t xml:space="preserve">→ sekcja 19.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Lista zakazanych obietnic marketingowych</w:t>
      </w:r>
      <w:r>
        <w:t xml:space="preserve"> </w:t>
      </w:r>
      <w:r>
        <w:t xml:space="preserve">→ sekcja 5.2 i 5.3.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FAQ dla Konrada</w:t>
      </w:r>
      <w:r>
        <w:t xml:space="preserve"> </w:t>
      </w:r>
      <w:r>
        <w:t xml:space="preserve">→ tabela obiekcji z sekcji 14.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Propozycja maila podsumowującego spotkanie</w:t>
      </w:r>
      <w:r>
        <w:t xml:space="preserve"> </w:t>
      </w:r>
      <w:r>
        <w:t xml:space="preserve">→ szkic poniżej.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Zarys późniejszej prezentacji dla inwestorów</w:t>
      </w:r>
      <w:r>
        <w:t xml:space="preserve"> </w:t>
      </w:r>
      <w:r>
        <w:t xml:space="preserve">→ do przygotowania po wyborze konkretnego projektu pilotażowego (zawiera: opis nieruchomości, wycenę, harmonogram, warunki emisji, ryzyka) — nie tworzyć przed wyborem projektu.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Propozycja pilotażu na pierwszej nieruchomości</w:t>
      </w:r>
      <w:r>
        <w:t xml:space="preserve"> </w:t>
      </w:r>
      <w:r>
        <w:t xml:space="preserve">→ szablon do wypełnienia po warsztacie discovery (adres, typ, budżet, harmonogram, grupa docelowa inwestorów).</w:t>
      </w:r>
    </w:p>
    <w:p>
      <w:pPr>
        <w:pStyle w:val="FirstParagraph"/>
      </w:pPr>
      <w:r>
        <w:rPr>
          <w:bCs/>
          <w:b/>
        </w:rPr>
        <w:t xml:space="preserve">Szkic maila podsumowującego (do wysłania po spotkaniu):</w:t>
      </w:r>
    </w:p>
    <w:p>
      <w:pPr>
        <w:pStyle w:val="BlockText"/>
      </w:pPr>
      <w:r>
        <w:t xml:space="preserve">Temat: Podsumowanie rozmowy — tokenizacja nieruchomości dla Tudor</w:t>
      </w:r>
    </w:p>
    <w:p>
      <w:pPr>
        <w:pStyle w:val="BlockText"/>
      </w:pPr>
      <w:r>
        <w:t xml:space="preserve">Cześć Konrad,</w:t>
      </w:r>
    </w:p>
    <w:p>
      <w:pPr>
        <w:pStyle w:val="BlockText"/>
      </w:pPr>
      <w:r>
        <w:t xml:space="preserve">Dzięki za rozmowę. W skrócie omówiliśmy dwa kierunki: (1) prywatną emisję inwestycyjną dla konkretnej nieruchomości oraz (2) publiczny token użytkowy rozwijający ekosystem usług Tudor. Ustaliliśmy, że kolejnym krokiem jest [warsztat discovery / wybór projektu pilotażowego / inne — dopasować do faktycznych ustaleń]. W załączniku przesyłam materiały, o których mówiliśmy. Zaproponuję konkretny termin warsztatu w ciągu [X] dni.</w:t>
      </w:r>
    </w:p>
    <w:p>
      <w:pPr>
        <w:pStyle w:val="BlockText"/>
      </w:pPr>
      <w:r>
        <w:t xml:space="preserve">Pozdrawiam,</w:t>
      </w:r>
      <w:r>
        <w:t xml:space="preserve"> </w:t>
      </w:r>
      <w:r>
        <w:t xml:space="preserve">[Michał]</w:t>
      </w:r>
    </w:p>
    <w:p>
      <w:r>
        <w:pict>
          <v:rect style="width:0;height:1.5pt" o:hralign="center" o:hrstd="t" o:hr="t"/>
        </w:pict>
      </w:r>
    </w:p>
    <w:bookmarkEnd w:id="83"/>
    <w:bookmarkStart w:id="84" w:name="Xe6b19cf93311ee22a5f6a2099d6a3f9c5577a8e"/>
    <w:p>
      <w:pPr>
        <w:pStyle w:val="Heading1"/>
      </w:pPr>
      <w:r>
        <w:t xml:space="preserve">19. Czerwone flagi — czego nie obiecywać na spotkaniu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Nigdy nie mów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to fałsz/ryzyko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„Token jest poza regulacjami"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Nieprawda — klasyfikacja zależy od treści praw, nie od tego, czy ktoś nazwał coś tokenem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„To nie jest instrument finansowy, bo nazwaliśmy go utility"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Substance over form — nazwa nie przesądza klasyfikacji (sekcja 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„Geofencing całkowicie rozwiązuje problem prawa zagranicznego"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jeden element dowodowy, nie samodzielne zwolnienie (sekcja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„Token zawsze będzie płynny"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Płynność nie jest gwarantowana, wymaga zorganizowanego rynku wtórnego, którego często nie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„Nieruchomość gwarantuje bezpieczeństwo"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Nieruchomości tracą na wartości, generują ryzyko najemcy/pustostanów — brak gwarancji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„Inwestor jest właścicielem nieruchomości tylko dlatego, że posiada token"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Zależy od modelu — w Modelu A jest wierzycielem SPV, nie współwłaścicielem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„KNF nie ma nic do tego"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KNF ma kompetencje wobec prospektu/memorandum, ASI, i docelowo MiCA — nie da się tego pominąć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„Nie potrzebujemy KYC"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Ryzyko sankcyjne obowiązuje zawsze, niezależnie od statusu instytucji obowiązanej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„Możemy publicznie reklamować prywatną ofertę"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Niszczy wyłączenie z prospektu, narusza art. 53 ustawy o ofercie publicznej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„Smart kontrakt zastępuje wszystkie umowy"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Polskie prawo (np. art. 180 KSH) wymaga określonych form prawnych, których smart kontrakt nie zastępuje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„Utility token gwarantuje wzrost ceny"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Zakazana obietnica — przesuwa token w stronę instrumentu finansowego (sekcja 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„Listing można zapewnić"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zależy od zewnętrznych podmiotów (giełdy/CASP) i nie jest czymś, co można obiecać z góry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„Zwrot jest gwarantowany"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Nigdy nie wolno tego obiecać — to najbardziej ryzykowne możliwe zdanie na całym spotkaniu, wprost analogiczne do zarzutów UOKiK wobec condohoteli (sekcja 5.3)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X964efcf453ac9ad5deaf1bae290711adff13bef"/>
    <w:p>
      <w:pPr>
        <w:pStyle w:val="Heading1"/>
      </w:pPr>
      <w:r>
        <w:t xml:space="preserve">20. Źródła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poniższe źródła zostały zebrane metodą WebSearch (z ograniczeniami opisanymi w nocie metodologicznej na początku dokumentu). Data weryfikacji dla wszystkich:</w:t>
      </w:r>
      <w:r>
        <w:t xml:space="preserve"> </w:t>
      </w:r>
      <w:r>
        <w:rPr>
          <w:bCs/>
          <w:b/>
        </w:rPr>
        <w:t xml:space="preserve">30 lipca 2026 r.</w:t>
      </w:r>
      <w:r>
        <w:t xml:space="preserve">, chyba że wskazano inaczej.</w:t>
      </w:r>
    </w:p>
    <w:p>
      <w:pPr>
        <w:pStyle w:val="BodyText"/>
      </w:pPr>
      <w:r>
        <w:rPr>
          <w:bCs/>
          <w:b/>
        </w:rPr>
        <w:t xml:space="preserve">MiCA i ESMA:</w:t>
      </w:r>
    </w:p>
    <w:p>
      <w:pPr>
        <w:numPr>
          <w:ilvl w:val="0"/>
          <w:numId w:val="1018"/>
        </w:numPr>
        <w:pStyle w:val="Compact"/>
      </w:pPr>
      <w:r>
        <w:t xml:space="preserve">Rozporządzenie (UE) 2023/1114 (MiCA), wersja skonsolidowana — eur-lex.europa.eu/eli/reg/2023/1114/2024-01-09/eng</w:t>
      </w:r>
    </w:p>
    <w:p>
      <w:pPr>
        <w:numPr>
          <w:ilvl w:val="0"/>
          <w:numId w:val="1018"/>
        </w:numPr>
        <w:pStyle w:val="Compact"/>
      </w:pPr>
      <w:r>
        <w:t xml:space="preserve">ESMA, Guidelines on the conditions and criteria for the qualification of crypto-assets as financial instruments, ESMA75-453128700-1323, final report 17.12.2024, tłumaczenia 19.03.2025, stosowane od 18.05.2025 — esma.europa.eu/document/guidelines-conditions-and-criteria-qualification-crypto-assets-financial-instruments</w:t>
      </w:r>
    </w:p>
    <w:p>
      <w:pPr>
        <w:numPr>
          <w:ilvl w:val="0"/>
          <w:numId w:val="1018"/>
        </w:numPr>
        <w:pStyle w:val="Compact"/>
      </w:pPr>
      <w:r>
        <w:t xml:space="preserve">ESMA, Guidelines on reverse solicitation under MiCA, ESMA35-1872330276-2030, final 26.02.2025 — esma.europa.eu/sites/default/files/2025-02/ESMA35-1872330276-2030_Guidelines_on_reverse_solicitation_under_MiCA.pdf</w:t>
      </w:r>
    </w:p>
    <w:p>
      <w:pPr>
        <w:numPr>
          <w:ilvl w:val="0"/>
          <w:numId w:val="1018"/>
        </w:numPr>
        <w:pStyle w:val="Compact"/>
      </w:pPr>
      <w:r>
        <w:t xml:space="preserve">ESMA, Advice on Initial Coin Offerings and Crypto-Assets, ESMA50-157-1391, 9.01.2019 — esma.europa.eu/sites/default/files/library/esma50-157-1391_crypto_advice.pdf</w:t>
      </w:r>
    </w:p>
    <w:p>
      <w:pPr>
        <w:pStyle w:val="FirstParagraph"/>
      </w:pPr>
      <w:r>
        <w:rPr>
          <w:bCs/>
          <w:b/>
        </w:rPr>
        <w:t xml:space="preserve">Rozporządzenie Prospektowe i MiFID II:</w:t>
      </w:r>
    </w:p>
    <w:p>
      <w:pPr>
        <w:numPr>
          <w:ilvl w:val="0"/>
          <w:numId w:val="1019"/>
        </w:numPr>
        <w:pStyle w:val="Compact"/>
      </w:pPr>
      <w:r>
        <w:t xml:space="preserve">Rozporządzenie (UE) 2017/1129, wersja skonsolidowana od 5.06.2026 — eur-lex.europa.eu/eli/reg/2017/1129/2026-06-05/eng</w:t>
      </w:r>
    </w:p>
    <w:p>
      <w:pPr>
        <w:numPr>
          <w:ilvl w:val="0"/>
          <w:numId w:val="1019"/>
        </w:numPr>
        <w:pStyle w:val="Compact"/>
      </w:pPr>
      <w:r>
        <w:t xml:space="preserve">Rozporządzenie (UE) 2024/2809 (EU Listing Act) — publikacja 14.11.2024</w:t>
      </w:r>
    </w:p>
    <w:p>
      <w:pPr>
        <w:numPr>
          <w:ilvl w:val="0"/>
          <w:numId w:val="1019"/>
        </w:numPr>
        <w:pStyle w:val="Compact"/>
      </w:pPr>
      <w:r>
        <w:t xml:space="preserve">Dyrektywa 2014/65/UE (MiFID II), art. 4 ust. 1 pkt 44, Załącznik I Sekcja C — eur-lex.europa.eu/legal-content/EN/TXT/?uri=celex%3A32014L0065</w:t>
      </w:r>
    </w:p>
    <w:p>
      <w:pPr>
        <w:pStyle w:val="FirstParagraph"/>
      </w:pPr>
      <w:r>
        <w:rPr>
          <w:bCs/>
          <w:b/>
        </w:rPr>
        <w:t xml:space="preserve">ECSPR:</w:t>
      </w:r>
    </w:p>
    <w:p>
      <w:pPr>
        <w:numPr>
          <w:ilvl w:val="0"/>
          <w:numId w:val="1020"/>
        </w:numPr>
        <w:pStyle w:val="Compact"/>
      </w:pPr>
      <w:r>
        <w:t xml:space="preserve">Rozporządzenie (UE) 2020/1503 — eur-lex.europa.eu/legal-content/EN/TXT/HTML/?uri=CELEX:32020R1503</w:t>
      </w:r>
    </w:p>
    <w:p>
      <w:pPr>
        <w:numPr>
          <w:ilvl w:val="0"/>
          <w:numId w:val="1020"/>
        </w:numPr>
        <w:pStyle w:val="Compact"/>
      </w:pPr>
      <w:r>
        <w:t xml:space="preserve">ESMA Q&amp;As on Crowdfunding — ECSPR, ESMA35-42-1088, 23.09.2022 — esma.europa.eu/sites/default/files/library/esma35-42-1088_qas_crowdfunding_ecspr.pdf</w:t>
      </w:r>
    </w:p>
    <w:p>
      <w:pPr>
        <w:numPr>
          <w:ilvl w:val="0"/>
          <w:numId w:val="1020"/>
        </w:numPr>
        <w:pStyle w:val="Compact"/>
      </w:pPr>
      <w:r>
        <w:t xml:space="preserve">Ustawa z 7.07.2022 o finansowaniu społecznościowym dla przedsięwzięć gospodarczych i pomocy kredytobiorcom, Dz.U. 2022 poz. 1488 — isap.sejm.gov.pl</w:t>
      </w:r>
    </w:p>
    <w:p>
      <w:pPr>
        <w:pStyle w:val="FirstParagraph"/>
      </w:pPr>
      <w:r>
        <w:rPr>
          <w:bCs/>
          <w:b/>
        </w:rPr>
        <w:t xml:space="preserve">Polskie prawo rynku kapitałowego i spółek:</w:t>
      </w:r>
    </w:p>
    <w:p>
      <w:pPr>
        <w:numPr>
          <w:ilvl w:val="0"/>
          <w:numId w:val="1021"/>
        </w:numPr>
        <w:pStyle w:val="Compact"/>
      </w:pPr>
      <w:r>
        <w:t xml:space="preserve">Ustawa z 29.07.2005 o ofercie publicznej…, tekst jedn. Dz.U. 2025 poz. 592 — isap.sejm.gov.pl</w:t>
      </w:r>
    </w:p>
    <w:p>
      <w:pPr>
        <w:numPr>
          <w:ilvl w:val="0"/>
          <w:numId w:val="1021"/>
        </w:numPr>
        <w:pStyle w:val="Compact"/>
      </w:pPr>
      <w:r>
        <w:t xml:space="preserve">Ustawa z 29.07.2005 o obrocie instrumentami finansowymi, tekst jedn. Dz.U. 2024 poz. 722 — isap.sejm.gov.pl</w:t>
      </w:r>
    </w:p>
    <w:p>
      <w:pPr>
        <w:numPr>
          <w:ilvl w:val="0"/>
          <w:numId w:val="1021"/>
        </w:numPr>
        <w:pStyle w:val="Compact"/>
      </w:pPr>
      <w:r>
        <w:t xml:space="preserve">Ustawa z 27.05.2004 o funduszach inwestycyjnych i zarządzaniu alternatywnymi funduszami inwestycyjnymi, tekst jedn. Dz.U. 2024 poz. 1034 — isap.sejm.gov.pl</w:t>
      </w:r>
    </w:p>
    <w:p>
      <w:pPr>
        <w:numPr>
          <w:ilvl w:val="0"/>
          <w:numId w:val="1021"/>
        </w:numPr>
        <w:pStyle w:val="Compact"/>
      </w:pPr>
      <w:r>
        <w:t xml:space="preserve">Kodeks spółek handlowych, tekst jedn. Dz.U. 2024 poz. 18 (art. 180, art. 182¹, 257¹, 300³⁰ i nast.) — isap.sejm.gov.pl</w:t>
      </w:r>
    </w:p>
    <w:p>
      <w:pPr>
        <w:numPr>
          <w:ilvl w:val="0"/>
          <w:numId w:val="1021"/>
        </w:numPr>
        <w:pStyle w:val="Compact"/>
      </w:pPr>
      <w:r>
        <w:t xml:space="preserve">Rozporządzenie (UE) 2022/858 (DLT Pilot Regime) — knf.gov.pl/dla_rynku/DLT</w:t>
      </w:r>
    </w:p>
    <w:p>
      <w:pPr>
        <w:pStyle w:val="FirstParagraph"/>
      </w:pPr>
      <w:r>
        <w:rPr>
          <w:bCs/>
          <w:b/>
        </w:rPr>
        <w:t xml:space="preserve">AML/sankcje:</w:t>
      </w:r>
    </w:p>
    <w:p>
      <w:pPr>
        <w:numPr>
          <w:ilvl w:val="0"/>
          <w:numId w:val="1022"/>
        </w:numPr>
        <w:pStyle w:val="Compact"/>
      </w:pPr>
      <w:r>
        <w:t xml:space="preserve">Rozporządzenie (UE) 2023/1113 (Travel Rule) — eur-lex.europa.eu/eli/reg/2023/1113/oj/eng</w:t>
      </w:r>
    </w:p>
    <w:p>
      <w:pPr>
        <w:numPr>
          <w:ilvl w:val="0"/>
          <w:numId w:val="1022"/>
        </w:numPr>
        <w:pStyle w:val="Compact"/>
      </w:pPr>
      <w:r>
        <w:t xml:space="preserve">EBA Travel Rule Guidelines, EBA/GL/2024/11 — eba.europa.eu</w:t>
      </w:r>
    </w:p>
    <w:p>
      <w:pPr>
        <w:numPr>
          <w:ilvl w:val="0"/>
          <w:numId w:val="1022"/>
        </w:numPr>
        <w:pStyle w:val="Compact"/>
      </w:pPr>
      <w:r>
        <w:t xml:space="preserve">Rozporządzenie (UE) 2024/1624 (AMLR) — eur-lex.europa.eu/eli/reg/2024/1624/oj/eng</w:t>
      </w:r>
    </w:p>
    <w:p>
      <w:pPr>
        <w:numPr>
          <w:ilvl w:val="0"/>
          <w:numId w:val="1022"/>
        </w:numPr>
        <w:pStyle w:val="Compact"/>
      </w:pPr>
      <w:r>
        <w:t xml:space="preserve">Ustawa z 1.03.2018 o przeciwdziałaniu praniu pieniędzy…, tekst jedn. Dz.U. 2025 poz. 644 — isap.sejm.gov.pl</w:t>
      </w:r>
    </w:p>
    <w:p>
      <w:pPr>
        <w:numPr>
          <w:ilvl w:val="0"/>
          <w:numId w:val="1022"/>
        </w:numPr>
        <w:pStyle w:val="Compact"/>
      </w:pPr>
      <w:r>
        <w:t xml:space="preserve">Rada UE, sankcje wobec Rosji (20. pakiet, 23.04.2026; 21. pakiet, sygnalizowany 23.07.2026) — consilium.europa.eu</w:t>
      </w:r>
    </w:p>
    <w:p>
      <w:pPr>
        <w:pStyle w:val="FirstParagraph"/>
      </w:pPr>
      <w:r>
        <w:rPr>
          <w:bCs/>
          <w:b/>
        </w:rPr>
        <w:t xml:space="preserve">Status ustawy o kryptoaktywach (kluczowa sekcja bieżących wydarzeń):</w:t>
      </w:r>
    </w:p>
    <w:p>
      <w:pPr>
        <w:numPr>
          <w:ilvl w:val="0"/>
          <w:numId w:val="1023"/>
        </w:numPr>
        <w:pStyle w:val="Compact"/>
      </w:pPr>
      <w:r>
        <w:t xml:space="preserve">rp.pl, „Weto pod ustawą o kryptoaktywach. Karol Nawrocki trzeci raz odrzuca projekt" — rp.pl/prawo-w-polsce/art44608471</w:t>
      </w:r>
    </w:p>
    <w:p>
      <w:pPr>
        <w:numPr>
          <w:ilvl w:val="0"/>
          <w:numId w:val="1023"/>
        </w:numPr>
        <w:pStyle w:val="Compact"/>
      </w:pPr>
      <w:r>
        <w:t xml:space="preserve">money.pl, „Weto po raz trzeci. Karol Nawrocki zdecydował ws. ustawy o kryptoaktywach" — money.pl</w:t>
      </w:r>
    </w:p>
    <w:p>
      <w:pPr>
        <w:numPr>
          <w:ilvl w:val="0"/>
          <w:numId w:val="1023"/>
        </w:numPr>
        <w:pStyle w:val="Compact"/>
      </w:pPr>
      <w:r>
        <w:t xml:space="preserve">gazetaprawna.pl, „Weto prezydenta Nawrockiego. Ustawa kryptowaluty 2026" — gazetaprawna.pl</w:t>
      </w:r>
    </w:p>
    <w:p>
      <w:pPr>
        <w:numPr>
          <w:ilvl w:val="0"/>
          <w:numId w:val="1023"/>
        </w:numPr>
        <w:pStyle w:val="Compact"/>
      </w:pPr>
      <w:r>
        <w:t xml:space="preserve">parkiet.com, „Nie pozwolimy na dziki zachód. Domański zapowiada czwartą ustawę o krypto" — parkiet.com</w:t>
      </w:r>
    </w:p>
    <w:p>
      <w:pPr>
        <w:numPr>
          <w:ilvl w:val="0"/>
          <w:numId w:val="1023"/>
        </w:numPr>
        <w:pStyle w:val="Compact"/>
      </w:pPr>
      <w:r>
        <w:t xml:space="preserve">KNF, stanowisko z 10.02.2026 „Sytuacja regulacyjna na rynku kryptoaktywów" — knf.gov.pl/komunikacja/komunikaty?articleId=83761</w:t>
      </w:r>
    </w:p>
    <w:p>
      <w:pPr>
        <w:numPr>
          <w:ilvl w:val="0"/>
          <w:numId w:val="1023"/>
        </w:numPr>
        <w:pStyle w:val="Compact"/>
      </w:pPr>
      <w:r>
        <w:t xml:space="preserve">ItisPay, „MiCA deadline z 1 lipca 2026 — status przejścia VASP wg kraju" — itispay.com</w:t>
      </w:r>
    </w:p>
    <w:p>
      <w:pPr>
        <w:pStyle w:val="FirstParagraph"/>
      </w:pPr>
      <w:r>
        <w:rPr>
          <w:bCs/>
          <w:b/>
        </w:rPr>
        <w:t xml:space="preserve">Podatki/RODO/reklama:</w:t>
      </w:r>
    </w:p>
    <w:p>
      <w:pPr>
        <w:numPr>
          <w:ilvl w:val="0"/>
          <w:numId w:val="1024"/>
        </w:numPr>
        <w:pStyle w:val="Compact"/>
      </w:pPr>
      <w:r>
        <w:t xml:space="preserve">Ustawa o PIT, art. 17 ust. 1 pkt 11, art. 30a, art. 30b — isap.sejm.gov.pl</w:t>
      </w:r>
    </w:p>
    <w:p>
      <w:pPr>
        <w:numPr>
          <w:ilvl w:val="0"/>
          <w:numId w:val="1024"/>
        </w:numPr>
        <w:pStyle w:val="Compact"/>
      </w:pPr>
      <w:r>
        <w:t xml:space="preserve">Ustawa o CIT, art. 4a pkt 35 (spółka nieruchomościowa), art. 28j (estoński CIT) — isap.sejm.gov.pl</w:t>
      </w:r>
    </w:p>
    <w:p>
      <w:pPr>
        <w:numPr>
          <w:ilvl w:val="0"/>
          <w:numId w:val="1024"/>
        </w:numPr>
        <w:pStyle w:val="Compact"/>
      </w:pPr>
      <w:r>
        <w:t xml:space="preserve">TSUE, wyrok C-264/14 Hedqvist, 22.10.2015</w:t>
      </w:r>
    </w:p>
    <w:p>
      <w:pPr>
        <w:numPr>
          <w:ilvl w:val="0"/>
          <w:numId w:val="1024"/>
        </w:numPr>
        <w:pStyle w:val="Compact"/>
      </w:pPr>
      <w:r>
        <w:t xml:space="preserve">Ustawa o ofercie publicznej, art. 53 (zakaz reklamy oferty niepublicznej) — isap.sejm.gov.pl</w:t>
      </w:r>
    </w:p>
    <w:p>
      <w:pPr>
        <w:numPr>
          <w:ilvl w:val="0"/>
          <w:numId w:val="1024"/>
        </w:numPr>
        <w:pStyle w:val="Compact"/>
      </w:pPr>
      <w:r>
        <w:t xml:space="preserve">UOKiK, komunikat z 20.07.2026 ws. zarzutów wobec spółek condohotelowych (Linea Mare, Beskid Resort Properties, Haveno Estate, Zdrojowa Invest2) — uokik.gov.pl</w:t>
      </w:r>
    </w:p>
    <w:p>
      <w:pPr>
        <w:numPr>
          <w:ilvl w:val="0"/>
          <w:numId w:val="1024"/>
        </w:numPr>
        <w:pStyle w:val="Compact"/>
      </w:pPr>
      <w:r>
        <w:t xml:space="preserve">Stanowisko UKNF ws. wydawania i obrotu kryptoaktywami (2020, na bazie komunikatu z 22.11.2017) — knf.gov.pl</w:t>
      </w:r>
    </w:p>
    <w:p>
      <w:pPr>
        <w:pStyle w:val="FirstParagraph"/>
      </w:pPr>
      <w:r>
        <w:rPr>
          <w:bCs/>
          <w:b/>
        </w:rPr>
        <w:t xml:space="preserve">O Tudor Nieruchomości:</w:t>
      </w:r>
    </w:p>
    <w:p>
      <w:pPr>
        <w:numPr>
          <w:ilvl w:val="0"/>
          <w:numId w:val="1025"/>
        </w:numPr>
        <w:pStyle w:val="Compact"/>
      </w:pPr>
      <w:r>
        <w:t xml:space="preserve">tudornieruchomosci.pl; facebook.com/tudnier; pl.linkedin.com/company/tudor-nieruchomości; prestizszczecin.pl/kronika-prestizowa/138/krolewskie-otwarcie; top100.pl/company/11764678/tudor-nieruchomosci</w:t>
      </w:r>
    </w:p>
    <w:p>
      <w:r>
        <w:pict>
          <v:rect style="width:0;height:1.5pt" o:hralign="center" o:hrstd="t" o:hr="t"/>
        </w:pict>
      </w:r>
    </w:p>
    <w:bookmarkEnd w:id="85"/>
    <w:bookmarkStart w:id="86" w:name="X6118af005813d92c93ec3bcd6da32aac2cef742"/>
    <w:p>
      <w:pPr>
        <w:pStyle w:val="Heading1"/>
      </w:pPr>
      <w:r>
        <w:t xml:space="preserve">Ściąga Michała na 10 minut przed spotkaniem</w:t>
      </w:r>
    </w:p>
    <w:p>
      <w:pPr>
        <w:pStyle w:val="FirstParagraph"/>
      </w:pPr>
      <w:r>
        <w:rPr>
          <w:bCs/>
          <w:b/>
        </w:rPr>
        <w:t xml:space="preserve">10 najważniejszych informacji:</w:t>
      </w:r>
    </w:p>
    <w:p>
      <w:pPr>
        <w:numPr>
          <w:ilvl w:val="0"/>
          <w:numId w:val="1026"/>
        </w:numPr>
        <w:pStyle w:val="Compact"/>
      </w:pPr>
      <w:r>
        <w:t xml:space="preserve">Polska nie ma ustawy implementującej MiCA — III weto Prezydenta 11.06.2026, okres przejściowy MiCA skończył się 1.07.2026, brak organu w Polsce.</w:t>
      </w:r>
    </w:p>
    <w:p>
      <w:pPr>
        <w:numPr>
          <w:ilvl w:val="0"/>
          <w:numId w:val="1026"/>
        </w:numPr>
        <w:pStyle w:val="Compact"/>
      </w:pPr>
      <w:r>
        <w:t xml:space="preserve">To nie blokuje Ścieżki 1 (prywatna emisja) — jeśli token to papier wartościowy, MiCA go w ogóle nie dotyczy.</w:t>
      </w:r>
    </w:p>
    <w:p>
      <w:pPr>
        <w:numPr>
          <w:ilvl w:val="0"/>
          <w:numId w:val="1026"/>
        </w:numPr>
        <w:pStyle w:val="Compact"/>
      </w:pPr>
      <w:r>
        <w:t xml:space="preserve">Dla Ścieżki 2 (utility, jeśli objęty MiCA) jedyna droga to notyfikacja przez podmiot z innego kraju UE/EOG (Niemcy, Estonia, Francja, Austria, Holandia).</w:t>
      </w:r>
    </w:p>
    <w:p>
      <w:pPr>
        <w:numPr>
          <w:ilvl w:val="0"/>
          <w:numId w:val="1026"/>
        </w:numPr>
        <w:pStyle w:val="Compact"/>
      </w:pPr>
      <w:r>
        <w:t xml:space="preserve">Nowy próg prospektowy: 12 mln EUR/12 mies. (z opcją obniżenia do 5 mln EUR) od 5.06.2026 — polski próg krajowy w toku dostosowania, sprawdzić na bieżąco.</w:t>
      </w:r>
    </w:p>
    <w:p>
      <w:pPr>
        <w:numPr>
          <w:ilvl w:val="0"/>
          <w:numId w:val="1026"/>
        </w:numPr>
        <w:pStyle w:val="Compact"/>
      </w:pPr>
      <w:r>
        <w:t xml:space="preserve">Największe realne ryzyko Ścieżki 1 to nie MiCA, tylko możliwa kwalifikacja SPV jako AFI/ASI (fundusz inwestycyjny).</w:t>
      </w:r>
    </w:p>
    <w:p>
      <w:pPr>
        <w:numPr>
          <w:ilvl w:val="0"/>
          <w:numId w:val="1026"/>
        </w:numPr>
        <w:pStyle w:val="Compact"/>
      </w:pPr>
      <w:r>
        <w:t xml:space="preserve">Token nie może samodzielnie przenosić własności udziału w sp. z o.o. (wymóg notarialny, art. 180 KSH) — PSA z blockchainem tylko przez uprawniony podmiot regulowany.</w:t>
      </w:r>
    </w:p>
    <w:p>
      <w:pPr>
        <w:numPr>
          <w:ilvl w:val="0"/>
          <w:numId w:val="1026"/>
        </w:numPr>
        <w:pStyle w:val="Compact"/>
      </w:pPr>
      <w:r>
        <w:t xml:space="preserve">Geofencing to element dowodowy, nie zwolnienie prawne — powtórz to wprost, jeśli Konrad zapyta.</w:t>
      </w:r>
    </w:p>
    <w:p>
      <w:pPr>
        <w:numPr>
          <w:ilvl w:val="0"/>
          <w:numId w:val="1026"/>
        </w:numPr>
        <w:pStyle w:val="Compact"/>
      </w:pPr>
      <w:r>
        <w:t xml:space="preserve">UOKiK właśnie (20.07.2026) ściga condohotele za obietnice zysku z nieruchomości — to najbliższy precedens, unikaj identycznego języka.</w:t>
      </w:r>
    </w:p>
    <w:p>
      <w:pPr>
        <w:numPr>
          <w:ilvl w:val="0"/>
          <w:numId w:val="1026"/>
        </w:numPr>
        <w:pStyle w:val="Compact"/>
      </w:pPr>
      <w:r>
        <w:t xml:space="preserve">O Tudor wiadomo niewiele — małe, butikowe biuro, brak śladów zainteresowania krypto — nie zakładaj wiedzy technicznej Konrada.</w:t>
      </w:r>
    </w:p>
    <w:p>
      <w:pPr>
        <w:numPr>
          <w:ilvl w:val="0"/>
          <w:numId w:val="1026"/>
        </w:numPr>
        <w:pStyle w:val="Compact"/>
      </w:pPr>
      <w:r>
        <w:t xml:space="preserve">Dwa tokeny (inwestycyjny i utility) muszą być całkowicie rozdzielone prawnie, ekonomicznie, technologicznie i marketingowo.</w:t>
      </w:r>
    </w:p>
    <w:p>
      <w:pPr>
        <w:pStyle w:val="FirstParagraph"/>
      </w:pPr>
      <w:r>
        <w:rPr>
          <w:bCs/>
          <w:b/>
        </w:rPr>
        <w:t xml:space="preserve">10 najważniejszych pytań do zadania:</w:t>
      </w:r>
    </w:p>
    <w:p>
      <w:pPr>
        <w:numPr>
          <w:ilvl w:val="0"/>
          <w:numId w:val="1027"/>
        </w:numPr>
        <w:pStyle w:val="Compact"/>
      </w:pPr>
      <w:r>
        <w:t xml:space="preserve">Czy masz już konkretny projekt/nieruchomość pod pilotaż?</w:t>
      </w:r>
    </w:p>
    <w:p>
      <w:pPr>
        <w:numPr>
          <w:ilvl w:val="0"/>
          <w:numId w:val="1027"/>
        </w:numPr>
        <w:pStyle w:val="Compact"/>
      </w:pPr>
      <w:r>
        <w:t xml:space="preserve">Jaka kwota miałaby zostać pozyskana?</w:t>
      </w:r>
    </w:p>
    <w:p>
      <w:pPr>
        <w:numPr>
          <w:ilvl w:val="0"/>
          <w:numId w:val="1027"/>
        </w:numPr>
        <w:pStyle w:val="Compact"/>
      </w:pPr>
      <w:r>
        <w:t xml:space="preserve">Ilu potencjalnych inwestorów realnie znasz/masz w bazie?</w:t>
      </w:r>
    </w:p>
    <w:p>
      <w:pPr>
        <w:numPr>
          <w:ilvl w:val="0"/>
          <w:numId w:val="1027"/>
        </w:numPr>
        <w:pStyle w:val="Compact"/>
      </w:pPr>
      <w:r>
        <w:t xml:space="preserve">Czy inwestorzy mają być detaliczni czy kwalifikowani?</w:t>
      </w:r>
    </w:p>
    <w:p>
      <w:pPr>
        <w:numPr>
          <w:ilvl w:val="0"/>
          <w:numId w:val="1027"/>
        </w:numPr>
        <w:pStyle w:val="Compact"/>
      </w:pPr>
      <w:r>
        <w:t xml:space="preserve">Czy masz dziś klientów zagranicznych?</w:t>
      </w:r>
    </w:p>
    <w:p>
      <w:pPr>
        <w:numPr>
          <w:ilvl w:val="0"/>
          <w:numId w:val="1027"/>
        </w:numPr>
        <w:pStyle w:val="Compact"/>
      </w:pPr>
      <w:r>
        <w:t xml:space="preserve">Jak ma zarabiać inwestor — czynsz, zysk ze sprzedaży, odsetki?</w:t>
      </w:r>
    </w:p>
    <w:p>
      <w:pPr>
        <w:numPr>
          <w:ilvl w:val="0"/>
          <w:numId w:val="1027"/>
        </w:numPr>
        <w:pStyle w:val="Compact"/>
      </w:pPr>
      <w:r>
        <w:t xml:space="preserve">Czy jesteś gotowy utworzyć osobne SPV?</w:t>
      </w:r>
    </w:p>
    <w:p>
      <w:pPr>
        <w:numPr>
          <w:ilvl w:val="0"/>
          <w:numId w:val="1027"/>
        </w:numPr>
        <w:pStyle w:val="Compact"/>
      </w:pPr>
      <w:r>
        <w:t xml:space="preserve">Kto zarządzałby nieruchomością operacyjnie?</w:t>
      </w:r>
    </w:p>
    <w:p>
      <w:pPr>
        <w:numPr>
          <w:ilvl w:val="0"/>
          <w:numId w:val="1027"/>
        </w:numPr>
        <w:pStyle w:val="Compact"/>
      </w:pPr>
      <w:r>
        <w:t xml:space="preserve">Jaki jest Twój budżet i horyzont czasowy na pilotaż?</w:t>
      </w:r>
    </w:p>
    <w:p>
      <w:pPr>
        <w:numPr>
          <w:ilvl w:val="0"/>
          <w:numId w:val="1027"/>
        </w:numPr>
        <w:pStyle w:val="Compact"/>
      </w:pPr>
      <w:r>
        <w:t xml:space="preserve">Co dokładnie oznacza dla Ciebie „bycie trendsetterem" — jaki efekt chcesz zobaczyć za rok?</w:t>
      </w:r>
    </w:p>
    <w:p>
      <w:pPr>
        <w:pStyle w:val="FirstParagraph"/>
      </w:pPr>
      <w:r>
        <w:rPr>
          <w:bCs/>
          <w:b/>
        </w:rPr>
        <w:t xml:space="preserve">5 głównych ryzyk:</w:t>
      </w:r>
    </w:p>
    <w:p>
      <w:pPr>
        <w:numPr>
          <w:ilvl w:val="0"/>
          <w:numId w:val="1028"/>
        </w:numPr>
        <w:pStyle w:val="Compact"/>
      </w:pPr>
      <w:r>
        <w:t xml:space="preserve">Błędna klasyfikacja tokena (AFI/papier wartościowy) bez pogłębionej analizy prawnej.</w:t>
      </w:r>
    </w:p>
    <w:p>
      <w:pPr>
        <w:numPr>
          <w:ilvl w:val="0"/>
          <w:numId w:val="1028"/>
        </w:numPr>
        <w:pStyle w:val="Compact"/>
      </w:pPr>
      <w:r>
        <w:t xml:space="preserve">Publiczny marketing prywatnej oferty niszczący wyłączenie z prospektu.</w:t>
      </w:r>
    </w:p>
    <w:p>
      <w:pPr>
        <w:numPr>
          <w:ilvl w:val="0"/>
          <w:numId w:val="1028"/>
        </w:numPr>
        <w:pStyle w:val="Compact"/>
      </w:pPr>
      <w:r>
        <w:t xml:space="preserve">Pomieszanie narracji utility/inwestycja niszczące klasyfikację utility tokena.</w:t>
      </w:r>
    </w:p>
    <w:p>
      <w:pPr>
        <w:numPr>
          <w:ilvl w:val="0"/>
          <w:numId w:val="1028"/>
        </w:numPr>
        <w:pStyle w:val="Compact"/>
      </w:pPr>
      <w:r>
        <w:t xml:space="preserve">Obietnice zwrotu/gwarancji — bezpośrednie ryzyko UOKiK i sankcji KNF.</w:t>
      </w:r>
    </w:p>
    <w:p>
      <w:pPr>
        <w:numPr>
          <w:ilvl w:val="0"/>
          <w:numId w:val="1028"/>
        </w:numPr>
        <w:pStyle w:val="Compact"/>
      </w:pPr>
      <w:r>
        <w:t xml:space="preserve">Poleganie na samym geofencingu jako „tarczy prawnej".</w:t>
      </w:r>
    </w:p>
    <w:p>
      <w:pPr>
        <w:pStyle w:val="FirstParagraph"/>
      </w:pPr>
      <w:r>
        <w:rPr>
          <w:bCs/>
          <w:b/>
        </w:rPr>
        <w:t xml:space="preserve">5 głównych argumentów sprzedażowych:</w:t>
      </w:r>
    </w:p>
    <w:p>
      <w:pPr>
        <w:numPr>
          <w:ilvl w:val="0"/>
          <w:numId w:val="1029"/>
        </w:numPr>
        <w:pStyle w:val="Compact"/>
      </w:pPr>
      <w:r>
        <w:t xml:space="preserve">Tudor nie musi wybierać między bankiem a inwestorami prywatnymi — token daje trzecią, elastyczną ścieżkę finansowania konkretnych projektów.</w:t>
      </w:r>
    </w:p>
    <w:p>
      <w:pPr>
        <w:numPr>
          <w:ilvl w:val="0"/>
          <w:numId w:val="1029"/>
        </w:numPr>
        <w:pStyle w:val="Compact"/>
      </w:pPr>
      <w:r>
        <w:t xml:space="preserve">Pilotaż na jednej nieruchomości to niskie ryzyko, wysoki dowód koncepcji — nie trzeba stawiać całej firmy na tę kartę.</w:t>
      </w:r>
    </w:p>
    <w:p>
      <w:pPr>
        <w:numPr>
          <w:ilvl w:val="0"/>
          <w:numId w:val="1029"/>
        </w:numPr>
        <w:pStyle w:val="Compact"/>
      </w:pPr>
      <w:r>
        <w:t xml:space="preserve">Utility token buduje powtarzalną relację z klientem, której dziś Tudor nie ma — to inwestycja w markę, nie w spekulację.</w:t>
      </w:r>
    </w:p>
    <w:p>
      <w:pPr>
        <w:numPr>
          <w:ilvl w:val="0"/>
          <w:numId w:val="1029"/>
        </w:numPr>
        <w:pStyle w:val="Compact"/>
      </w:pPr>
      <w:r>
        <w:t xml:space="preserve">Tokenuj bierze na siebie całą złożoność prawną i technologiczną — Tudor koncentruje się na tym, co umie: nieruchomościach i relacjach.</w:t>
      </w:r>
    </w:p>
    <w:p>
      <w:pPr>
        <w:numPr>
          <w:ilvl w:val="0"/>
          <w:numId w:val="1029"/>
        </w:numPr>
        <w:pStyle w:val="Compact"/>
      </w:pPr>
      <w:r>
        <w:t xml:space="preserve">Bycie pierwszym w Szczecinie ma realną wartość wizerunkową — ale tylko jeśli zrobione solidnie, nie pospiesznie.</w:t>
      </w:r>
    </w:p>
    <w:p>
      <w:pPr>
        <w:pStyle w:val="FirstParagraph"/>
      </w:pPr>
      <w:r>
        <w:rPr>
          <w:bCs/>
          <w:b/>
        </w:rPr>
        <w:t xml:space="preserve">3 rekomendowane następne kroki:</w:t>
      </w:r>
    </w:p>
    <w:p>
      <w:pPr>
        <w:numPr>
          <w:ilvl w:val="0"/>
          <w:numId w:val="1030"/>
        </w:numPr>
        <w:pStyle w:val="Compact"/>
      </w:pPr>
      <w:r>
        <w:t xml:space="preserve">Warsztat discovery (2–3h) z udziałem prawnika rynku kapitałowego.</w:t>
      </w:r>
    </w:p>
    <w:p>
      <w:pPr>
        <w:numPr>
          <w:ilvl w:val="0"/>
          <w:numId w:val="1030"/>
        </w:numPr>
        <w:pStyle w:val="Compact"/>
      </w:pPr>
      <w:r>
        <w:t xml:space="preserve">Wybór jednej konkretnej nieruchomości pod pilotaż Ścieżki 1.</w:t>
      </w:r>
    </w:p>
    <w:p>
      <w:pPr>
        <w:numPr>
          <w:ilvl w:val="0"/>
          <w:numId w:val="1030"/>
        </w:numPr>
        <w:pStyle w:val="Compact"/>
      </w:pPr>
      <w:r>
        <w:t xml:space="preserve">Przygotowanie dwóch wariantów budżetu do decyzji go/no-go.</w:t>
      </w:r>
    </w:p>
    <w:p>
      <w:pPr>
        <w:pStyle w:val="FirstParagraph"/>
      </w:pPr>
      <w:r>
        <w:rPr>
          <w:bCs/>
          <w:b/>
        </w:rPr>
        <w:t xml:space="preserve">Zdanie otwierające spotkanie:</w:t>
      </w:r>
      <w:r>
        <w:t xml:space="preserve"> </w:t>
      </w:r>
      <w:r>
        <w:t xml:space="preserve">„Zanim powiem cokolwiek o technologii czy przepisach, chcę zrozumieć, gdzie dziś jest Tudor i dokąd chcesz go zaprowadzić."</w:t>
      </w:r>
    </w:p>
    <w:p>
      <w:pPr>
        <w:pStyle w:val="BodyText"/>
      </w:pPr>
      <w:r>
        <w:rPr>
          <w:bCs/>
          <w:b/>
        </w:rPr>
        <w:t xml:space="preserve">Zdanie zamykające spotkanie:</w:t>
      </w:r>
      <w:r>
        <w:t xml:space="preserve"> </w:t>
      </w:r>
      <w:r>
        <w:t xml:space="preserve">„Nie oczekuję dziś decyzji o pełnym wdrożeniu — chcę Twojej zgody na jeden konkretny, ograniczony krok: warsztat discovery, po którym dostaniesz dwa warianty budżetu i podejmiesz świadomą decyzję go/no-go."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7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8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Tokenizacja nieruchomo��ci ��� briefing przedspotkaniowy</dc:title>
  <dc:creator/>
  <cp:keywords/>
  <dcterms:created xsi:type="dcterms:W3CDTF">2026-07-30T21:18:31Z</dcterms:created>
  <dcterms:modified xsi:type="dcterms:W3CDTF">2026-07-30T21:18:31Z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