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19" w:rsidRDefault="00F219FF" w:rsidP="00F219FF">
      <w:pPr>
        <w:pStyle w:val="a5"/>
      </w:pPr>
      <w:r w:rsidRPr="00F219FF">
        <w:t xml:space="preserve">CCASS Holding Patterns Analysis </w:t>
      </w:r>
    </w:p>
    <w:p w:rsidR="00037C9D" w:rsidRDefault="00037C9D" w:rsidP="0071380B">
      <w:pPr>
        <w:pStyle w:val="1"/>
      </w:pPr>
      <w:r>
        <w:rPr>
          <w:rFonts w:hint="eastAsia"/>
        </w:rPr>
        <w:t>外资进入中国的途径</w:t>
      </w:r>
    </w:p>
    <w:p w:rsidR="0071380B" w:rsidRDefault="00A41CAB">
      <w:r>
        <w:rPr>
          <w:rFonts w:hint="eastAsia"/>
        </w:rPr>
        <w:t>两种</w:t>
      </w:r>
      <w:r w:rsidR="0071380B">
        <w:rPr>
          <w:rFonts w:hint="eastAsia"/>
        </w:rPr>
        <w:t>比较</w:t>
      </w:r>
    </w:p>
    <w:p w:rsidR="00037C9D" w:rsidRDefault="00037C9D">
      <w:r>
        <w:rPr>
          <w:rFonts w:hint="eastAsia"/>
        </w:rPr>
        <w:t>QFII</w:t>
      </w:r>
      <w:r>
        <w:rPr>
          <w:rFonts w:hint="eastAsia"/>
        </w:rPr>
        <w:t>：合格境外投资者</w:t>
      </w:r>
      <w:r w:rsidR="008909FD">
        <w:rPr>
          <w:rFonts w:hint="eastAsia"/>
        </w:rPr>
        <w:t>通过委托境内银行和券商等中介机构，在</w:t>
      </w:r>
      <w:r w:rsidR="008909FD">
        <w:rPr>
          <w:rFonts w:hint="eastAsia"/>
        </w:rPr>
        <w:t>A</w:t>
      </w:r>
      <w:r w:rsidR="008909FD">
        <w:rPr>
          <w:rFonts w:hint="eastAsia"/>
        </w:rPr>
        <w:t>股市场进行投资。</w:t>
      </w:r>
    </w:p>
    <w:p w:rsidR="00037C9D" w:rsidRDefault="00037C9D">
      <w:r>
        <w:rPr>
          <w:rFonts w:hint="eastAsia"/>
        </w:rPr>
        <w:t>陆港通：</w:t>
      </w:r>
      <w:r w:rsidR="008909FD">
        <w:rPr>
          <w:rFonts w:hint="eastAsia"/>
        </w:rPr>
        <w:t>境外投资者通过在两地设立的子公司，直接向两地交易所下单。</w:t>
      </w:r>
    </w:p>
    <w:p w:rsidR="0035435E" w:rsidRDefault="0035435E"/>
    <w:p w:rsidR="00305997" w:rsidRDefault="00305997" w:rsidP="0071380B">
      <w:pPr>
        <w:pStyle w:val="1"/>
      </w:pPr>
      <w:r>
        <w:rPr>
          <w:rFonts w:hint="eastAsia"/>
        </w:rPr>
        <w:t>陆股通替代</w:t>
      </w:r>
      <w:r>
        <w:rPr>
          <w:rFonts w:hint="eastAsia"/>
        </w:rPr>
        <w:t>QFII</w:t>
      </w:r>
      <w:r>
        <w:rPr>
          <w:rFonts w:hint="eastAsia"/>
        </w:rPr>
        <w:t>已经成为趋势</w:t>
      </w:r>
    </w:p>
    <w:p w:rsidR="00305997" w:rsidRDefault="00305997">
      <w:r>
        <w:rPr>
          <w:rFonts w:hint="eastAsia"/>
        </w:rPr>
        <w:t>陆股通三大正在显现的优点</w:t>
      </w:r>
      <w:r>
        <w:t>：</w:t>
      </w:r>
    </w:p>
    <w:p w:rsidR="00305997" w:rsidRDefault="00305997" w:rsidP="00305997">
      <w:pPr>
        <w:pStyle w:val="a3"/>
        <w:numPr>
          <w:ilvl w:val="0"/>
          <w:numId w:val="1"/>
        </w:numPr>
      </w:pPr>
      <w:r>
        <w:rPr>
          <w:rFonts w:hint="eastAsia"/>
        </w:rPr>
        <w:t>成本低、交易便捷、机制灵活；</w:t>
      </w:r>
      <w:r>
        <w:rPr>
          <w:rFonts w:hint="eastAsia"/>
        </w:rPr>
        <w:t>QFII</w:t>
      </w:r>
      <w:r>
        <w:rPr>
          <w:rFonts w:hint="eastAsia"/>
        </w:rPr>
        <w:t>需要审批</w:t>
      </w:r>
    </w:p>
    <w:p w:rsidR="00305997" w:rsidRDefault="00305997" w:rsidP="00305997">
      <w:pPr>
        <w:pStyle w:val="a3"/>
        <w:numPr>
          <w:ilvl w:val="0"/>
          <w:numId w:val="1"/>
        </w:numPr>
      </w:pPr>
      <w:r>
        <w:rPr>
          <w:rFonts w:hint="eastAsia"/>
        </w:rPr>
        <w:t>陆股通额度不断放宽，已经不再是交易瓶颈</w:t>
      </w:r>
    </w:p>
    <w:p w:rsidR="00305997" w:rsidRDefault="00305997" w:rsidP="00305997">
      <w:pPr>
        <w:pStyle w:val="a3"/>
        <w:numPr>
          <w:ilvl w:val="0"/>
          <w:numId w:val="1"/>
        </w:numPr>
      </w:pPr>
      <w:r>
        <w:rPr>
          <w:rFonts w:hint="eastAsia"/>
        </w:rPr>
        <w:t>陆港通投资标的已经基本和</w:t>
      </w:r>
      <w:r>
        <w:rPr>
          <w:rFonts w:hint="eastAsia"/>
        </w:rPr>
        <w:t>QFII</w:t>
      </w:r>
      <w:r>
        <w:rPr>
          <w:rFonts w:hint="eastAsia"/>
        </w:rPr>
        <w:t>趋同，覆盖大多数</w:t>
      </w:r>
      <w:r>
        <w:rPr>
          <w:rFonts w:hint="eastAsia"/>
        </w:rPr>
        <w:t>A</w:t>
      </w:r>
      <w:r>
        <w:rPr>
          <w:rFonts w:hint="eastAsia"/>
        </w:rPr>
        <w:t>股核心公司</w:t>
      </w:r>
    </w:p>
    <w:p w:rsidR="006D737C" w:rsidRDefault="007C549A" w:rsidP="006D737C">
      <w:r>
        <w:rPr>
          <w:noProof/>
        </w:rPr>
        <w:drawing>
          <wp:anchor distT="0" distB="0" distL="114300" distR="114300" simplePos="0" relativeHeight="251658240" behindDoc="1" locked="0" layoutInCell="1" allowOverlap="1" wp14:anchorId="7EC5F8A7" wp14:editId="0BE12A56">
            <wp:simplePos x="0" y="0"/>
            <wp:positionH relativeFrom="column">
              <wp:posOffset>2717165</wp:posOffset>
            </wp:positionH>
            <wp:positionV relativeFrom="paragraph">
              <wp:posOffset>155575</wp:posOffset>
            </wp:positionV>
            <wp:extent cx="3201670" cy="1596390"/>
            <wp:effectExtent l="0" t="0" r="0" b="3810"/>
            <wp:wrapThrough wrapText="bothSides">
              <wp:wrapPolygon edited="0">
                <wp:start x="0" y="0"/>
                <wp:lineTo x="0" y="21394"/>
                <wp:lineTo x="21463" y="21394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37C" w:rsidRDefault="006D737C" w:rsidP="006D737C">
      <w:r>
        <w:rPr>
          <w:rFonts w:hint="eastAsia"/>
        </w:rPr>
        <w:t>陆股通主要有三种托管机构：</w:t>
      </w:r>
    </w:p>
    <w:p w:rsidR="006D737C" w:rsidRDefault="006D737C" w:rsidP="006D737C">
      <w:pPr>
        <w:pStyle w:val="a3"/>
        <w:numPr>
          <w:ilvl w:val="0"/>
          <w:numId w:val="2"/>
        </w:numPr>
      </w:pPr>
      <w:r>
        <w:rPr>
          <w:rFonts w:hint="eastAsia"/>
        </w:rPr>
        <w:t>中资机构：假外资的可能性较大</w:t>
      </w:r>
    </w:p>
    <w:p w:rsidR="006D737C" w:rsidRDefault="006D737C" w:rsidP="006D737C">
      <w:pPr>
        <w:pStyle w:val="a3"/>
        <w:numPr>
          <w:ilvl w:val="0"/>
          <w:numId w:val="2"/>
        </w:numPr>
      </w:pPr>
      <w:r>
        <w:rPr>
          <w:rFonts w:hint="eastAsia"/>
        </w:rPr>
        <w:t>外资银行：长线配置型资金</w:t>
      </w:r>
    </w:p>
    <w:p w:rsidR="006D737C" w:rsidRDefault="006D737C" w:rsidP="006D737C">
      <w:pPr>
        <w:pStyle w:val="a3"/>
        <w:numPr>
          <w:ilvl w:val="0"/>
          <w:numId w:val="2"/>
        </w:numPr>
      </w:pPr>
      <w:r>
        <w:rPr>
          <w:rFonts w:hint="eastAsia"/>
        </w:rPr>
        <w:t>外资投行：短线交易型资金（对冲</w:t>
      </w:r>
      <w:r w:rsidR="007C549A">
        <w:rPr>
          <w:rFonts w:hint="eastAsia"/>
        </w:rPr>
        <w:t>、</w:t>
      </w:r>
      <w:r>
        <w:rPr>
          <w:rFonts w:hint="eastAsia"/>
        </w:rPr>
        <w:t>量化基金）</w:t>
      </w:r>
    </w:p>
    <w:p w:rsidR="00A33585" w:rsidRDefault="00A33585" w:rsidP="00A33585"/>
    <w:p w:rsidR="002873B5" w:rsidRDefault="002873B5" w:rsidP="00A33585"/>
    <w:p w:rsidR="002873B5" w:rsidRDefault="002873B5" w:rsidP="002873B5">
      <w:pPr>
        <w:pStyle w:val="1"/>
      </w:pPr>
      <w:r>
        <w:t>Time</w:t>
      </w:r>
      <w:r>
        <w:rPr>
          <w:rFonts w:hint="eastAsia"/>
        </w:rPr>
        <w:t xml:space="preserve"> Series</w:t>
      </w:r>
    </w:p>
    <w:p w:rsidR="002873B5" w:rsidRDefault="005D4945" w:rsidP="00F219FF">
      <w:pPr>
        <w:pStyle w:val="2"/>
      </w:pPr>
      <w:r>
        <w:rPr>
          <w:rFonts w:hint="eastAsia"/>
        </w:rPr>
        <w:t>Total Holding Market Value</w:t>
      </w:r>
    </w:p>
    <w:p w:rsidR="005D4945" w:rsidRPr="005D4945" w:rsidRDefault="005D4945" w:rsidP="005D4945"/>
    <w:p w:rsidR="002873B5" w:rsidRDefault="002873B5" w:rsidP="00A33585"/>
    <w:p w:rsidR="00305997" w:rsidRDefault="000073CC" w:rsidP="000073CC">
      <w:pPr>
        <w:pStyle w:val="1"/>
      </w:pPr>
      <w:r>
        <w:rPr>
          <w:rFonts w:hint="eastAsia"/>
        </w:rPr>
        <w:lastRenderedPageBreak/>
        <w:t>关键节点的持仓变化</w:t>
      </w:r>
    </w:p>
    <w:p w:rsidR="00D567AD" w:rsidRDefault="00436506" w:rsidP="00D567AD">
      <w:pPr>
        <w:pStyle w:val="2"/>
      </w:pPr>
      <w:r>
        <w:rPr>
          <w:rFonts w:hint="eastAsia"/>
        </w:rPr>
        <w:t>Evidence from MSCI</w:t>
      </w:r>
      <w:r w:rsidR="008C03C9">
        <w:rPr>
          <w:rFonts w:hint="eastAsia"/>
        </w:rPr>
        <w:t xml:space="preserve"> Rebalance May</w:t>
      </w:r>
      <w:r w:rsidR="00D567AD">
        <w:rPr>
          <w:rFonts w:hint="eastAsia"/>
        </w:rPr>
        <w:t xml:space="preserve"> </w:t>
      </w:r>
      <w:r w:rsidR="008C03C9">
        <w:rPr>
          <w:rFonts w:hint="eastAsia"/>
        </w:rPr>
        <w:t>2018</w:t>
      </w:r>
    </w:p>
    <w:p w:rsidR="00D567AD" w:rsidRDefault="00D567AD" w:rsidP="00D567AD">
      <w:pPr>
        <w:pStyle w:val="3"/>
      </w:pPr>
      <w:bookmarkStart w:id="0" w:name="_GoBack"/>
      <w:bookmarkEnd w:id="0"/>
    </w:p>
    <w:p w:rsidR="00D567AD" w:rsidRDefault="00D567AD" w:rsidP="000073CC">
      <w:pPr>
        <w:pStyle w:val="2"/>
        <w:rPr>
          <w:rFonts w:hint="eastAsia"/>
        </w:rPr>
      </w:pPr>
    </w:p>
    <w:p w:rsidR="00DA1815" w:rsidRPr="00DA1815" w:rsidRDefault="00DA1815" w:rsidP="00DA1815">
      <w:pPr>
        <w:rPr>
          <w:rFonts w:hint="eastAsia"/>
        </w:rPr>
      </w:pPr>
    </w:p>
    <w:p w:rsidR="000073CC" w:rsidRDefault="00D3466C" w:rsidP="000073CC">
      <w:pPr>
        <w:pStyle w:val="2"/>
      </w:pPr>
      <w:r>
        <w:rPr>
          <w:rFonts w:hint="eastAsia"/>
        </w:rPr>
        <w:t xml:space="preserve">Evidence from </w:t>
      </w:r>
      <w:r w:rsidR="00AD1148">
        <w:rPr>
          <w:rFonts w:hint="eastAsia"/>
        </w:rPr>
        <w:t>A50 Rebalance June 2019</w:t>
      </w:r>
    </w:p>
    <w:p w:rsidR="00FC0E3E" w:rsidRDefault="00FD54C9" w:rsidP="00FD54C9">
      <w:pPr>
        <w:pStyle w:val="3"/>
      </w:pPr>
      <w:r>
        <w:rPr>
          <w:rFonts w:hint="eastAsia"/>
        </w:rPr>
        <w:t xml:space="preserve">Standard Chartered </w:t>
      </w:r>
      <w:proofErr w:type="gramStart"/>
      <w:r w:rsidRPr="00FD54C9">
        <w:rPr>
          <w:rFonts w:hint="eastAsia"/>
        </w:rPr>
        <w:t>渣打银行</w:t>
      </w:r>
      <w:r w:rsidRPr="00FD54C9">
        <w:rPr>
          <w:rFonts w:hint="eastAsia"/>
        </w:rPr>
        <w:t>(</w:t>
      </w:r>
      <w:proofErr w:type="gramEnd"/>
      <w:r w:rsidRPr="00FD54C9">
        <w:rPr>
          <w:rFonts w:hint="eastAsia"/>
        </w:rPr>
        <w:t>香港</w:t>
      </w:r>
      <w:r w:rsidRPr="00FD54C9">
        <w:rPr>
          <w:rFonts w:hint="eastAsia"/>
        </w:rPr>
        <w:t>)</w:t>
      </w:r>
      <w:r w:rsidRPr="00FD54C9">
        <w:rPr>
          <w:rFonts w:hint="eastAsia"/>
        </w:rPr>
        <w:t>有限公司</w:t>
      </w:r>
    </w:p>
    <w:p w:rsidR="00FD54C9" w:rsidRDefault="00FD54C9" w:rsidP="00FD54C9">
      <w:r>
        <w:rPr>
          <w:rFonts w:hint="eastAsia"/>
        </w:rPr>
        <w:t xml:space="preserve">Standard Chartered </w:t>
      </w:r>
      <w:r w:rsidR="00E86933">
        <w:rPr>
          <w:rFonts w:hint="eastAsia"/>
        </w:rPr>
        <w:t>是一个典型的</w:t>
      </w:r>
      <w:r>
        <w:rPr>
          <w:rFonts w:hint="eastAsia"/>
        </w:rPr>
        <w:t>Index Tracker</w:t>
      </w:r>
      <w:r w:rsidR="00E86933">
        <w:rPr>
          <w:rFonts w:hint="eastAsia"/>
        </w:rPr>
        <w:t>，且其最新的</w:t>
      </w:r>
      <w:r w:rsidR="0064406D">
        <w:rPr>
          <w:rFonts w:hint="eastAsia"/>
        </w:rPr>
        <w:t>持股占比为</w:t>
      </w:r>
      <w:r w:rsidR="0064406D">
        <w:rPr>
          <w:rFonts w:hint="eastAsia"/>
        </w:rPr>
        <w:t>13.1%</w:t>
      </w:r>
      <w:r w:rsidR="0064406D">
        <w:rPr>
          <w:rFonts w:hint="eastAsia"/>
        </w:rPr>
        <w:t>，是陆港通中第二大的玩家。</w:t>
      </w:r>
    </w:p>
    <w:p w:rsidR="00FD54C9" w:rsidRPr="00FD54C9" w:rsidRDefault="00FD54C9" w:rsidP="00FD54C9">
      <w:r>
        <w:rPr>
          <w:rFonts w:hint="eastAsia"/>
        </w:rPr>
        <w:t>我们可以看到在</w:t>
      </w:r>
      <w:r w:rsidR="00DC1491">
        <w:rPr>
          <w:rFonts w:hint="eastAsia"/>
        </w:rPr>
        <w:t>2018-06, 2019-06</w:t>
      </w:r>
      <w:r w:rsidR="00DC1491">
        <w:rPr>
          <w:rFonts w:hint="eastAsia"/>
        </w:rPr>
        <w:t>等几个关键时间点，其持股数均出现</w:t>
      </w:r>
      <w:r w:rsidR="00AD1148">
        <w:rPr>
          <w:rFonts w:hint="eastAsia"/>
        </w:rPr>
        <w:t>“</w:t>
      </w:r>
      <w:r w:rsidR="00DC1491">
        <w:rPr>
          <w:rFonts w:hint="eastAsia"/>
        </w:rPr>
        <w:t>同步性</w:t>
      </w:r>
      <w:r w:rsidR="00AD1148">
        <w:rPr>
          <w:rFonts w:hint="eastAsia"/>
        </w:rPr>
        <w:t>”</w:t>
      </w:r>
      <w:r w:rsidR="00DC1491">
        <w:rPr>
          <w:rFonts w:hint="eastAsia"/>
        </w:rPr>
        <w:t>增长。</w:t>
      </w:r>
    </w:p>
    <w:p w:rsidR="00FD54C9" w:rsidRDefault="00FD54C9" w:rsidP="00FD54C9">
      <w:r>
        <w:rPr>
          <w:noProof/>
        </w:rPr>
        <w:drawing>
          <wp:inline distT="0" distB="0" distL="0" distR="0">
            <wp:extent cx="5449824" cy="2915545"/>
            <wp:effectExtent l="0" t="0" r="0" b="0"/>
            <wp:docPr id="4" name="图片 4" descr="\\UBSPROD.MSAD.UBS.NET\UserData\wangmaa\RF\Desktop\20190710 CCASS Holding Patterns\img\holding shares - 渣打银行(香港)有限公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UBSPROD.MSAD.UBS.NET\UserData\wangmaa\RF\Desktop\20190710 CCASS Holding Patterns\img\holding shares - 渣打银行(香港)有限公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39" cy="291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48" w:rsidRDefault="00AD1148" w:rsidP="00FD54C9">
      <w:r>
        <w:rPr>
          <w:rFonts w:hint="eastAsia"/>
        </w:rPr>
        <w:t>以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 xml:space="preserve">A50 Rebalance Event </w:t>
      </w:r>
      <w:r>
        <w:rPr>
          <w:rFonts w:hint="eastAsia"/>
        </w:rPr>
        <w:t>为例，</w:t>
      </w:r>
      <w:r w:rsidR="00E86933">
        <w:rPr>
          <w:rFonts w:hint="eastAsia"/>
        </w:rPr>
        <w:t>在</w:t>
      </w:r>
      <w:r w:rsidR="00E86933">
        <w:rPr>
          <w:rFonts w:hint="eastAsia"/>
        </w:rPr>
        <w:t>2019-06-11</w:t>
      </w:r>
      <w:r w:rsidR="00E86933">
        <w:rPr>
          <w:rFonts w:hint="eastAsia"/>
        </w:rPr>
        <w:t>到</w:t>
      </w:r>
      <w:r w:rsidR="00E86933">
        <w:rPr>
          <w:rFonts w:hint="eastAsia"/>
        </w:rPr>
        <w:t>2019-06-24</w:t>
      </w:r>
      <w:r w:rsidR="00E86933">
        <w:rPr>
          <w:rFonts w:hint="eastAsia"/>
        </w:rPr>
        <w:t>这段时间内，</w:t>
      </w:r>
      <w:r w:rsidR="00E86933">
        <w:rPr>
          <w:rFonts w:hint="eastAsia"/>
        </w:rPr>
        <w:t>Standard Chartered</w:t>
      </w:r>
      <w:r w:rsidR="00B824C6">
        <w:rPr>
          <w:rFonts w:hint="eastAsia"/>
        </w:rPr>
        <w:t>的持仓前五名的股票的变化量和</w:t>
      </w:r>
      <w:r w:rsidR="00B824C6">
        <w:rPr>
          <w:rFonts w:hint="eastAsia"/>
        </w:rPr>
        <w:t>A50</w:t>
      </w:r>
      <w:r w:rsidR="00B824C6">
        <w:rPr>
          <w:rFonts w:hint="eastAsia"/>
        </w:rPr>
        <w:t>指数</w:t>
      </w:r>
      <w:r w:rsidR="00C0646B">
        <w:rPr>
          <w:rFonts w:hint="eastAsia"/>
        </w:rPr>
        <w:t>权重</w:t>
      </w:r>
      <w:r w:rsidR="00B824C6">
        <w:rPr>
          <w:rFonts w:hint="eastAsia"/>
        </w:rPr>
        <w:t>变化</w:t>
      </w:r>
      <w:r w:rsidR="00C0646B">
        <w:rPr>
          <w:rFonts w:hint="eastAsia"/>
        </w:rPr>
        <w:t>量几乎</w:t>
      </w:r>
      <w:r w:rsidR="00B824C6">
        <w:rPr>
          <w:rFonts w:hint="eastAsia"/>
        </w:rPr>
        <w:t>吻合。</w:t>
      </w:r>
    </w:p>
    <w:p w:rsidR="00C0646B" w:rsidRDefault="002838DB" w:rsidP="00FD54C9">
      <w:r>
        <w:rPr>
          <w:rFonts w:hint="eastAsia"/>
        </w:rPr>
        <w:t>此外，</w:t>
      </w:r>
      <w:r w:rsidR="00C0646B">
        <w:rPr>
          <w:rFonts w:hint="eastAsia"/>
        </w:rPr>
        <w:t>其他持股的持仓大部分都有所下降，</w:t>
      </w:r>
      <w:r>
        <w:rPr>
          <w:rFonts w:hint="eastAsia"/>
        </w:rPr>
        <w:t>而指数权重普遍上升。如果剔除指数权重反向变化，则说明该时间段内</w:t>
      </w:r>
      <w:r>
        <w:rPr>
          <w:rFonts w:hint="eastAsia"/>
        </w:rPr>
        <w:t>Standard Chartered</w:t>
      </w:r>
      <w:r>
        <w:rPr>
          <w:rFonts w:hint="eastAsia"/>
        </w:rPr>
        <w:t>北向资金整体净流出。</w:t>
      </w:r>
    </w:p>
    <w:p w:rsidR="00D50EDA" w:rsidRDefault="00D50EDA" w:rsidP="00E86933">
      <w:pPr>
        <w:ind w:right="-720" w:hanging="720"/>
      </w:pPr>
      <w:r>
        <w:rPr>
          <w:noProof/>
        </w:rPr>
        <w:lastRenderedPageBreak/>
        <w:drawing>
          <wp:inline distT="0" distB="0" distL="0" distR="0" wp14:anchorId="25A85868" wp14:editId="46544F0B">
            <wp:extent cx="3430829" cy="1970641"/>
            <wp:effectExtent l="0" t="0" r="0" b="0"/>
            <wp:docPr id="7" name="图片 7" descr="\\UBSPROD.MSAD.UBS.NET\UserData\wangmaa\RF\Desktop\20190710 CCASS Holding Patterns\img\changes in position - June 2019 - 渣打银行(香港)有限公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UBSPROD.MSAD.UBS.NET\UserData\wangmaa\RF\Desktop\20190710 CCASS Holding Patterns\img\changes in position - June 2019 - 渣打银行(香港)有限公司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41" cy="197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EDA">
        <w:rPr>
          <w:noProof/>
        </w:rPr>
        <w:t xml:space="preserve"> </w:t>
      </w:r>
      <w:r w:rsidR="00E86933">
        <w:rPr>
          <w:noProof/>
        </w:rPr>
        <w:drawing>
          <wp:inline distT="0" distB="0" distL="0" distR="0" wp14:anchorId="2B693ADB" wp14:editId="7F039F93">
            <wp:extent cx="2918128" cy="2003728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54C9" w:rsidRDefault="00D3466C" w:rsidP="00D50EDA">
      <w:pPr>
        <w:pStyle w:val="2"/>
      </w:pPr>
      <w:r>
        <w:rPr>
          <w:rFonts w:hint="eastAsia"/>
        </w:rPr>
        <w:t xml:space="preserve">Evidence from </w:t>
      </w:r>
      <w:r w:rsidR="00D50EDA">
        <w:rPr>
          <w:rFonts w:hint="eastAsia"/>
        </w:rPr>
        <w:t>CSI300 Rebalance June 2019</w:t>
      </w:r>
    </w:p>
    <w:p w:rsidR="00D50EDA" w:rsidRDefault="00D50EDA" w:rsidP="00D50EDA">
      <w:pPr>
        <w:pStyle w:val="3"/>
      </w:pPr>
      <w:r>
        <w:rPr>
          <w:rFonts w:hint="eastAsia"/>
        </w:rPr>
        <w:t>300498</w:t>
      </w:r>
      <w:proofErr w:type="gramStart"/>
      <w:r>
        <w:rPr>
          <w:rFonts w:hint="eastAsia"/>
        </w:rPr>
        <w:t>.SZ</w:t>
      </w:r>
      <w:proofErr w:type="gramEnd"/>
      <w:r w:rsidR="00F94E2C">
        <w:rPr>
          <w:rFonts w:hint="eastAsia"/>
        </w:rPr>
        <w:t>（</w:t>
      </w:r>
      <w:r w:rsidR="00D3466C" w:rsidRPr="00D3466C">
        <w:rPr>
          <w:rFonts w:hint="eastAsia"/>
        </w:rPr>
        <w:t>温氏股份</w:t>
      </w:r>
      <w:r w:rsidR="00F94E2C">
        <w:rPr>
          <w:rFonts w:hint="eastAsia"/>
        </w:rPr>
        <w:t>）</w:t>
      </w:r>
    </w:p>
    <w:p w:rsidR="00B40854" w:rsidRDefault="00F94E2C" w:rsidP="00B40854">
      <w:r>
        <w:rPr>
          <w:rFonts w:hint="eastAsia"/>
        </w:rPr>
        <w:t>在</w:t>
      </w:r>
      <w:r>
        <w:rPr>
          <w:rFonts w:hint="eastAsia"/>
        </w:rPr>
        <w:t>June 2019</w:t>
      </w:r>
      <w:r>
        <w:rPr>
          <w:rFonts w:hint="eastAsia"/>
        </w:rPr>
        <w:t>的成分股权重调整中，</w:t>
      </w:r>
      <w:r w:rsidRPr="00F94E2C">
        <w:rPr>
          <w:rFonts w:hint="eastAsia"/>
        </w:rPr>
        <w:t>300498.SZ</w:t>
      </w:r>
      <w:r>
        <w:rPr>
          <w:rFonts w:hint="eastAsia"/>
        </w:rPr>
        <w:t>（</w:t>
      </w:r>
      <w:r w:rsidRPr="00F94E2C">
        <w:rPr>
          <w:rFonts w:hint="eastAsia"/>
        </w:rPr>
        <w:t>温氏股份</w:t>
      </w:r>
      <w:r>
        <w:rPr>
          <w:rFonts w:hint="eastAsia"/>
        </w:rPr>
        <w:t>）首次被纳入指数编制，权重一次性达到</w:t>
      </w:r>
      <w:r>
        <w:rPr>
          <w:rFonts w:hint="eastAsia"/>
        </w:rPr>
        <w:t>1.187%</w:t>
      </w:r>
      <w:r>
        <w:rPr>
          <w:rFonts w:hint="eastAsia"/>
        </w:rPr>
        <w:t>。由此推断，</w:t>
      </w:r>
      <w:r w:rsidR="00F5179F">
        <w:rPr>
          <w:rFonts w:hint="eastAsia"/>
        </w:rPr>
        <w:t>理论上</w:t>
      </w:r>
      <w:r>
        <w:rPr>
          <w:rFonts w:hint="eastAsia"/>
        </w:rPr>
        <w:t>在</w:t>
      </w:r>
      <w:r>
        <w:rPr>
          <w:rFonts w:hint="eastAsia"/>
        </w:rPr>
        <w:t>14 June</w:t>
      </w:r>
      <w:r w:rsidR="00F5179F">
        <w:rPr>
          <w:rFonts w:hint="eastAsia"/>
        </w:rPr>
        <w:t>当天所有</w:t>
      </w:r>
      <w:r w:rsidR="00F5179F">
        <w:rPr>
          <w:rFonts w:hint="eastAsia"/>
        </w:rPr>
        <w:t>index tracker</w:t>
      </w:r>
      <w:r w:rsidR="00F5179F">
        <w:rPr>
          <w:rFonts w:hint="eastAsia"/>
        </w:rPr>
        <w:t>都会在收盘前买入该股票，将会出现一个很大的买单量，并且尾盘股价将会快速拉升。</w:t>
      </w:r>
    </w:p>
    <w:p w:rsidR="00AE109A" w:rsidRDefault="00F5179F" w:rsidP="00B40854">
      <w:pPr>
        <w:rPr>
          <w:rFonts w:hint="eastAsia"/>
        </w:rPr>
      </w:pPr>
      <w:r>
        <w:rPr>
          <w:rFonts w:hint="eastAsia"/>
        </w:rPr>
        <w:t>现实情况是</w:t>
      </w:r>
      <w:r w:rsidR="00CD5E15">
        <w:rPr>
          <w:rFonts w:hint="eastAsia"/>
        </w:rPr>
        <w:t>市场中</w:t>
      </w:r>
      <w:r>
        <w:rPr>
          <w:rFonts w:hint="eastAsia"/>
        </w:rPr>
        <w:t>存在许多“抢跑者”，</w:t>
      </w:r>
      <w:r w:rsidR="00CD5E15">
        <w:rPr>
          <w:rFonts w:hint="eastAsia"/>
        </w:rPr>
        <w:t>通过提前买入股票，并在</w:t>
      </w:r>
      <w:r w:rsidR="00CD5E15">
        <w:rPr>
          <w:rFonts w:hint="eastAsia"/>
        </w:rPr>
        <w:t>14 June</w:t>
      </w:r>
      <w:r w:rsidR="00CD5E15">
        <w:rPr>
          <w:rFonts w:hint="eastAsia"/>
        </w:rPr>
        <w:t>当天收盘之前卖出而获利。</w:t>
      </w:r>
    </w:p>
    <w:p w:rsidR="00726574" w:rsidRDefault="00E038A5" w:rsidP="00B40854">
      <w:pPr>
        <w:rPr>
          <w:rFonts w:hint="eastAsia"/>
        </w:rPr>
      </w:pPr>
      <w:r>
        <w:t>首先筛选出</w:t>
      </w:r>
      <w:r w:rsidRPr="00D3466C">
        <w:rPr>
          <w:rFonts w:hint="eastAsia"/>
        </w:rPr>
        <w:t>温氏股份</w:t>
      </w:r>
      <w:r>
        <w:rPr>
          <w:rFonts w:hint="eastAsia"/>
        </w:rPr>
        <w:t>的</w:t>
      </w:r>
      <w:r>
        <w:t>前</w:t>
      </w:r>
      <w:r>
        <w:rPr>
          <w:rFonts w:hint="eastAsia"/>
        </w:rPr>
        <w:t>15</w:t>
      </w:r>
      <w:r>
        <w:rPr>
          <w:rFonts w:hint="eastAsia"/>
        </w:rPr>
        <w:t>大“陆股通股东”，均为中外大型投行。</w:t>
      </w:r>
    </w:p>
    <w:p w:rsidR="00CD5E15" w:rsidRDefault="00726574" w:rsidP="00CD5E15">
      <w:pPr>
        <w:rPr>
          <w:rFonts w:hint="eastAsia"/>
        </w:rPr>
      </w:pPr>
      <w:r>
        <w:rPr>
          <w:rFonts w:hint="eastAsia"/>
        </w:rPr>
        <w:t>参与者</w:t>
      </w:r>
      <w:r w:rsidR="00CD5E15">
        <w:rPr>
          <w:rFonts w:hint="eastAsia"/>
        </w:rPr>
        <w:t>有谁？</w:t>
      </w:r>
      <w:r>
        <w:rPr>
          <w:rFonts w:hint="eastAsia"/>
        </w:rPr>
        <w:t>抢跑发生的时间？</w:t>
      </w:r>
    </w:p>
    <w:p w:rsidR="00726574" w:rsidRDefault="000E3A11" w:rsidP="00CD5E15">
      <w:pPr>
        <w:rPr>
          <w:rFonts w:hint="eastAsia"/>
        </w:rPr>
      </w:pPr>
      <w:r>
        <w:rPr>
          <w:rFonts w:hint="eastAsia"/>
        </w:rPr>
        <w:t xml:space="preserve">Phrase 1: 6 </w:t>
      </w:r>
      <w:r>
        <w:t>–</w:t>
      </w:r>
      <w:r>
        <w:rPr>
          <w:rFonts w:hint="eastAsia"/>
        </w:rPr>
        <w:t xml:space="preserve"> 12 June</w:t>
      </w:r>
    </w:p>
    <w:p w:rsidR="00CD5E15" w:rsidRDefault="000E3A11" w:rsidP="00CD5E15">
      <w:pPr>
        <w:rPr>
          <w:rFonts w:hint="eastAsia"/>
        </w:rPr>
      </w:pPr>
      <w:r>
        <w:rPr>
          <w:rFonts w:hint="eastAsia"/>
        </w:rPr>
        <w:t>UBS</w:t>
      </w:r>
      <w:r w:rsidR="00726574">
        <w:rPr>
          <w:rFonts w:hint="eastAsia"/>
        </w:rPr>
        <w:t xml:space="preserve">, </w:t>
      </w:r>
      <w:r w:rsidR="00726574">
        <w:rPr>
          <w:rFonts w:hint="eastAsia"/>
        </w:rPr>
        <w:t>中信</w:t>
      </w:r>
      <w:r>
        <w:rPr>
          <w:rFonts w:hint="eastAsia"/>
        </w:rPr>
        <w:t>，法国兴业：买入</w:t>
      </w:r>
    </w:p>
    <w:p w:rsidR="000E3A11" w:rsidRDefault="000E3A11" w:rsidP="000E3A11">
      <w:pPr>
        <w:rPr>
          <w:rFonts w:hint="eastAsia"/>
        </w:rPr>
      </w:pPr>
      <w:r>
        <w:rPr>
          <w:rFonts w:hint="eastAsia"/>
        </w:rPr>
        <w:t xml:space="preserve">Phrase 2: 12 </w:t>
      </w:r>
      <w:r>
        <w:t>–</w:t>
      </w:r>
      <w:r>
        <w:rPr>
          <w:rFonts w:hint="eastAsia"/>
        </w:rPr>
        <w:t xml:space="preserve"> 13 June</w:t>
      </w:r>
    </w:p>
    <w:p w:rsidR="000E3A11" w:rsidRDefault="000E3A11" w:rsidP="000E3A11">
      <w:pPr>
        <w:rPr>
          <w:rFonts w:hint="eastAsia"/>
        </w:rPr>
      </w:pPr>
      <w:r>
        <w:rPr>
          <w:rFonts w:hint="eastAsia"/>
        </w:rPr>
        <w:t>UBS</w:t>
      </w:r>
      <w:r>
        <w:rPr>
          <w:rFonts w:hint="eastAsia"/>
        </w:rPr>
        <w:t>继续买入，兴业、中信开始卖出，</w:t>
      </w:r>
      <w:r>
        <w:rPr>
          <w:rFonts w:hint="eastAsia"/>
        </w:rPr>
        <w:t>CS</w:t>
      </w:r>
      <w:r>
        <w:rPr>
          <w:rFonts w:hint="eastAsia"/>
        </w:rPr>
        <w:t>开始买入</w:t>
      </w:r>
    </w:p>
    <w:p w:rsidR="000E3A11" w:rsidRDefault="000E3A11" w:rsidP="000E3A11">
      <w:pPr>
        <w:rPr>
          <w:rFonts w:hint="eastAsia"/>
        </w:rPr>
      </w:pPr>
      <w:r>
        <w:rPr>
          <w:rFonts w:hint="eastAsia"/>
        </w:rPr>
        <w:t xml:space="preserve">Phrase 3: 13 </w:t>
      </w:r>
      <w:r>
        <w:t>–</w:t>
      </w:r>
      <w:r>
        <w:rPr>
          <w:rFonts w:hint="eastAsia"/>
        </w:rPr>
        <w:t xml:space="preserve"> 14 June</w:t>
      </w:r>
    </w:p>
    <w:p w:rsidR="000E3A11" w:rsidRDefault="000E3A11" w:rsidP="000E3A11">
      <w:pPr>
        <w:rPr>
          <w:rFonts w:hint="eastAsia"/>
        </w:rPr>
      </w:pPr>
      <w:r>
        <w:rPr>
          <w:rFonts w:hint="eastAsia"/>
        </w:rPr>
        <w:t>UBS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</w:rPr>
        <w:t>、兴业</w:t>
      </w:r>
      <w:r w:rsidR="001F6727">
        <w:rPr>
          <w:rFonts w:hint="eastAsia"/>
        </w:rPr>
        <w:t>、</w:t>
      </w:r>
      <w:r w:rsidR="001F6727">
        <w:rPr>
          <w:rFonts w:hint="eastAsia"/>
        </w:rPr>
        <w:t>Morgan</w:t>
      </w:r>
      <w:r w:rsidR="001F6727">
        <w:rPr>
          <w:rFonts w:hint="eastAsia"/>
        </w:rPr>
        <w:t>系大量卖出；前</w:t>
      </w:r>
      <w:r w:rsidR="001F6727">
        <w:rPr>
          <w:rFonts w:hint="eastAsia"/>
        </w:rPr>
        <w:t>15</w:t>
      </w:r>
      <w:r w:rsidR="001F6727">
        <w:rPr>
          <w:rFonts w:hint="eastAsia"/>
        </w:rPr>
        <w:t>大持股人中，</w:t>
      </w:r>
      <w:r w:rsidR="001F6727">
        <w:rPr>
          <w:rFonts w:hint="eastAsia"/>
        </w:rPr>
        <w:t>DB</w:t>
      </w:r>
      <w:r w:rsidR="001F6727">
        <w:rPr>
          <w:rFonts w:hint="eastAsia"/>
        </w:rPr>
        <w:t>买入最多，</w:t>
      </w:r>
      <w:r w:rsidR="001F6727">
        <w:rPr>
          <w:rFonts w:hint="eastAsia"/>
        </w:rPr>
        <w:t>Citi</w:t>
      </w:r>
      <w:r w:rsidR="001F6727">
        <w:rPr>
          <w:rFonts w:hint="eastAsia"/>
        </w:rPr>
        <w:t>和中金买入。</w:t>
      </w:r>
    </w:p>
    <w:p w:rsidR="000E3A11" w:rsidRDefault="001F6727" w:rsidP="00CD5E15">
      <w:pPr>
        <w:rPr>
          <w:rFonts w:hint="eastAsia"/>
        </w:rPr>
      </w:pPr>
      <w:r>
        <w:rPr>
          <w:rFonts w:hint="eastAsia"/>
        </w:rPr>
        <w:t>Phrase 4</w:t>
      </w:r>
      <w:r>
        <w:rPr>
          <w:rFonts w:hint="eastAsia"/>
        </w:rPr>
        <w:t>：</w:t>
      </w:r>
      <w:r>
        <w:rPr>
          <w:rFonts w:hint="eastAsia"/>
        </w:rPr>
        <w:t xml:space="preserve">14 </w:t>
      </w:r>
      <w:r>
        <w:t>–</w:t>
      </w:r>
      <w:r>
        <w:rPr>
          <w:rFonts w:hint="eastAsia"/>
        </w:rPr>
        <w:t xml:space="preserve"> 17 June</w:t>
      </w:r>
    </w:p>
    <w:p w:rsidR="001F6727" w:rsidRDefault="001F6727" w:rsidP="00CD5E15">
      <w:pPr>
        <w:rPr>
          <w:rFonts w:hint="eastAsia"/>
        </w:rPr>
      </w:pPr>
      <w:r>
        <w:rPr>
          <w:rFonts w:hint="eastAsia"/>
        </w:rPr>
        <w:t>除中银买入外，前</w:t>
      </w:r>
      <w:r>
        <w:rPr>
          <w:rFonts w:hint="eastAsia"/>
        </w:rPr>
        <w:t>15</w:t>
      </w:r>
      <w:r>
        <w:rPr>
          <w:rFonts w:hint="eastAsia"/>
        </w:rPr>
        <w:t>大持股人均卖出。</w:t>
      </w:r>
    </w:p>
    <w:p w:rsidR="00CD5E15" w:rsidRDefault="00CD5E15" w:rsidP="00CD5E15">
      <w:pPr>
        <w:rPr>
          <w:rFonts w:hint="eastAsia"/>
        </w:rPr>
      </w:pPr>
    </w:p>
    <w:p w:rsidR="00D567AD" w:rsidRDefault="00D567AD" w:rsidP="00CD5E15">
      <w:r>
        <w:rPr>
          <w:rFonts w:hint="eastAsia"/>
        </w:rPr>
        <w:t>中银低买高卖，接盘？</w:t>
      </w:r>
    </w:p>
    <w:p w:rsidR="00D4509A" w:rsidRPr="00305997" w:rsidRDefault="002873B5" w:rsidP="00756F38">
      <w:pPr>
        <w:pStyle w:val="1"/>
      </w:pPr>
      <w:r>
        <w:rPr>
          <w:rFonts w:hint="eastAsia"/>
        </w:rPr>
        <w:lastRenderedPageBreak/>
        <w:t xml:space="preserve">Other </w:t>
      </w:r>
      <w:r w:rsidR="00D4509A">
        <w:rPr>
          <w:rFonts w:hint="eastAsia"/>
        </w:rPr>
        <w:t>Interesting Facts</w:t>
      </w:r>
    </w:p>
    <w:p w:rsidR="00305997" w:rsidRPr="009E3027" w:rsidRDefault="00A2341B" w:rsidP="009E3027">
      <w:pPr>
        <w:pStyle w:val="a3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9E3027">
        <w:rPr>
          <w:rFonts w:ascii="宋体" w:eastAsia="宋体" w:hAnsi="宋体" w:cs="宋体" w:hint="eastAsia"/>
          <w:color w:val="000000"/>
        </w:rPr>
        <w:t>中国证券登记结算有限责任公</w:t>
      </w:r>
      <w:r w:rsidRPr="009E3027">
        <w:rPr>
          <w:rFonts w:ascii="宋体" w:eastAsia="宋体" w:hAnsi="宋体" w:cs="宋体"/>
          <w:color w:val="000000"/>
        </w:rPr>
        <w:t>司</w:t>
      </w:r>
      <w:r w:rsidRPr="009E3027">
        <w:rPr>
          <w:rFonts w:ascii="Calibri" w:hAnsi="Calibri" w:cs="Times New Roman" w:hint="eastAsia"/>
          <w:color w:val="000000"/>
        </w:rPr>
        <w:t>（</w:t>
      </w:r>
      <w:r w:rsidRPr="009E3027">
        <w:rPr>
          <w:rFonts w:ascii="Calibri" w:eastAsia="Times New Roman" w:hAnsi="Calibri" w:cs="Times New Roman"/>
          <w:color w:val="000000"/>
        </w:rPr>
        <w:t>CHINA SECURITIES DEPOSITORY AND CLEARING</w:t>
      </w:r>
      <w:r w:rsidRPr="009E3027">
        <w:rPr>
          <w:rFonts w:ascii="宋体" w:eastAsia="宋体" w:hAnsi="宋体" w:cs="宋体" w:hint="eastAsia"/>
          <w:color w:val="000000"/>
        </w:rPr>
        <w:t>）</w:t>
      </w:r>
      <w:r w:rsidR="005D4945">
        <w:rPr>
          <w:rFonts w:ascii="宋体" w:eastAsia="宋体" w:hAnsi="宋体" w:cs="宋体" w:hint="eastAsia"/>
          <w:color w:val="000000"/>
        </w:rPr>
        <w:t xml:space="preserve"> </w:t>
      </w:r>
      <w:r w:rsidRPr="009E3027">
        <w:rPr>
          <w:rFonts w:ascii="宋体" w:eastAsia="宋体" w:hAnsi="宋体" w:cs="宋体" w:hint="eastAsia"/>
          <w:color w:val="000000"/>
        </w:rPr>
        <w:t>虽然有席位，但是没有持仓</w:t>
      </w:r>
    </w:p>
    <w:p w:rsidR="00D4509A" w:rsidRDefault="00D4509A" w:rsidP="009E3027">
      <w:pPr>
        <w:pStyle w:val="a3"/>
        <w:numPr>
          <w:ilvl w:val="0"/>
          <w:numId w:val="3"/>
        </w:numPr>
        <w:rPr>
          <w:rFonts w:ascii="Calibri" w:hAnsi="Calibri" w:cs="Times New Roman" w:hint="eastAsia"/>
          <w:color w:val="000000"/>
        </w:rPr>
      </w:pPr>
      <w:r w:rsidRPr="009E3027">
        <w:rPr>
          <w:rFonts w:ascii="Calibri" w:hAnsi="Calibri" w:cs="Times New Roman" w:hint="eastAsia"/>
          <w:color w:val="000000"/>
        </w:rPr>
        <w:t>上银证券有限公司（</w:t>
      </w:r>
      <w:r w:rsidRPr="009E3027">
        <w:rPr>
          <w:rFonts w:ascii="Calibri" w:hAnsi="Calibri" w:cs="Times New Roman" w:hint="eastAsia"/>
          <w:color w:val="000000"/>
        </w:rPr>
        <w:t>id=594</w:t>
      </w:r>
      <w:r w:rsidRPr="009E3027">
        <w:rPr>
          <w:rFonts w:ascii="Calibri" w:hAnsi="Calibri" w:cs="Times New Roman" w:hint="eastAsia"/>
          <w:color w:val="000000"/>
        </w:rPr>
        <w:t>）几乎只购买</w:t>
      </w:r>
      <w:r w:rsidRPr="009E3027">
        <w:rPr>
          <w:rFonts w:ascii="Calibri" w:hAnsi="Calibri" w:cs="Times New Roman" w:hint="eastAsia"/>
          <w:color w:val="000000"/>
        </w:rPr>
        <w:t>601229.SH(</w:t>
      </w:r>
      <w:r w:rsidRPr="009E3027">
        <w:rPr>
          <w:rFonts w:ascii="Calibri" w:hAnsi="Calibri" w:cs="Times New Roman" w:hint="eastAsia"/>
          <w:color w:val="000000"/>
        </w:rPr>
        <w:t>上海银行</w:t>
      </w:r>
      <w:r w:rsidRPr="009E3027">
        <w:rPr>
          <w:rFonts w:ascii="Calibri" w:hAnsi="Calibri" w:cs="Times New Roman" w:hint="eastAsia"/>
          <w:color w:val="000000"/>
        </w:rPr>
        <w:t>)</w:t>
      </w:r>
      <w:r w:rsidRPr="009E3027">
        <w:rPr>
          <w:rFonts w:ascii="Calibri" w:hAnsi="Calibri" w:cs="Times New Roman" w:hint="eastAsia"/>
          <w:color w:val="000000"/>
        </w:rPr>
        <w:t>一只股票，在</w:t>
      </w:r>
      <w:r w:rsidRPr="009E3027">
        <w:rPr>
          <w:rFonts w:ascii="Calibri" w:hAnsi="Calibri" w:cs="Times New Roman" w:hint="eastAsia"/>
          <w:color w:val="000000"/>
        </w:rPr>
        <w:t>2018-04</w:t>
      </w:r>
      <w:r w:rsidRPr="009E3027">
        <w:rPr>
          <w:rFonts w:ascii="Calibri" w:hAnsi="Calibri" w:cs="Times New Roman" w:hint="eastAsia"/>
          <w:color w:val="000000"/>
        </w:rPr>
        <w:t>低点大幅买入。</w:t>
      </w:r>
    </w:p>
    <w:p w:rsidR="00CD5E15" w:rsidRPr="009E3027" w:rsidRDefault="00CD5E15" w:rsidP="00CD5E15">
      <w:pPr>
        <w:pStyle w:val="a3"/>
        <w:numPr>
          <w:ilvl w:val="0"/>
          <w:numId w:val="3"/>
        </w:numPr>
        <w:rPr>
          <w:rFonts w:ascii="Calibri" w:hAnsi="Calibri" w:cs="Times New Roman"/>
          <w:color w:val="000000"/>
        </w:rPr>
      </w:pPr>
    </w:p>
    <w:p w:rsidR="0035435E" w:rsidRDefault="0035435E"/>
    <w:sectPr w:rsidR="00354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4C8" w:rsidRDefault="00EE74C8" w:rsidP="00CD5E15">
      <w:pPr>
        <w:spacing w:after="0" w:line="240" w:lineRule="auto"/>
      </w:pPr>
      <w:r>
        <w:separator/>
      </w:r>
    </w:p>
  </w:endnote>
  <w:endnote w:type="continuationSeparator" w:id="0">
    <w:p w:rsidR="00EE74C8" w:rsidRDefault="00EE74C8" w:rsidP="00CD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4C8" w:rsidRDefault="00EE74C8" w:rsidP="00CD5E15">
      <w:pPr>
        <w:spacing w:after="0" w:line="240" w:lineRule="auto"/>
      </w:pPr>
      <w:r>
        <w:separator/>
      </w:r>
    </w:p>
  </w:footnote>
  <w:footnote w:type="continuationSeparator" w:id="0">
    <w:p w:rsidR="00EE74C8" w:rsidRDefault="00EE74C8" w:rsidP="00CD5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4EDD"/>
    <w:multiLevelType w:val="hybridMultilevel"/>
    <w:tmpl w:val="5F80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02B8"/>
    <w:multiLevelType w:val="hybridMultilevel"/>
    <w:tmpl w:val="10DC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0AFD"/>
    <w:multiLevelType w:val="hybridMultilevel"/>
    <w:tmpl w:val="6A32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9D"/>
    <w:rsid w:val="000073CC"/>
    <w:rsid w:val="00037C9D"/>
    <w:rsid w:val="000E3A11"/>
    <w:rsid w:val="001F6727"/>
    <w:rsid w:val="00251F84"/>
    <w:rsid w:val="002838DB"/>
    <w:rsid w:val="002873B5"/>
    <w:rsid w:val="00305997"/>
    <w:rsid w:val="0035435E"/>
    <w:rsid w:val="00436506"/>
    <w:rsid w:val="005D4945"/>
    <w:rsid w:val="006148CC"/>
    <w:rsid w:val="0064406D"/>
    <w:rsid w:val="006D737C"/>
    <w:rsid w:val="0071380B"/>
    <w:rsid w:val="00726574"/>
    <w:rsid w:val="00756F38"/>
    <w:rsid w:val="007C549A"/>
    <w:rsid w:val="008909FD"/>
    <w:rsid w:val="008C03C9"/>
    <w:rsid w:val="00943640"/>
    <w:rsid w:val="00983881"/>
    <w:rsid w:val="009A1563"/>
    <w:rsid w:val="009E266A"/>
    <w:rsid w:val="009E3027"/>
    <w:rsid w:val="00A2341B"/>
    <w:rsid w:val="00A33585"/>
    <w:rsid w:val="00A41CAB"/>
    <w:rsid w:val="00AD1148"/>
    <w:rsid w:val="00AE109A"/>
    <w:rsid w:val="00B40854"/>
    <w:rsid w:val="00B54C82"/>
    <w:rsid w:val="00B824C6"/>
    <w:rsid w:val="00C0646B"/>
    <w:rsid w:val="00CD5E15"/>
    <w:rsid w:val="00D10819"/>
    <w:rsid w:val="00D3466C"/>
    <w:rsid w:val="00D4509A"/>
    <w:rsid w:val="00D50EDA"/>
    <w:rsid w:val="00D567AD"/>
    <w:rsid w:val="00DA1815"/>
    <w:rsid w:val="00DC1491"/>
    <w:rsid w:val="00E038A5"/>
    <w:rsid w:val="00E76438"/>
    <w:rsid w:val="00E838C5"/>
    <w:rsid w:val="00E86933"/>
    <w:rsid w:val="00EE74C8"/>
    <w:rsid w:val="00F219FF"/>
    <w:rsid w:val="00F5179F"/>
    <w:rsid w:val="00F94E2C"/>
    <w:rsid w:val="00FC0E3E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9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13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3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33585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F21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Char0"/>
    <w:uiPriority w:val="10"/>
    <w:qFormat/>
    <w:rsid w:val="00F21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F21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FD54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Char1"/>
    <w:uiPriority w:val="99"/>
    <w:unhideWhenUsed/>
    <w:rsid w:val="00CD5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CD5E15"/>
  </w:style>
  <w:style w:type="paragraph" w:styleId="a7">
    <w:name w:val="footer"/>
    <w:basedOn w:val="a"/>
    <w:link w:val="Char2"/>
    <w:uiPriority w:val="99"/>
    <w:unhideWhenUsed/>
    <w:rsid w:val="00CD5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CD5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9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13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3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33585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F21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Char0"/>
    <w:uiPriority w:val="10"/>
    <w:qFormat/>
    <w:rsid w:val="00F21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F21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FD54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Char1"/>
    <w:uiPriority w:val="99"/>
    <w:unhideWhenUsed/>
    <w:rsid w:val="00CD5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CD5E15"/>
  </w:style>
  <w:style w:type="paragraph" w:styleId="a7">
    <w:name w:val="footer"/>
    <w:basedOn w:val="a"/>
    <w:link w:val="Char2"/>
    <w:uiPriority w:val="99"/>
    <w:unhideWhenUsed/>
    <w:rsid w:val="00CD5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CD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4269626990989465"/>
          <c:y val="5.3893985091774087E-2"/>
          <c:w val="0.82624048086264645"/>
          <c:h val="0.774022024619815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before</c:v>
                </c:pt>
              </c:strCache>
            </c:strRef>
          </c:tx>
          <c:invertIfNegative val="0"/>
          <c:cat>
            <c:strRef>
              <c:f>Sheet3!$A$2:$A$14</c:f>
              <c:strCache>
                <c:ptCount val="13"/>
                <c:pt idx="0">
                  <c:v>601318.SS</c:v>
                </c:pt>
                <c:pt idx="1">
                  <c:v>600036.SS</c:v>
                </c:pt>
                <c:pt idx="2">
                  <c:v>600519.SS</c:v>
                </c:pt>
                <c:pt idx="3">
                  <c:v>601166.SS</c:v>
                </c:pt>
                <c:pt idx="4">
                  <c:v>000651.SZ</c:v>
                </c:pt>
                <c:pt idx="5">
                  <c:v>000002.SZ</c:v>
                </c:pt>
                <c:pt idx="6">
                  <c:v>000858.SZ</c:v>
                </c:pt>
                <c:pt idx="7">
                  <c:v>600016.SS</c:v>
                </c:pt>
                <c:pt idx="8">
                  <c:v>000333.SZ</c:v>
                </c:pt>
                <c:pt idx="9">
                  <c:v>600000.SS</c:v>
                </c:pt>
                <c:pt idx="10">
                  <c:v>600030.SS</c:v>
                </c:pt>
                <c:pt idx="11">
                  <c:v>600887.SS</c:v>
                </c:pt>
                <c:pt idx="12">
                  <c:v>601288.SS</c:v>
                </c:pt>
              </c:strCache>
            </c:strRef>
          </c:cat>
          <c:val>
            <c:numRef>
              <c:f>Sheet3!$B$2:$B$14</c:f>
              <c:numCache>
                <c:formatCode>0.000%</c:formatCode>
                <c:ptCount val="13"/>
                <c:pt idx="0">
                  <c:v>0.13709904487406899</c:v>
                </c:pt>
                <c:pt idx="1">
                  <c:v>7.6892751720060895E-2</c:v>
                </c:pt>
                <c:pt idx="2">
                  <c:v>7.2483484844925103E-2</c:v>
                </c:pt>
                <c:pt idx="3">
                  <c:v>4.7412412475117599E-2</c:v>
                </c:pt>
                <c:pt idx="4">
                  <c:v>4.2477004765904297E-2</c:v>
                </c:pt>
                <c:pt idx="5">
                  <c:v>3.3849922257926802E-2</c:v>
                </c:pt>
                <c:pt idx="6">
                  <c:v>3.3281232230934599E-2</c:v>
                </c:pt>
                <c:pt idx="7">
                  <c:v>3.2429461656701797E-2</c:v>
                </c:pt>
                <c:pt idx="8">
                  <c:v>3.2191801117144897E-2</c:v>
                </c:pt>
                <c:pt idx="9">
                  <c:v>3.1431920357851598E-2</c:v>
                </c:pt>
                <c:pt idx="10">
                  <c:v>2.9378321507684699E-2</c:v>
                </c:pt>
                <c:pt idx="11">
                  <c:v>2.8785171935810799E-2</c:v>
                </c:pt>
                <c:pt idx="12">
                  <c:v>2.7330477142104102E-2</c:v>
                </c:pt>
              </c:numCache>
            </c:numRef>
          </c:val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after</c:v>
                </c:pt>
              </c:strCache>
            </c:strRef>
          </c:tx>
          <c:invertIfNegative val="0"/>
          <c:cat>
            <c:strRef>
              <c:f>Sheet3!$A$2:$A$14</c:f>
              <c:strCache>
                <c:ptCount val="13"/>
                <c:pt idx="0">
                  <c:v>601318.SS</c:v>
                </c:pt>
                <c:pt idx="1">
                  <c:v>600036.SS</c:v>
                </c:pt>
                <c:pt idx="2">
                  <c:v>600519.SS</c:v>
                </c:pt>
                <c:pt idx="3">
                  <c:v>601166.SS</c:v>
                </c:pt>
                <c:pt idx="4">
                  <c:v>000651.SZ</c:v>
                </c:pt>
                <c:pt idx="5">
                  <c:v>000002.SZ</c:v>
                </c:pt>
                <c:pt idx="6">
                  <c:v>000858.SZ</c:v>
                </c:pt>
                <c:pt idx="7">
                  <c:v>600016.SS</c:v>
                </c:pt>
                <c:pt idx="8">
                  <c:v>000333.SZ</c:v>
                </c:pt>
                <c:pt idx="9">
                  <c:v>600000.SS</c:v>
                </c:pt>
                <c:pt idx="10">
                  <c:v>600030.SS</c:v>
                </c:pt>
                <c:pt idx="11">
                  <c:v>600887.SS</c:v>
                </c:pt>
                <c:pt idx="12">
                  <c:v>601288.SS</c:v>
                </c:pt>
              </c:strCache>
            </c:strRef>
          </c:cat>
          <c:val>
            <c:numRef>
              <c:f>Sheet3!$C$2:$C$14</c:f>
              <c:numCache>
                <c:formatCode>0.000%</c:formatCode>
                <c:ptCount val="13"/>
                <c:pt idx="0">
                  <c:v>0.13839207845309301</c:v>
                </c:pt>
                <c:pt idx="1">
                  <c:v>7.7617956699051999E-2</c:v>
                </c:pt>
                <c:pt idx="2">
                  <c:v>7.3167104339978903E-2</c:v>
                </c:pt>
                <c:pt idx="3">
                  <c:v>4.7859577088475602E-2</c:v>
                </c:pt>
                <c:pt idx="4">
                  <c:v>4.2877621659691799E-2</c:v>
                </c:pt>
                <c:pt idx="5">
                  <c:v>3.4169173833800699E-2</c:v>
                </c:pt>
                <c:pt idx="6">
                  <c:v>3.3595120273447403E-2</c:v>
                </c:pt>
                <c:pt idx="7">
                  <c:v>3.2735316324838303E-2</c:v>
                </c:pt>
                <c:pt idx="8">
                  <c:v>2.9382349719538601E-2</c:v>
                </c:pt>
                <c:pt idx="9">
                  <c:v>3.1728366832101201E-2</c:v>
                </c:pt>
                <c:pt idx="10">
                  <c:v>2.9655399704981399E-2</c:v>
                </c:pt>
                <c:pt idx="11">
                  <c:v>2.9143483003909901E-2</c:v>
                </c:pt>
                <c:pt idx="12">
                  <c:v>2.7588241335194899E-2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615808"/>
        <c:axId val="112617344"/>
      </c:barChart>
      <c:catAx>
        <c:axId val="1126158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700"/>
            </a:pPr>
            <a:endParaRPr lang="en-US"/>
          </a:p>
        </c:txPr>
        <c:crossAx val="112617344"/>
        <c:crosses val="autoZero"/>
        <c:auto val="1"/>
        <c:lblAlgn val="ctr"/>
        <c:lblOffset val="100"/>
        <c:noMultiLvlLbl val="0"/>
      </c:catAx>
      <c:valAx>
        <c:axId val="112617344"/>
        <c:scaling>
          <c:orientation val="minMax"/>
        </c:scaling>
        <c:delete val="0"/>
        <c:axPos val="l"/>
        <c:majorGridlines/>
        <c:numFmt formatCode="0.0%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12615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9448607580166588"/>
          <c:y val="7.3267311453780182E-2"/>
          <c:w val="0.21700911401072062"/>
          <c:h val="0.1497482284588777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UBSNewColorsV2">
    <a:dk1>
      <a:sysClr val="windowText" lastClr="000000"/>
    </a:dk1>
    <a:lt1>
      <a:sysClr val="window" lastClr="FFFFFF"/>
    </a:lt1>
    <a:dk2>
      <a:srgbClr val="E60000"/>
    </a:dk2>
    <a:lt2>
      <a:srgbClr val="FFFFFF"/>
    </a:lt2>
    <a:accent1>
      <a:srgbClr val="4D3C2F"/>
    </a:accent1>
    <a:accent2>
      <a:srgbClr val="CFBD9B"/>
    </a:accent2>
    <a:accent3>
      <a:srgbClr val="C07156"/>
    </a:accent3>
    <a:accent4>
      <a:srgbClr val="E8C767"/>
    </a:accent4>
    <a:accent5>
      <a:srgbClr val="AEB0B3"/>
    </a:accent5>
    <a:accent6>
      <a:srgbClr val="A43725"/>
    </a:accent6>
    <a:hlink>
      <a:srgbClr val="0000FF"/>
    </a:hlink>
    <a:folHlink>
      <a:srgbClr val="800080"/>
    </a:folHlink>
  </a:clrScheme>
  <a:fontScheme name="UBS Fontset">
    <a:majorFont>
      <a:latin typeface="UBSHeadline"/>
      <a:ea typeface="MS PGothic"/>
      <a:cs typeface=""/>
    </a:majorFont>
    <a:minorFont>
      <a:latin typeface="Frutiger 45 Light"/>
      <a:ea typeface="MS PGothic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13F6DF5D.dotm</Template>
  <TotalTime>2126</TotalTime>
  <Pages>4</Pages>
  <Words>552</Words>
  <Characters>858</Characters>
  <Application>Microsoft Office Word</Application>
  <DocSecurity>0</DocSecurity>
  <Lines>39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Michael</dc:creator>
  <cp:lastModifiedBy>Wang, Michael</cp:lastModifiedBy>
  <cp:revision>23</cp:revision>
  <dcterms:created xsi:type="dcterms:W3CDTF">2019-07-10T05:41:00Z</dcterms:created>
  <dcterms:modified xsi:type="dcterms:W3CDTF">2019-07-12T11:15:00Z</dcterms:modified>
</cp:coreProperties>
</file>