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r w:rsidRPr="001D2CB7">
        <w:rPr>
          <w:rFonts w:hint="eastAsia"/>
          <w:sz w:val="18"/>
        </w:rPr>
        <w:t>根据申万宏源研报《</w:t>
      </w:r>
      <w:r w:rsidRPr="001D2CB7">
        <w:rPr>
          <w:sz w:val="18"/>
        </w:rPr>
        <w:t>PE-ROE股指原理与预期差选股》编写</w:t>
      </w: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371D8E" w:rsidP="001D2CB7">
      <w:pPr>
        <w:rPr>
          <w:sz w:val="18"/>
        </w:rPr>
      </w:pPr>
      <w:r>
        <w:rPr>
          <w:rFonts w:hint="eastAsia"/>
          <w:sz w:val="18"/>
        </w:rPr>
        <w:t>选择1</w:t>
      </w:r>
      <w:r>
        <w:rPr>
          <w:sz w:val="18"/>
        </w:rPr>
        <w:t>665</w:t>
      </w:r>
      <w:r>
        <w:rPr>
          <w:rFonts w:hint="eastAsia"/>
          <w:sz w:val="18"/>
        </w:rPr>
        <w:t>只股票作为初始股票池。</w:t>
      </w:r>
    </w:p>
    <w:p w:rsidR="00371D8E" w:rsidRDefault="00371D8E" w:rsidP="001D2CB7">
      <w:pPr>
        <w:rPr>
          <w:sz w:val="18"/>
        </w:rPr>
      </w:pP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行业分类：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研报中采用中信二级分类指标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获取财务数据：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Pr="00DC430D" w:rsidRDefault="001A503C" w:rsidP="001D2CB7">
      <w:pPr>
        <w:rPr>
          <w:rStyle w:val="ab"/>
        </w:rPr>
      </w:pPr>
      <w:r w:rsidRPr="00DC430D">
        <w:rPr>
          <w:rStyle w:val="ab"/>
          <w:rFonts w:hint="eastAsia"/>
        </w:rPr>
        <w:t>仓位分配：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调仓时间：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依据研报</w:t>
      </w:r>
      <w:r w:rsidR="001A503C">
        <w:rPr>
          <w:rFonts w:hint="eastAsia"/>
          <w:sz w:val="18"/>
        </w:rPr>
        <w:t>，调仓时间采用每月的最后一天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数据剔除：</w:t>
      </w: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sz w:val="18"/>
        </w:rPr>
      </w:pPr>
    </w:p>
    <w:p w:rsidR="001A503C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拟合方式</w:t>
      </w:r>
      <w:r w:rsidR="001A503C" w:rsidRPr="00DC430D">
        <w:rPr>
          <w:rStyle w:val="ab"/>
          <w:rFonts w:hint="eastAsia"/>
        </w:rPr>
        <w:t>：</w:t>
      </w:r>
    </w:p>
    <w:p w:rsidR="00DC430D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DC430D" w:rsidRPr="00DC430D" w:rsidRDefault="00DC430D" w:rsidP="001D2CB7">
      <w:pPr>
        <w:rPr>
          <w:sz w:val="18"/>
        </w:rPr>
      </w:pPr>
      <w:r>
        <w:rPr>
          <w:rFonts w:hint="eastAsia"/>
          <w:sz w:val="18"/>
        </w:rPr>
        <w:t>若ROE实际值高于拟合结果线，则认为有超额ROE，可以买入。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30D" w:rsidRPr="00DC430D">
        <w:rPr>
          <w:noProof/>
          <w:sz w:val="18"/>
        </w:rPr>
        <w:drawing>
          <wp:inline distT="0" distB="0" distL="0" distR="0">
            <wp:extent cx="2084832" cy="2142467"/>
            <wp:effectExtent l="0" t="0" r="0" b="0"/>
            <wp:docPr id="7" name="图片 7" descr="C:\Users\meiconte\AppData\Local\Temp\WeChat Files\3a8610720f5654d0b43bca0953b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3a8610720f5654d0b43bca0953b1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21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DC430D" w:rsidP="001D2CB7">
      <w:pPr>
        <w:rPr>
          <w:sz w:val="18"/>
        </w:rPr>
      </w:pPr>
      <w:r>
        <w:rPr>
          <w:rFonts w:hint="eastAsia"/>
          <w:sz w:val="18"/>
        </w:rPr>
        <w:t>例如左图：正确的回归线显然应该更加陡峭一些；右图，正确的回归线应该斜率大于零。</w:t>
      </w:r>
    </w:p>
    <w:p w:rsidR="001A503C" w:rsidRDefault="001A503C" w:rsidP="001D2CB7">
      <w:pPr>
        <w:rPr>
          <w:sz w:val="18"/>
        </w:rPr>
      </w:pPr>
    </w:p>
    <w:p w:rsidR="00DC430D" w:rsidRDefault="00101E16" w:rsidP="00DC430D">
      <w:pPr>
        <w:rPr>
          <w:rStyle w:val="ab"/>
        </w:rPr>
      </w:pPr>
      <w:r w:rsidRPr="00DC430D">
        <w:rPr>
          <w:rStyle w:val="ab"/>
          <w:rFonts w:hint="eastAsia"/>
        </w:rPr>
        <w:t>结果比较</w:t>
      </w:r>
      <w:r w:rsidR="00DC430D">
        <w:rPr>
          <w:rStyle w:val="ab"/>
          <w:rFonts w:hint="eastAsia"/>
        </w:rPr>
        <w:t>和分析</w:t>
      </w:r>
    </w:p>
    <w:p w:rsidR="002B6099" w:rsidRDefault="002B6099" w:rsidP="002B6099">
      <w:pPr>
        <w:ind w:rightChars="-500" w:right="-1050"/>
      </w:pPr>
      <w:r>
        <w:rPr>
          <w:rFonts w:hint="eastAsia"/>
        </w:rPr>
        <w:t>超额收益的计算方法是：选股策略净值/标的净值。</w:t>
      </w:r>
      <w:r w:rsidR="002318DD">
        <w:rPr>
          <w:rFonts w:hint="eastAsia"/>
        </w:rPr>
        <w:t>是一个倍数的概念。</w:t>
      </w:r>
    </w:p>
    <w:p w:rsidR="002B6099" w:rsidRPr="002B6099" w:rsidRDefault="002B6099" w:rsidP="00DC430D">
      <w:pPr>
        <w:rPr>
          <w:rStyle w:val="ab"/>
        </w:rPr>
      </w:pPr>
    </w:p>
    <w:p w:rsidR="00DC430D" w:rsidRPr="00DC430D" w:rsidRDefault="00DC430D" w:rsidP="002B60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EC6DFD">
        <w:rPr>
          <w:rFonts w:hint="eastAsia"/>
        </w:rPr>
        <w:t>，由于选择的是市值&gt;</w:t>
      </w:r>
      <w:r w:rsidR="00EC6DFD">
        <w:t>100</w:t>
      </w:r>
      <w:r w:rsidR="00EC6DFD">
        <w:rPr>
          <w:rFonts w:hint="eastAsia"/>
        </w:rPr>
        <w:t>亿的股票，所以可以用H</w:t>
      </w:r>
      <w:r w:rsidR="00EC6DFD">
        <w:t>S300</w:t>
      </w:r>
      <w:r w:rsidR="00EC6DFD">
        <w:rPr>
          <w:rFonts w:hint="eastAsia"/>
        </w:rPr>
        <w:t>作为标的。</w:t>
      </w:r>
    </w:p>
    <w:p w:rsidR="00EC6DFD" w:rsidRDefault="002318DD" w:rsidP="00EC6DFD">
      <w:pPr>
        <w:ind w:leftChars="-337" w:left="-708" w:rightChars="-500" w:right="-1050" w:firstLineChars="67" w:firstLine="141"/>
      </w:pPr>
      <w:r>
        <w:rPr>
          <w:noProof/>
        </w:rPr>
        <w:drawing>
          <wp:inline distT="0" distB="0" distL="0" distR="0" wp14:anchorId="0D9BA290" wp14:editId="4F6F4CE1">
            <wp:extent cx="2889504" cy="222261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61" cy="2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rPr>
          <w:noProof/>
        </w:rPr>
        <w:drawing>
          <wp:inline distT="0" distB="0" distL="0" distR="0" wp14:anchorId="34749EE0" wp14:editId="00709805">
            <wp:extent cx="3335732" cy="20108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2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9" w:rsidRDefault="002B6099" w:rsidP="002B6099">
      <w:r>
        <w:rPr>
          <w:rStyle w:val="ab"/>
          <w:rFonts w:hint="eastAsia"/>
        </w:rPr>
        <w:t>选股策略从2</w:t>
      </w:r>
      <w:r>
        <w:rPr>
          <w:rStyle w:val="ab"/>
        </w:rPr>
        <w:t>009</w:t>
      </w:r>
      <w:r>
        <w:rPr>
          <w:rStyle w:val="ab"/>
          <w:rFonts w:hint="eastAsia"/>
        </w:rPr>
        <w:t>至</w:t>
      </w:r>
      <w:r>
        <w:rPr>
          <w:rStyle w:val="ab"/>
        </w:rPr>
        <w:t>2018</w:t>
      </w:r>
      <w:r>
        <w:rPr>
          <w:rStyle w:val="ab"/>
          <w:rFonts w:hint="eastAsia"/>
        </w:rPr>
        <w:t>，最终净值</w:t>
      </w:r>
      <w:r>
        <w:rPr>
          <w:rStyle w:val="ab"/>
        </w:rPr>
        <w:t>2.3075</w:t>
      </w:r>
      <w:r>
        <w:rPr>
          <w:rStyle w:val="ab"/>
          <w:rFonts w:hint="eastAsia"/>
        </w:rPr>
        <w:t>，超额收益</w:t>
      </w:r>
      <w:r>
        <w:rPr>
          <w:rStyle w:val="ab"/>
        </w:rPr>
        <w:t>1.9076</w:t>
      </w:r>
      <w:r w:rsidR="002318DD">
        <w:rPr>
          <w:rStyle w:val="ab"/>
          <w:rFonts w:hint="eastAsia"/>
        </w:rPr>
        <w:t>倍</w:t>
      </w:r>
      <w:r>
        <w:rPr>
          <w:rFonts w:hint="eastAsia"/>
        </w:rPr>
        <w:t>。</w:t>
      </w:r>
      <w:r w:rsidR="002318DD">
        <w:rPr>
          <w:rFonts w:hint="eastAsia"/>
        </w:rPr>
        <w:t>除在1</w:t>
      </w:r>
      <w:r w:rsidR="002318DD">
        <w:t>7</w:t>
      </w:r>
      <w:r w:rsidR="002318DD">
        <w:rPr>
          <w:rFonts w:hint="eastAsia"/>
        </w:rPr>
        <w:t>年有过下降外，超额收益保持比较稳定的增长。</w:t>
      </w:r>
    </w:p>
    <w:p w:rsidR="002B6099" w:rsidRDefault="002B6099" w:rsidP="002B6099">
      <w:r>
        <w:rPr>
          <w:rFonts w:hint="eastAsia"/>
        </w:rPr>
        <w:t>研报大盘组合的超额收益，对于HS300而言约为1</w:t>
      </w:r>
      <w:r>
        <w:t>.30</w:t>
      </w:r>
      <w:r>
        <w:rPr>
          <w:rFonts w:hint="eastAsia"/>
        </w:rPr>
        <w:t>左右。</w:t>
      </w:r>
    </w:p>
    <w:p w:rsidR="002318DD" w:rsidRDefault="002318DD" w:rsidP="002B6099"/>
    <w:p w:rsidR="002318DD" w:rsidRPr="002B6099" w:rsidRDefault="002B6099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作为尝试，用中证5</w:t>
      </w:r>
      <w:r>
        <w:t>00</w:t>
      </w:r>
      <w:r>
        <w:rPr>
          <w:rFonts w:hint="eastAsia"/>
        </w:rPr>
        <w:t>作为标的，发现</w:t>
      </w:r>
      <w:r w:rsidR="002318DD">
        <w:rPr>
          <w:rFonts w:hint="eastAsia"/>
        </w:rPr>
        <w:t>超额收益变得不稳定。</w:t>
      </w:r>
    </w:p>
    <w:p w:rsidR="002318DD" w:rsidRDefault="002318DD" w:rsidP="002318DD">
      <w:pPr>
        <w:ind w:leftChars="-337" w:left="-708" w:rightChars="-500" w:right="-1050"/>
      </w:pPr>
      <w:r>
        <w:rPr>
          <w:noProof/>
        </w:rPr>
        <w:lastRenderedPageBreak/>
        <w:drawing>
          <wp:inline distT="0" distB="0" distL="0" distR="0" wp14:anchorId="2776163F" wp14:editId="1DAFC0A3">
            <wp:extent cx="2926080" cy="2250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1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EC6DFD">
        <w:t xml:space="preserve"> </w:t>
      </w:r>
      <w:r w:rsidR="00101E16" w:rsidRPr="00EC6DFD">
        <w:rPr>
          <w:noProof/>
        </w:rPr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最终超额收益</w:t>
      </w:r>
      <w:r>
        <w:t>1.6271</w:t>
      </w:r>
      <w:r>
        <w:rPr>
          <w:rFonts w:hint="eastAsia"/>
        </w:rPr>
        <w:t>倍，</w:t>
      </w:r>
      <w:r w:rsidRPr="002318DD">
        <w:rPr>
          <w:rFonts w:hint="eastAsia"/>
        </w:rPr>
        <w:t>主要的超额收益</w:t>
      </w:r>
      <w:r>
        <w:rPr>
          <w:rFonts w:hint="eastAsia"/>
        </w:rPr>
        <w:t>来自于2</w:t>
      </w:r>
      <w:r>
        <w:t>015</w:t>
      </w:r>
      <w:r>
        <w:rPr>
          <w:rFonts w:hint="eastAsia"/>
        </w:rPr>
        <w:t>年及以后。</w:t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而研报中的小盘组合，超额收益能够达到约</w:t>
      </w:r>
      <w:r>
        <w:t>5</w:t>
      </w:r>
      <w:r>
        <w:rPr>
          <w:rFonts w:hint="eastAsia"/>
        </w:rPr>
        <w:t>倍。</w:t>
      </w:r>
    </w:p>
    <w:p w:rsidR="002318DD" w:rsidRDefault="002318DD" w:rsidP="002318DD">
      <w:pPr>
        <w:ind w:rightChars="-500" w:right="-1050"/>
      </w:pPr>
    </w:p>
    <w:p w:rsidR="002318DD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经过上述对比，发现超额收益的来源可以分为两段：</w:t>
      </w:r>
    </w:p>
    <w:p w:rsidR="00371D8E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年以前主要来自中小盘股，1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年以后主要来自大盘价值股。因此对</w:t>
      </w:r>
      <w:r>
        <w:rPr>
          <w:rFonts w:hint="eastAsia"/>
          <w:b/>
        </w:rPr>
        <w:t>比</w:t>
      </w:r>
      <w:r w:rsidRPr="002318DD">
        <w:rPr>
          <w:rFonts w:hint="eastAsia"/>
          <w:b/>
        </w:rPr>
        <w:t>不同的标的，</w:t>
      </w:r>
      <w:r>
        <w:rPr>
          <w:rFonts w:hint="eastAsia"/>
          <w:b/>
        </w:rPr>
        <w:t>会</w:t>
      </w:r>
      <w:r w:rsidRPr="002318DD">
        <w:rPr>
          <w:rFonts w:hint="eastAsia"/>
          <w:b/>
        </w:rPr>
        <w:t>表现出很不同结果。</w:t>
      </w:r>
    </w:p>
    <w:p w:rsidR="002318DD" w:rsidRDefault="002318DD" w:rsidP="002318DD">
      <w:pPr>
        <w:ind w:rightChars="-500" w:right="-1050"/>
        <w:rPr>
          <w:b/>
        </w:rPr>
      </w:pPr>
      <w:r>
        <w:rPr>
          <w:rFonts w:hint="eastAsia"/>
          <w:b/>
        </w:rPr>
        <w:t>究其原因，是</w:t>
      </w:r>
      <w:r w:rsidR="00371D8E">
        <w:rPr>
          <w:rFonts w:hint="eastAsia"/>
          <w:b/>
        </w:rPr>
        <w:t>我采用的股票池筛选条件是市值大于1</w:t>
      </w:r>
      <w:r w:rsidR="00371D8E">
        <w:rPr>
          <w:b/>
        </w:rPr>
        <w:t>00</w:t>
      </w:r>
      <w:r w:rsidR="00371D8E">
        <w:rPr>
          <w:rFonts w:hint="eastAsia"/>
          <w:b/>
        </w:rPr>
        <w:t>亿，其中既包含了大盘股，也包含了很多中盘、小盘股。如果要严格筛选大盘股，则会导致回归数据点太少，结果不太正确。</w:t>
      </w:r>
    </w:p>
    <w:p w:rsidR="00371D8E" w:rsidRPr="002318DD" w:rsidRDefault="00371D8E" w:rsidP="002318DD">
      <w:pPr>
        <w:ind w:rightChars="-500" w:right="-1050"/>
        <w:rPr>
          <w:b/>
        </w:rPr>
      </w:pPr>
    </w:p>
    <w:p w:rsidR="00EC6DFD" w:rsidRDefault="00371D8E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鉴于上述结论，我的</w:t>
      </w:r>
      <w:r w:rsidR="00B94852">
        <w:rPr>
          <w:rFonts w:hint="eastAsia"/>
        </w:rPr>
        <w:t>投资组合实际上是介于大盘和中小盘的股票。因此用上证综指作为标的也是可行的。</w:t>
      </w:r>
    </w:p>
    <w:p w:rsidR="00B94852" w:rsidRPr="00B94852" w:rsidRDefault="00B94852" w:rsidP="00B94852">
      <w:pPr>
        <w:pStyle w:val="a6"/>
        <w:ind w:left="420" w:rightChars="-500" w:right="-1050" w:firstLineChars="0" w:firstLine="0"/>
      </w:pPr>
      <w:r>
        <w:rPr>
          <w:rFonts w:hint="eastAsia"/>
        </w:rPr>
        <w:t>对比发现，超额收益为</w:t>
      </w:r>
      <w:r>
        <w:t>2.2088</w:t>
      </w:r>
      <w:r>
        <w:rPr>
          <w:rFonts w:hint="eastAsia"/>
        </w:rPr>
        <w:t>，而且</w:t>
      </w:r>
      <w:r w:rsidR="00BD6EFF">
        <w:rPr>
          <w:rFonts w:hint="eastAsia"/>
        </w:rPr>
        <w:t>增长</w:t>
      </w:r>
      <w:r>
        <w:rPr>
          <w:rFonts w:hint="eastAsia"/>
        </w:rPr>
        <w:t>相当稳定。</w:t>
      </w:r>
    </w:p>
    <w:p w:rsidR="0011098B" w:rsidRDefault="00371D8E" w:rsidP="00EC6DFD">
      <w:r>
        <w:rPr>
          <w:noProof/>
        </w:rPr>
        <w:drawing>
          <wp:inline distT="0" distB="0" distL="0" distR="0" wp14:anchorId="232188DC" wp14:editId="74901F3E">
            <wp:extent cx="3195395" cy="245790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F" w:rsidRDefault="00BD6EFF" w:rsidP="00EC6DFD">
      <w:r>
        <w:rPr>
          <w:rFonts w:hint="eastAsia"/>
        </w:rPr>
        <w:t>结语：市值因子在这个超额收益中扮演了很重要的角色。1</w:t>
      </w:r>
      <w:r>
        <w:t>5</w:t>
      </w:r>
      <w:r>
        <w:rPr>
          <w:rFonts w:hint="eastAsia"/>
        </w:rPr>
        <w:t>年及以前的超额收益来源，主要是中小盘股；1</w:t>
      </w:r>
      <w:r>
        <w:t>5</w:t>
      </w:r>
      <w:r>
        <w:rPr>
          <w:rFonts w:hint="eastAsia"/>
        </w:rPr>
        <w:t>年以后主要是大盘股。</w:t>
      </w:r>
    </w:p>
    <w:p w:rsidR="00BD6EFF" w:rsidRDefault="00BD6EFF" w:rsidP="00EC6DFD"/>
    <w:p w:rsidR="00BD6EFF" w:rsidRDefault="00BD6EFF" w:rsidP="00EC6DFD">
      <w:pPr>
        <w:rPr>
          <w:rStyle w:val="ab"/>
        </w:rPr>
      </w:pPr>
      <w:r>
        <w:rPr>
          <w:rStyle w:val="ab"/>
          <w:rFonts w:hint="eastAsia"/>
        </w:rPr>
        <w:t>新增</w:t>
      </w:r>
      <w:r w:rsidR="00C3317D">
        <w:rPr>
          <w:rStyle w:val="ab"/>
          <w:rFonts w:hint="eastAsia"/>
        </w:rPr>
        <w:t>部分：</w:t>
      </w:r>
    </w:p>
    <w:p w:rsidR="00C3317D" w:rsidRPr="00C3317D" w:rsidRDefault="00C3317D" w:rsidP="00EC6DFD">
      <w:pPr>
        <w:pStyle w:val="a6"/>
        <w:numPr>
          <w:ilvl w:val="0"/>
          <w:numId w:val="1"/>
        </w:numPr>
        <w:ind w:firstLineChars="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</w:rPr>
        <w:t>修改选股条件为“</w:t>
      </w:r>
      <w:r w:rsidRPr="00176F55">
        <w:rPr>
          <w:rFonts w:hint="eastAsia"/>
          <w:sz w:val="18"/>
        </w:rPr>
        <w:t>股票市值在</w:t>
      </w:r>
      <w:r>
        <w:rPr>
          <w:rFonts w:hint="eastAsia"/>
          <w:sz w:val="18"/>
        </w:rPr>
        <w:t>2015年以前大于</w:t>
      </w:r>
      <w:r w:rsidRPr="00176F55">
        <w:rPr>
          <w:rFonts w:hint="eastAsia"/>
          <w:sz w:val="18"/>
        </w:rPr>
        <w:t>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  <w:r w:rsidR="00FD4A04">
        <w:rPr>
          <w:rStyle w:val="ab"/>
          <w:rFonts w:hint="eastAsia"/>
        </w:rPr>
        <w:t>”，以避免选一些小盘股（只在牛市市值超过1</w:t>
      </w:r>
      <w:r w:rsidR="00FD4A04">
        <w:rPr>
          <w:rStyle w:val="ab"/>
        </w:rPr>
        <w:t>00</w:t>
      </w:r>
      <w:r w:rsidR="00FD4A04">
        <w:rPr>
          <w:rStyle w:val="ab"/>
          <w:rFonts w:hint="eastAsia"/>
        </w:rPr>
        <w:t>亿），真正选出大盘股</w:t>
      </w: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通过上述选股，选出的数量为7</w:t>
      </w:r>
      <w:r>
        <w:rPr>
          <w:rStyle w:val="ab"/>
          <w:b w:val="0"/>
          <w:bCs w:val="0"/>
          <w:sz w:val="18"/>
        </w:rPr>
        <w:t>00</w:t>
      </w:r>
      <w:r>
        <w:rPr>
          <w:rStyle w:val="ab"/>
          <w:rFonts w:hint="eastAsia"/>
          <w:b w:val="0"/>
          <w:bCs w:val="0"/>
          <w:sz w:val="18"/>
        </w:rPr>
        <w:t>个，可以认为已经完全提取出了大盘股，只不混杂小盘股。</w:t>
      </w:r>
    </w:p>
    <w:p w:rsidR="004247AE" w:rsidRDefault="004247AE" w:rsidP="00C3317D">
      <w:pPr>
        <w:rPr>
          <w:rStyle w:val="ab"/>
          <w:b w:val="0"/>
          <w:bCs w:val="0"/>
          <w:sz w:val="18"/>
        </w:rPr>
      </w:pP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此时，对于HS</w:t>
      </w:r>
      <w:r>
        <w:rPr>
          <w:rStyle w:val="ab"/>
          <w:b w:val="0"/>
          <w:bCs w:val="0"/>
          <w:sz w:val="18"/>
        </w:rPr>
        <w:t>300</w:t>
      </w:r>
      <w:r>
        <w:rPr>
          <w:rStyle w:val="ab"/>
          <w:rFonts w:hint="eastAsia"/>
          <w:b w:val="0"/>
          <w:bCs w:val="0"/>
          <w:sz w:val="18"/>
        </w:rPr>
        <w:t>的超额收益增长稳定，而且达到了2倍；</w:t>
      </w:r>
      <w:r w:rsidR="00C7224D">
        <w:rPr>
          <w:rStyle w:val="ab"/>
          <w:rFonts w:hint="eastAsia"/>
          <w:b w:val="0"/>
          <w:bCs w:val="0"/>
          <w:sz w:val="18"/>
        </w:rPr>
        <w:t>尤其是</w:t>
      </w:r>
      <w:r w:rsidR="00C7224D">
        <w:rPr>
          <w:rStyle w:val="ab"/>
          <w:b w:val="0"/>
          <w:bCs w:val="0"/>
          <w:sz w:val="18"/>
        </w:rPr>
        <w:t>15</w:t>
      </w:r>
      <w:r w:rsidR="00C7224D">
        <w:rPr>
          <w:rStyle w:val="ab"/>
          <w:rFonts w:hint="eastAsia"/>
          <w:b w:val="0"/>
          <w:bCs w:val="0"/>
          <w:sz w:val="18"/>
        </w:rPr>
        <w:t>年以后，由于只包含了大盘股，超额收益增长稳定，</w:t>
      </w:r>
      <w:r>
        <w:rPr>
          <w:rStyle w:val="ab"/>
          <w:rFonts w:hint="eastAsia"/>
          <w:b w:val="0"/>
          <w:bCs w:val="0"/>
          <w:sz w:val="18"/>
        </w:rPr>
        <w:t>较之前的结果有了提升。</w:t>
      </w:r>
    </w:p>
    <w:p w:rsidR="00FD4A04" w:rsidRDefault="00C3317D" w:rsidP="00C3317D">
      <w:pPr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C5393C8" wp14:editId="06579593">
            <wp:extent cx="2719889" cy="209214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4" w:rsidRDefault="00FD4A04" w:rsidP="00C3317D">
      <w:pPr>
        <w:rPr>
          <w:rStyle w:val="ab"/>
          <w:b w:val="0"/>
          <w:bCs w:val="0"/>
          <w:sz w:val="18"/>
        </w:rPr>
      </w:pPr>
    </w:p>
    <w:p w:rsidR="004247AE" w:rsidRDefault="004247AE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进一步分析对比各年超额收益。</w:t>
      </w:r>
    </w:p>
    <w:p w:rsidR="004247AE" w:rsidRDefault="004247AE" w:rsidP="00694C62">
      <w:pPr>
        <w:ind w:rightChars="-94" w:right="-197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92435E2" wp14:editId="0FE52494">
            <wp:extent cx="2640842" cy="191282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816" cy="19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E556" wp14:editId="7207E693">
            <wp:extent cx="2617076" cy="18982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422" cy="19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CB79" wp14:editId="44C42780">
            <wp:extent cx="2681785" cy="194518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093" cy="1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A45B" wp14:editId="15397149">
            <wp:extent cx="2695432" cy="19242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906" cy="1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6C11C799" wp14:editId="3B52764A">
            <wp:extent cx="2695484" cy="1924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173" cy="1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F0107" wp14:editId="4248574A">
            <wp:extent cx="2611679" cy="191993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117" cy="19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09FEEA0C" wp14:editId="2F5A89D7">
            <wp:extent cx="2580532" cy="189703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328" cy="19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92A2" wp14:editId="71704610">
            <wp:extent cx="2605995" cy="18902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844" cy="19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3C4A" wp14:editId="45E2DF45">
            <wp:extent cx="2643316" cy="192433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257" cy="1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0424F" wp14:editId="67E6B09E">
            <wp:extent cx="2652409" cy="1923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74" cy="19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Cs w:val="0"/>
          <w:sz w:val="18"/>
        </w:rPr>
      </w:pPr>
      <w:r w:rsidRPr="007C2DB8">
        <w:rPr>
          <w:rStyle w:val="ab"/>
          <w:rFonts w:hint="eastAsia"/>
          <w:bCs w:val="0"/>
          <w:sz w:val="18"/>
        </w:rPr>
        <w:t>1</w:t>
      </w:r>
      <w:r w:rsidRPr="007C2DB8">
        <w:rPr>
          <w:rStyle w:val="ab"/>
          <w:bCs w:val="0"/>
          <w:sz w:val="18"/>
        </w:rPr>
        <w:t>2</w:t>
      </w:r>
      <w:r w:rsidRPr="007C2DB8">
        <w:rPr>
          <w:rStyle w:val="ab"/>
          <w:rFonts w:hint="eastAsia"/>
          <w:bCs w:val="0"/>
          <w:sz w:val="18"/>
        </w:rPr>
        <w:t>/5与分析师通电话后，获知以下细节：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b w:val="0"/>
          <w:bCs w:val="0"/>
          <w:sz w:val="18"/>
        </w:rPr>
        <w:t>u+-3*σ的剔除函数，不知道是在一个时间横截面上剔除，还是在一个个股的横截面上剔除？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b w:val="0"/>
          <w:bCs w:val="0"/>
          <w:sz w:val="18"/>
        </w:rPr>
        <w:t xml:space="preserve">A: </w:t>
      </w:r>
      <w:r w:rsidRPr="007C2DB8">
        <w:rPr>
          <w:rStyle w:val="ab"/>
          <w:b w:val="0"/>
          <w:bCs w:val="0"/>
          <w:sz w:val="18"/>
        </w:rPr>
        <w:t>只是剔除了PB&gt;30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>
        <w:rPr>
          <w:rStyle w:val="ab"/>
          <w:rFonts w:hint="eastAsia"/>
          <w:b w:val="0"/>
          <w:bCs w:val="0"/>
          <w:sz w:val="18"/>
        </w:rPr>
        <w:t>回归斜率线出现负数如何处理？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A：可以理解为中国股市出现不理智现象，应剔除这一时间、这一个行业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rFonts w:hint="eastAsia"/>
          <w:b w:val="0"/>
          <w:bCs w:val="0"/>
          <w:sz w:val="18"/>
        </w:rPr>
        <w:t>在行业分类上，研报中采用了申万二级，我这边采用了我所能找到的</w:t>
      </w:r>
      <w:r w:rsidRPr="007C2DB8">
        <w:rPr>
          <w:rStyle w:val="ab"/>
          <w:b w:val="0"/>
          <w:bCs w:val="0"/>
          <w:sz w:val="18"/>
        </w:rPr>
        <w:t>Sina一级分类。</w:t>
      </w:r>
      <w:r>
        <w:rPr>
          <w:rStyle w:val="ab"/>
          <w:rFonts w:hint="eastAsia"/>
          <w:b w:val="0"/>
          <w:bCs w:val="0"/>
          <w:sz w:val="18"/>
        </w:rPr>
        <w:t>申万二级的分类达到9</w:t>
      </w:r>
      <w:r>
        <w:rPr>
          <w:rStyle w:val="ab"/>
          <w:b w:val="0"/>
          <w:bCs w:val="0"/>
          <w:sz w:val="18"/>
        </w:rPr>
        <w:t>0</w:t>
      </w:r>
      <w:r>
        <w:rPr>
          <w:rStyle w:val="ab"/>
          <w:rFonts w:hint="eastAsia"/>
          <w:b w:val="0"/>
          <w:bCs w:val="0"/>
          <w:sz w:val="18"/>
        </w:rPr>
        <w:t>个类别，会不会造成每一个行业内数据点数量太少？</w:t>
      </w:r>
      <w:r w:rsidRPr="007C2DB8">
        <w:rPr>
          <w:rStyle w:val="ab"/>
          <w:rFonts w:hint="eastAsia"/>
          <w:b w:val="0"/>
          <w:bCs w:val="0"/>
          <w:sz w:val="18"/>
        </w:rPr>
        <w:t xml:space="preserve">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细分以后，确实会很少</w:t>
      </w:r>
      <w:r>
        <w:rPr>
          <w:rStyle w:val="ab"/>
          <w:rFonts w:hint="eastAsia"/>
          <w:b w:val="0"/>
          <w:bCs w:val="0"/>
          <w:sz w:val="18"/>
        </w:rPr>
        <w:t>，只要斜率不为负，不影响结果。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 xml:space="preserve">   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Q：股票池需要进一步细分为中盘，大盘，小盘，但是细分标准需要统一？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细分标准是</w:t>
      </w:r>
      <w:r>
        <w:rPr>
          <w:rStyle w:val="ab"/>
          <w:rFonts w:hint="eastAsia"/>
          <w:b w:val="0"/>
          <w:bCs w:val="0"/>
          <w:sz w:val="18"/>
        </w:rPr>
        <w:t>：市值排名</w:t>
      </w:r>
      <w:r w:rsidRPr="007C2DB8">
        <w:rPr>
          <w:rStyle w:val="ab"/>
          <w:b w:val="0"/>
          <w:bCs w:val="0"/>
          <w:sz w:val="18"/>
        </w:rPr>
        <w:t>前20%大盘股 后30%小盘股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更新结果：</w:t>
      </w: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小盘股</w:t>
      </w:r>
      <w:r w:rsidR="00C75AFA" w:rsidRPr="002F5A36">
        <w:rPr>
          <w:rStyle w:val="ab"/>
          <w:rFonts w:hint="eastAsia"/>
          <w:bCs w:val="0"/>
          <w:sz w:val="18"/>
        </w:rPr>
        <w:t>（以中证5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35E3FE4" wp14:editId="3353DEE2">
            <wp:extent cx="2371725" cy="18551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3255" cy="18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超额收益达到近4倍，但是对比研报的近6倍还是有所差距。</w:t>
      </w:r>
    </w:p>
    <w:p w:rsidR="00BA58D5" w:rsidRDefault="00BA58D5" w:rsidP="00BB2E55">
      <w:pPr>
        <w:ind w:leftChars="-607" w:left="-1275" w:rightChars="-567" w:right="-1191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990567E" wp14:editId="22A968D5">
            <wp:extent cx="3037782" cy="20904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886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E55">
        <w:rPr>
          <w:noProof/>
        </w:rPr>
        <w:drawing>
          <wp:inline distT="0" distB="0" distL="0" distR="0" wp14:anchorId="26DD4FA2" wp14:editId="1344B3ED">
            <wp:extent cx="3683734" cy="20897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22" cy="21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8D5" w:rsidRPr="0057220B" w:rsidRDefault="00BA58D5" w:rsidP="007C2DB8">
      <w:pPr>
        <w:ind w:rightChars="-162" w:right="-340"/>
        <w:rPr>
          <w:rStyle w:val="ab"/>
          <w:b w:val="0"/>
          <w:bCs w:val="0"/>
        </w:rPr>
      </w:pPr>
      <w:r w:rsidRPr="0057220B">
        <w:rPr>
          <w:rStyle w:val="ab"/>
          <w:rFonts w:hint="eastAsia"/>
          <w:b w:val="0"/>
          <w:bCs w:val="0"/>
        </w:rPr>
        <w:t>修正小盘的权重，修正为等值加权</w:t>
      </w:r>
      <w:r w:rsidR="00BB2E55" w:rsidRPr="0057220B">
        <w:rPr>
          <w:rStyle w:val="ab"/>
          <w:rFonts w:hint="eastAsia"/>
          <w:b w:val="0"/>
          <w:bCs w:val="0"/>
        </w:rPr>
        <w:t>后，效果和研报几乎完全相同。</w:t>
      </w:r>
    </w:p>
    <w:p w:rsidR="002F5A36" w:rsidRPr="0057220B" w:rsidRDefault="00BB2E55" w:rsidP="007C2DB8">
      <w:pPr>
        <w:ind w:rightChars="-162" w:right="-340"/>
        <w:rPr>
          <w:rStyle w:val="ab"/>
          <w:rFonts w:hint="eastAsia"/>
          <w:bCs w:val="0"/>
        </w:rPr>
      </w:pPr>
      <w:r w:rsidRPr="0057220B">
        <w:rPr>
          <w:rStyle w:val="ab"/>
          <w:rFonts w:hint="eastAsia"/>
          <w:bCs w:val="0"/>
        </w:rPr>
        <w:t>只是开仓时间的区别，导致了最终超额收益的差异：研报巧妙地采用了</w:t>
      </w:r>
      <w:r w:rsidRPr="0057220B">
        <w:rPr>
          <w:rStyle w:val="ab"/>
          <w:bCs w:val="0"/>
        </w:rPr>
        <w:t>09</w:t>
      </w:r>
      <w:r w:rsidRPr="0057220B">
        <w:rPr>
          <w:rStyle w:val="ab"/>
          <w:rFonts w:hint="eastAsia"/>
          <w:bCs w:val="0"/>
        </w:rPr>
        <w:t>年末作为起点，因此整个回测时间段的标的涨幅几乎为0%。</w:t>
      </w:r>
      <w:r w:rsidR="001C0FCE" w:rsidRPr="0057220B">
        <w:rPr>
          <w:rStyle w:val="ab"/>
          <w:rFonts w:hint="eastAsia"/>
          <w:bCs w:val="0"/>
        </w:rPr>
        <w:t>在本文回测中，用了0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年初作为</w:t>
      </w:r>
      <w:r w:rsidR="005624EC" w:rsidRPr="0057220B">
        <w:rPr>
          <w:rStyle w:val="ab"/>
          <w:rFonts w:hint="eastAsia"/>
          <w:bCs w:val="0"/>
        </w:rPr>
        <w:t>起点</w:t>
      </w:r>
      <w:r w:rsidR="001C0FCE" w:rsidRPr="0057220B">
        <w:rPr>
          <w:rStyle w:val="ab"/>
          <w:rFonts w:hint="eastAsia"/>
          <w:bCs w:val="0"/>
        </w:rPr>
        <w:t>，因此整个回测时间段标的涨幅为5</w:t>
      </w:r>
      <w:r w:rsidR="001C0FCE" w:rsidRPr="0057220B">
        <w:rPr>
          <w:rStyle w:val="ab"/>
          <w:bCs w:val="0"/>
        </w:rPr>
        <w:t>0</w:t>
      </w:r>
      <w:r w:rsidR="001C0FCE" w:rsidRPr="0057220B">
        <w:rPr>
          <w:rStyle w:val="ab"/>
          <w:rFonts w:hint="eastAsia"/>
          <w:bCs w:val="0"/>
        </w:rPr>
        <w:t>%；另外，观察到0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年的超额收益几乎可以忽略不计。综上所述，已经成功复制了结果。</w:t>
      </w:r>
    </w:p>
    <w:p w:rsidR="00BB2E55" w:rsidRDefault="00BB2E55" w:rsidP="007C2DB8">
      <w:pPr>
        <w:ind w:rightChars="-162" w:right="-340"/>
        <w:rPr>
          <w:rStyle w:val="ab"/>
          <w:rFonts w:hint="eastAsia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大盘股</w:t>
      </w:r>
      <w:r w:rsidR="00C75AFA" w:rsidRPr="002F5A36">
        <w:rPr>
          <w:rStyle w:val="ab"/>
          <w:rFonts w:hint="eastAsia"/>
          <w:bCs w:val="0"/>
          <w:sz w:val="18"/>
        </w:rPr>
        <w:t>（以沪深3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C75AFA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2D8DB1B3" wp14:editId="19032E1A">
            <wp:extent cx="3673815" cy="2790967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017" cy="28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超额收益约为1</w:t>
      </w:r>
      <w:r>
        <w:rPr>
          <w:rStyle w:val="ab"/>
          <w:b w:val="0"/>
          <w:bCs w:val="0"/>
          <w:sz w:val="18"/>
        </w:rPr>
        <w:t>.75</w:t>
      </w:r>
      <w:r>
        <w:rPr>
          <w:rStyle w:val="ab"/>
          <w:rFonts w:hint="eastAsia"/>
          <w:b w:val="0"/>
          <w:bCs w:val="0"/>
          <w:sz w:val="18"/>
        </w:rPr>
        <w:t>倍，略优于研报的1</w:t>
      </w:r>
      <w:r>
        <w:rPr>
          <w:rStyle w:val="ab"/>
          <w:b w:val="0"/>
          <w:bCs w:val="0"/>
          <w:sz w:val="18"/>
        </w:rPr>
        <w:t>.4</w:t>
      </w:r>
      <w:r>
        <w:rPr>
          <w:rStyle w:val="ab"/>
          <w:rFonts w:hint="eastAsia"/>
          <w:b w:val="0"/>
          <w:bCs w:val="0"/>
          <w:sz w:val="18"/>
        </w:rPr>
        <w:t>倍。</w:t>
      </w:r>
    </w:p>
    <w:p w:rsidR="0051374B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1C7C2298" wp14:editId="7D88EAF6">
            <wp:extent cx="3548547" cy="27295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626" cy="27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4B" w:rsidRPr="007C2DB8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如果加上原先的选股条件：“2</w:t>
      </w:r>
      <w:r>
        <w:rPr>
          <w:rStyle w:val="ab"/>
          <w:b w:val="0"/>
          <w:bCs w:val="0"/>
          <w:sz w:val="18"/>
        </w:rPr>
        <w:t>015</w:t>
      </w:r>
      <w:r>
        <w:rPr>
          <w:rStyle w:val="ab"/>
          <w:rFonts w:hint="eastAsia"/>
          <w:b w:val="0"/>
          <w:bCs w:val="0"/>
          <w:sz w:val="18"/>
        </w:rPr>
        <w:t>年以前市值&gt;</w:t>
      </w:r>
      <w:r>
        <w:rPr>
          <w:rStyle w:val="ab"/>
          <w:b w:val="0"/>
          <w:bCs w:val="0"/>
          <w:sz w:val="18"/>
        </w:rPr>
        <w:t>100</w:t>
      </w:r>
      <w:r>
        <w:rPr>
          <w:rStyle w:val="ab"/>
          <w:rFonts w:hint="eastAsia"/>
          <w:b w:val="0"/>
          <w:bCs w:val="0"/>
          <w:sz w:val="18"/>
        </w:rPr>
        <w:t>亿”，效果会更好</w:t>
      </w:r>
    </w:p>
    <w:sectPr w:rsidR="0051374B" w:rsidRPr="007C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C10" w:rsidRDefault="00830C10" w:rsidP="00DC430D">
      <w:r>
        <w:separator/>
      </w:r>
    </w:p>
  </w:endnote>
  <w:endnote w:type="continuationSeparator" w:id="0">
    <w:p w:rsidR="00830C10" w:rsidRDefault="00830C10" w:rsidP="00DC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C10" w:rsidRDefault="00830C10" w:rsidP="00DC430D">
      <w:r>
        <w:separator/>
      </w:r>
    </w:p>
  </w:footnote>
  <w:footnote w:type="continuationSeparator" w:id="0">
    <w:p w:rsidR="00830C10" w:rsidRDefault="00830C10" w:rsidP="00DC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A1C"/>
    <w:multiLevelType w:val="hybridMultilevel"/>
    <w:tmpl w:val="2A6C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C0FCE"/>
    <w:rsid w:val="001D2CB7"/>
    <w:rsid w:val="002318DD"/>
    <w:rsid w:val="00237914"/>
    <w:rsid w:val="002B6099"/>
    <w:rsid w:val="002F5A36"/>
    <w:rsid w:val="00371D8E"/>
    <w:rsid w:val="00401F39"/>
    <w:rsid w:val="004247AE"/>
    <w:rsid w:val="00500FCA"/>
    <w:rsid w:val="0051374B"/>
    <w:rsid w:val="0055328E"/>
    <w:rsid w:val="005624EC"/>
    <w:rsid w:val="0057220B"/>
    <w:rsid w:val="00627027"/>
    <w:rsid w:val="00694C62"/>
    <w:rsid w:val="006D3D5B"/>
    <w:rsid w:val="007B6BF5"/>
    <w:rsid w:val="007C2DB8"/>
    <w:rsid w:val="00830C10"/>
    <w:rsid w:val="00A22BDC"/>
    <w:rsid w:val="00A842A5"/>
    <w:rsid w:val="00AA200F"/>
    <w:rsid w:val="00B94852"/>
    <w:rsid w:val="00BA58D5"/>
    <w:rsid w:val="00BB2E55"/>
    <w:rsid w:val="00BD6EFF"/>
    <w:rsid w:val="00C3317D"/>
    <w:rsid w:val="00C7224D"/>
    <w:rsid w:val="00C75AFA"/>
    <w:rsid w:val="00DC430D"/>
    <w:rsid w:val="00EC6DFD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84A6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C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3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30D"/>
    <w:rPr>
      <w:sz w:val="18"/>
      <w:szCs w:val="18"/>
    </w:rPr>
  </w:style>
  <w:style w:type="character" w:styleId="ab">
    <w:name w:val="Strong"/>
    <w:basedOn w:val="a0"/>
    <w:uiPriority w:val="22"/>
    <w:qFormat/>
    <w:rsid w:val="00DC4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971</Words>
  <Characters>1070</Characters>
  <Application>Microsoft Office Word</Application>
  <DocSecurity>0</DocSecurity>
  <Lines>71</Lines>
  <Paragraphs>81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18</cp:revision>
  <dcterms:created xsi:type="dcterms:W3CDTF">2018-12-03T08:45:00Z</dcterms:created>
  <dcterms:modified xsi:type="dcterms:W3CDTF">2018-12-06T09:01:00Z</dcterms:modified>
</cp:coreProperties>
</file>