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0"/>
      </w:pPr>
    </w:p>
    <w:p>
      <w:pPr>
        <w:spacing w:before="40" w:after="100"/>
      </w:pPr>
      <w:r>
        <w:rPr>
          <w:rFonts w:ascii="Calibri" w:hAnsi="Calibri"/>
          <w:b/>
          <w:i w:val="0"/>
          <w:color w:val="2CA8C2"/>
          <w:sz w:val="18"/>
        </w:rPr>
        <w:t>CORPORATE WEBSITE STRATEGY</w:t>
      </w:r>
    </w:p>
    <w:p>
      <w:pPr>
        <w:keepNext/>
        <w:spacing w:after="200"/>
      </w:pPr>
      <w:r>
        <w:rPr>
          <w:rFonts w:ascii="Calibri" w:hAnsi="Calibri"/>
          <w:b/>
          <w:i w:val="0"/>
          <w:color w:val="0B2545"/>
          <w:sz w:val="62"/>
        </w:rPr>
        <w:t>COPAD Corporate Website</w:t>
      </w:r>
    </w:p>
    <w:p>
      <w:pPr>
        <w:spacing w:after="480"/>
      </w:pPr>
      <w:r>
        <w:rPr>
          <w:rFonts w:ascii="Calibri" w:hAnsi="Calibri"/>
          <w:b w:val="0"/>
          <w:i w:val="0"/>
          <w:color w:val="1677A8"/>
          <w:sz w:val="36"/>
        </w:rPr>
        <w:t>Website Direction &amp; Roadmap</w:t>
      </w:r>
    </w:p>
    <w:p>
      <w:pPr>
        <w:spacing w:after="160"/>
        <w:pBdr>
          <w:bottom w:val="single" w:sz="22" w:space="1" w:color="2CA8C2"/>
        </w:pBdr>
      </w:pPr>
    </w:p>
    <w:p>
      <w:pPr>
        <w:spacing w:after="360"/>
      </w:pPr>
    </w:p>
    <w:p>
      <w:pPr>
        <w:spacing w:after="1400" w:line="300" w:lineRule="auto"/>
      </w:pPr>
      <w:r>
        <w:rPr>
          <w:rFonts w:ascii="Calibri" w:hAnsi="Calibri"/>
          <w:b w:val="0"/>
          <w:i w:val="0"/>
          <w:color w:val="253244"/>
          <w:sz w:val="26"/>
        </w:rPr>
        <w:t>A clear client-facing plan for COPAD's main corporate website, its content structure, visitor experience, management approach, and the reference direction guiding the project.</w:t>
      </w:r>
    </w:p>
    <w:p>
      <w:pPr>
        <w:spacing w:after="80"/>
      </w:pPr>
      <w:r>
        <w:rPr>
          <w:rFonts w:ascii="Calibri" w:hAnsi="Calibri"/>
          <w:b/>
          <w:i w:val="0"/>
          <w:color w:val="64748B"/>
          <w:sz w:val="18"/>
        </w:rPr>
        <w:t>Prepared for</w:t>
      </w:r>
    </w:p>
    <w:p>
      <w:r>
        <w:rPr>
          <w:rFonts w:ascii="Calibri" w:hAnsi="Calibri"/>
          <w:b/>
          <w:i w:val="0"/>
          <w:color w:val="0B2545"/>
          <w:sz w:val="28"/>
        </w:rPr>
        <w:t>COPAD Pharma Egypt</w:t>
      </w:r>
    </w:p>
    <w:p>
      <w:r>
        <w:br w:type="page"/>
      </w:r>
    </w:p>
    <w:p>
      <w:pPr>
        <w:spacing w:before="40" w:after="100"/>
      </w:pPr>
      <w:r>
        <w:rPr>
          <w:rFonts w:ascii="Calibri" w:hAnsi="Calibri"/>
          <w:b/>
          <w:i w:val="0"/>
          <w:color w:val="2CA8C2"/>
          <w:sz w:val="18"/>
        </w:rPr>
        <w:t>01  PROJECT UNDERSTANDING</w:t>
      </w:r>
    </w:p>
    <w:p>
      <w:pPr>
        <w:pStyle w:val="Heading1"/>
        <w:keepNext/>
      </w:pPr>
      <w:r>
        <w:t>The role of the corporate website</w:t>
      </w:r>
    </w:p>
    <w:p>
      <w:r>
        <w:rPr>
          <w:rFonts w:ascii="Calibri" w:hAnsi="Calibri"/>
          <w:b w:val="0"/>
          <w:i w:val="0"/>
          <w:color w:val="253244"/>
          <w:sz w:val="22"/>
        </w:rPr>
        <w:t>The website will be COPAD's official corporate platform. Its purpose is to present the company with the credibility, clarity, and scale expected from a major Egyptian pharmaceutical business.</w:t>
      </w:r>
    </w:p>
    <w:p>
      <w:r>
        <w:rPr>
          <w:rFonts w:ascii="Calibri" w:hAnsi="Calibri"/>
          <w:b w:val="0"/>
          <w:i w:val="0"/>
          <w:color w:val="253244"/>
          <w:sz w:val="22"/>
        </w:rPr>
        <w:t>It will be more than a digital company profile. It will act as the central source for COPAD's corporate story, business divisions, therapeutic expertise, product portfolio, manufacturing capabilities, quality standards, medical content, partnerships, and contact routes.</w:t>
      </w:r>
    </w:p>
    <w:p>
      <w:pPr>
        <w:spacing w:before="120" w:after="240" w:line="276" w:lineRule="auto"/>
        <w:ind w:left="115" w:right="115"/>
        <w:shd w:fill="EDF4F7"/>
        <w:pBdr>
          <w:left w:val="single" w:sz="18" w:space="8" w:color="2CA8C2"/>
        </w:pBdr>
      </w:pPr>
      <w:r>
        <w:rPr>
          <w:rFonts w:ascii="Calibri" w:hAnsi="Calibri"/>
          <w:b/>
          <w:i w:val="0"/>
          <w:color w:val="0B2545"/>
          <w:sz w:val="22"/>
        </w:rPr>
        <w:t>Core direction</w:t>
        <w:br/>
      </w:r>
      <w:r>
        <w:rPr>
          <w:rFonts w:ascii="Calibri" w:hAnsi="Calibri"/>
          <w:b w:val="0"/>
          <w:i w:val="0"/>
          <w:color w:val="253244"/>
          <w:sz w:val="21"/>
        </w:rPr>
        <w:t>The corporate website builds trust in the COPAD name. Future specialist websites will provide the focused experience required by each business division.</w:t>
      </w:r>
    </w:p>
    <w:p>
      <w:pPr>
        <w:pStyle w:val="Heading2"/>
        <w:keepNext/>
      </w:pPr>
      <w:r>
        <w:t>The wider digital ecosystem</w:t>
      </w:r>
    </w:p>
    <w:p>
      <w:r>
        <w:rPr>
          <w:rFonts w:ascii="Calibri" w:hAnsi="Calibri"/>
          <w:b w:val="0"/>
          <w:i w:val="0"/>
          <w:color w:val="253244"/>
          <w:sz w:val="22"/>
        </w:rPr>
        <w:t>The main website will be designed as the gateway to three specialist destinations that can be connected in the future:</w:t>
      </w:r>
    </w:p>
    <w:p>
      <w:pPr>
        <w:spacing w:after="160" w:line="280" w:lineRule="auto"/>
        <w:ind w:left="720" w:hanging="360"/>
        <w:numPr>
          <w:ilvl w:val="0"/>
          <w:numId w:val="10"/>
        </w:numPr>
      </w:pPr>
      <w:r>
        <w:rPr>
          <w:rFonts w:ascii="Calibri" w:hAnsi="Calibri"/>
          <w:b w:val="0"/>
          <w:i w:val="0"/>
          <w:color w:val="253244"/>
          <w:sz w:val="22"/>
        </w:rPr>
        <w:t>A pharmaceutical and healthcare-professional destination.</w:t>
      </w:r>
    </w:p>
    <w:p>
      <w:pPr>
        <w:spacing w:after="160" w:line="280" w:lineRule="auto"/>
        <w:ind w:left="720" w:hanging="360"/>
        <w:numPr>
          <w:ilvl w:val="0"/>
          <w:numId w:val="10"/>
        </w:numPr>
      </w:pPr>
      <w:r>
        <w:rPr>
          <w:rFonts w:ascii="Calibri" w:hAnsi="Calibri"/>
          <w:b w:val="0"/>
          <w:i w:val="0"/>
          <w:color w:val="253244"/>
          <w:sz w:val="22"/>
        </w:rPr>
        <w:t>An e-commerce destination for supplements and wellness products.</w:t>
      </w:r>
    </w:p>
    <w:p>
      <w:pPr>
        <w:spacing w:after="160" w:line="280" w:lineRule="auto"/>
        <w:ind w:left="720" w:hanging="360"/>
        <w:numPr>
          <w:ilvl w:val="0"/>
          <w:numId w:val="10"/>
        </w:numPr>
      </w:pPr>
      <w:r>
        <w:rPr>
          <w:rFonts w:ascii="Calibri" w:hAnsi="Calibri"/>
          <w:b w:val="0"/>
          <w:i w:val="0"/>
          <w:color w:val="253244"/>
          <w:sz w:val="22"/>
        </w:rPr>
        <w:t>A specialist destination for veterinary products.</w:t>
      </w:r>
    </w:p>
    <w:p>
      <w:pPr>
        <w:pStyle w:val="Heading2"/>
        <w:keepNext/>
      </w:pPr>
      <w:r>
        <w:t>What the website must communicate</w:t>
      </w:r>
    </w:p>
    <w:p>
      <w:pPr>
        <w:spacing w:after="160" w:line="280" w:lineRule="auto"/>
        <w:ind w:left="720" w:hanging="360"/>
        <w:numPr>
          <w:ilvl w:val="0"/>
          <w:numId w:val="10"/>
        </w:numPr>
      </w:pPr>
      <w:r>
        <w:rPr>
          <w:rFonts w:ascii="Calibri" w:hAnsi="Calibri"/>
          <w:b w:val="0"/>
          <w:i w:val="0"/>
          <w:color w:val="253244"/>
          <w:sz w:val="22"/>
        </w:rPr>
        <w:t>Who COPAD is and how the company has developed.</w:t>
      </w:r>
    </w:p>
    <w:p>
      <w:pPr>
        <w:spacing w:after="160" w:line="280" w:lineRule="auto"/>
        <w:ind w:left="720" w:hanging="360"/>
        <w:numPr>
          <w:ilvl w:val="0"/>
          <w:numId w:val="10"/>
        </w:numPr>
      </w:pPr>
      <w:r>
        <w:rPr>
          <w:rFonts w:ascii="Calibri" w:hAnsi="Calibri"/>
          <w:b w:val="0"/>
          <w:i w:val="0"/>
          <w:color w:val="253244"/>
          <w:sz w:val="22"/>
        </w:rPr>
        <w:t>The industries and business divisions in which COPAD operates.</w:t>
      </w:r>
    </w:p>
    <w:p>
      <w:pPr>
        <w:spacing w:after="160" w:line="280" w:lineRule="auto"/>
        <w:ind w:left="720" w:hanging="360"/>
        <w:numPr>
          <w:ilvl w:val="0"/>
          <w:numId w:val="10"/>
        </w:numPr>
      </w:pPr>
      <w:r>
        <w:rPr>
          <w:rFonts w:ascii="Calibri" w:hAnsi="Calibri"/>
          <w:b w:val="0"/>
          <w:i w:val="0"/>
          <w:color w:val="253244"/>
          <w:sz w:val="22"/>
        </w:rPr>
        <w:t>The breadth of COPAD's therapeutic expertise and portfolio.</w:t>
      </w:r>
    </w:p>
    <w:p>
      <w:pPr>
        <w:spacing w:after="160" w:line="280" w:lineRule="auto"/>
        <w:ind w:left="720" w:hanging="360"/>
        <w:numPr>
          <w:ilvl w:val="0"/>
          <w:numId w:val="10"/>
        </w:numPr>
      </w:pPr>
      <w:r>
        <w:rPr>
          <w:rFonts w:ascii="Calibri" w:hAnsi="Calibri"/>
          <w:b w:val="0"/>
          <w:i w:val="0"/>
          <w:color w:val="253244"/>
          <w:sz w:val="22"/>
        </w:rPr>
        <w:t>The company's manufacturing, quality, and scientific capabilities.</w:t>
      </w:r>
    </w:p>
    <w:p>
      <w:pPr>
        <w:spacing w:after="160" w:line="280" w:lineRule="auto"/>
        <w:ind w:left="720" w:hanging="360"/>
        <w:numPr>
          <w:ilvl w:val="0"/>
          <w:numId w:val="10"/>
        </w:numPr>
      </w:pPr>
      <w:r>
        <w:rPr>
          <w:rFonts w:ascii="Calibri" w:hAnsi="Calibri"/>
          <w:b w:val="0"/>
          <w:i w:val="0"/>
          <w:color w:val="253244"/>
          <w:sz w:val="22"/>
        </w:rPr>
        <w:t>How partners, distributors, professionals, candidates, and the public can engage with COPAD.</w:t>
      </w:r>
    </w:p>
    <w:p>
      <w:pPr>
        <w:spacing w:before="40" w:after="100"/>
      </w:pPr>
      <w:r>
        <w:rPr>
          <w:rFonts w:ascii="Calibri" w:hAnsi="Calibri"/>
          <w:b/>
          <w:i w:val="0"/>
          <w:color w:val="2CA8C2"/>
          <w:sz w:val="18"/>
        </w:rPr>
        <w:t>02  WHAT WE WILL DO</w:t>
      </w:r>
    </w:p>
    <w:p>
      <w:pPr>
        <w:pStyle w:val="Heading1"/>
        <w:keepNext/>
      </w:pPr>
      <w:r>
        <w:t>Turn company information into a clear digital story</w:t>
      </w:r>
    </w:p>
    <w:p>
      <w:r>
        <w:rPr>
          <w:rFonts w:ascii="Calibri" w:hAnsi="Calibri"/>
          <w:b w:val="0"/>
          <w:i w:val="0"/>
          <w:color w:val="253244"/>
          <w:sz w:val="22"/>
        </w:rPr>
        <w:t>The project begins by understanding COPAD as a business, then organizing its available information into a website structure that is easy for different audiences to understand.</w:t>
      </w:r>
    </w:p>
    <w:p>
      <w:pPr>
        <w:pStyle w:val="Heading2"/>
        <w:keepNext/>
      </w:pPr>
      <w:r>
        <w:t>Understand the company</w:t>
      </w:r>
    </w:p>
    <w:p>
      <w:r>
        <w:rPr>
          <w:rFonts w:ascii="Calibri" w:hAnsi="Calibri"/>
          <w:b w:val="0"/>
          <w:i w:val="0"/>
          <w:color w:val="253244"/>
          <w:sz w:val="22"/>
        </w:rPr>
        <w:t>Review COPAD's history, divisions, therapeutic areas, portfolio, manufacturing information, quality credentials, business priorities, and available corporate materials.</w:t>
      </w:r>
    </w:p>
    <w:p>
      <w:pPr>
        <w:pStyle w:val="Heading2"/>
        <w:keepNext/>
      </w:pPr>
      <w:r>
        <w:t>Identify the audiences</w:t>
      </w:r>
    </w:p>
    <w:p>
      <w:r>
        <w:rPr>
          <w:rFonts w:ascii="Calibri" w:hAnsi="Calibri"/>
          <w:b w:val="0"/>
          <w:i w:val="0"/>
          <w:color w:val="253244"/>
          <w:sz w:val="22"/>
        </w:rPr>
        <w:t>Define what doctors, pharmacists, consumers, distributors, export partners, potential employees, and other stakeholders need to see and understand.</w:t>
      </w:r>
    </w:p>
    <w:p>
      <w:pPr>
        <w:pStyle w:val="Heading2"/>
        <w:keepNext/>
      </w:pPr>
      <w:r>
        <w:t>Organize the information</w:t>
      </w:r>
    </w:p>
    <w:p>
      <w:r>
        <w:rPr>
          <w:rFonts w:ascii="Calibri" w:hAnsi="Calibri"/>
          <w:b w:val="0"/>
          <w:i w:val="0"/>
          <w:color w:val="253244"/>
          <w:sz w:val="22"/>
        </w:rPr>
        <w:t>Create a logical structure that connects the company, its divisions, therapeutic areas, products, medical topics, capabilities, and business opportunities.</w:t>
      </w:r>
    </w:p>
    <w:p>
      <w:pPr>
        <w:pStyle w:val="Heading2"/>
        <w:keepNext/>
      </w:pPr>
      <w:r>
        <w:t>Design the experience</w:t>
      </w:r>
    </w:p>
    <w:p>
      <w:r>
        <w:rPr>
          <w:rFonts w:ascii="Calibri" w:hAnsi="Calibri"/>
          <w:b w:val="0"/>
          <w:i w:val="0"/>
          <w:color w:val="253244"/>
          <w:sz w:val="22"/>
        </w:rPr>
        <w:t>Create a professional bilingual experience that works clearly on desktop and mobile and can grow with the company.</w:t>
      </w:r>
    </w:p>
    <w:p>
      <w:pPr>
        <w:pStyle w:val="Heading2"/>
        <w:keepNext/>
      </w:pPr>
      <w:r>
        <w:t>Prepare for future destinations</w:t>
      </w:r>
    </w:p>
    <w:p>
      <w:r>
        <w:rPr>
          <w:rFonts w:ascii="Calibri" w:hAnsi="Calibri"/>
          <w:b w:val="0"/>
          <w:i w:val="0"/>
          <w:color w:val="253244"/>
          <w:sz w:val="22"/>
        </w:rPr>
        <w:t>Establish a consistent digital identity and navigation approach that can later be extended to the pharmaceutical, wellness e-commerce, and veterinary websites.</w:t>
      </w:r>
    </w:p>
    <w:p>
      <w:pPr>
        <w:spacing w:before="40" w:after="100"/>
      </w:pPr>
      <w:r>
        <w:rPr>
          <w:rFonts w:ascii="Calibri" w:hAnsi="Calibri"/>
          <w:b/>
          <w:i w:val="0"/>
          <w:color w:val="2CA8C2"/>
          <w:sz w:val="18"/>
        </w:rPr>
        <w:t>03  PROPOSED WEBSITE STRUCTURE</w:t>
      </w:r>
    </w:p>
    <w:p>
      <w:pPr>
        <w:pStyle w:val="Heading1"/>
        <w:keepNext/>
      </w:pPr>
      <w:r>
        <w:t>The main sections of the website</w:t>
      </w:r>
    </w:p>
    <w:p>
      <w:pPr>
        <w:pStyle w:val="Heading2"/>
        <w:keepNext/>
      </w:pPr>
      <w:r>
        <w:t>Homepage</w:t>
      </w:r>
    </w:p>
    <w:p>
      <w:r>
        <w:rPr>
          <w:rFonts w:ascii="Calibri" w:hAnsi="Calibri"/>
          <w:b w:val="0"/>
          <w:i w:val="0"/>
          <w:color w:val="253244"/>
          <w:sz w:val="22"/>
        </w:rPr>
        <w:t>A clear introduction to COPAD, its divisions, scale, therapeutic areas, portfolio, manufacturing strength, latest updates, partnership opportunities, and future specialist destinations.</w:t>
      </w:r>
    </w:p>
    <w:p>
      <w:pPr>
        <w:pStyle w:val="Heading2"/>
        <w:keepNext/>
      </w:pPr>
      <w:r>
        <w:t>About COPAD</w:t>
      </w:r>
    </w:p>
    <w:p>
      <w:r>
        <w:rPr>
          <w:rFonts w:ascii="Calibri" w:hAnsi="Calibri"/>
          <w:b w:val="0"/>
          <w:i w:val="0"/>
          <w:color w:val="253244"/>
          <w:sz w:val="22"/>
        </w:rPr>
        <w:t>Company overview, history, purpose, vision, values, milestones, leadership, and market presence where information is available.</w:t>
      </w:r>
    </w:p>
    <w:p>
      <w:pPr>
        <w:pStyle w:val="Heading2"/>
        <w:keepNext/>
      </w:pPr>
      <w:r>
        <w:t>Business Divisions</w:t>
      </w:r>
    </w:p>
    <w:p>
      <w:r>
        <w:rPr>
          <w:rFonts w:ascii="Calibri" w:hAnsi="Calibri"/>
          <w:b w:val="0"/>
          <w:i w:val="0"/>
          <w:color w:val="253244"/>
          <w:sz w:val="22"/>
        </w:rPr>
        <w:t>Dedicated introductions to Pharmaceutical, Wellness, and Veterinary, with a presentation style suited to the audience of each division while remaining part of one COPAD identity.</w:t>
      </w:r>
    </w:p>
    <w:p>
      <w:pPr>
        <w:pStyle w:val="Heading2"/>
        <w:keepNext/>
      </w:pPr>
      <w:r>
        <w:t>Therapeutic Areas</w:t>
      </w:r>
    </w:p>
    <w:p>
      <w:r>
        <w:rPr>
          <w:rFonts w:ascii="Calibri" w:hAnsi="Calibri"/>
          <w:b w:val="0"/>
          <w:i w:val="0"/>
          <w:color w:val="253244"/>
          <w:sz w:val="22"/>
        </w:rPr>
        <w:t>A clear overview of the medical areas in which COPAD operates. Each area can connect visitors to related conditions, products, medical topics, and approved educational material.</w:t>
      </w:r>
    </w:p>
    <w:p>
      <w:pPr>
        <w:pStyle w:val="Heading2"/>
        <w:keepNext/>
      </w:pPr>
      <w:r>
        <w:t>Product Portfolio</w:t>
      </w:r>
    </w:p>
    <w:p>
      <w:r>
        <w:rPr>
          <w:rFonts w:ascii="Calibri" w:hAnsi="Calibri"/>
          <w:b w:val="0"/>
          <w:i w:val="0"/>
          <w:color w:val="253244"/>
          <w:sz w:val="22"/>
        </w:rPr>
        <w:t>A structured product directory that supports discovery by product name, business division, therapeutic area, category, and dosage form. Product pages will use the approved information and presentation appropriate to each product type.</w:t>
      </w:r>
    </w:p>
    <w:p>
      <w:pPr>
        <w:pStyle w:val="Heading2"/>
        <w:keepNext/>
      </w:pPr>
      <w:r>
        <w:t>Manufacturing &amp; Quality</w:t>
      </w:r>
    </w:p>
    <w:p>
      <w:r>
        <w:rPr>
          <w:rFonts w:ascii="Calibri" w:hAnsi="Calibri"/>
          <w:b w:val="0"/>
          <w:i w:val="0"/>
          <w:color w:val="253244"/>
          <w:sz w:val="22"/>
        </w:rPr>
        <w:t>Facilities, production capabilities, quality systems, certifications, laboratories, testing, and research or development information where available.</w:t>
      </w:r>
    </w:p>
    <w:p>
      <w:r>
        <w:br w:type="page"/>
      </w:r>
    </w:p>
    <w:p>
      <w:pPr>
        <w:pStyle w:val="Heading2"/>
        <w:keepNext/>
      </w:pPr>
      <w:r>
        <w:t>Medical Topics &amp; Insights</w:t>
      </w:r>
    </w:p>
    <w:p>
      <w:r>
        <w:rPr>
          <w:rFonts w:ascii="Calibri" w:hAnsi="Calibri"/>
          <w:b w:val="0"/>
          <w:i w:val="0"/>
          <w:color w:val="253244"/>
          <w:sz w:val="22"/>
        </w:rPr>
        <w:t>Disease awareness, health education, medical topics, and professional resources presented in a responsible way that separates public education from prescription-product communication.</w:t>
      </w:r>
    </w:p>
    <w:p>
      <w:pPr>
        <w:pStyle w:val="Heading2"/>
        <w:keepNext/>
      </w:pPr>
      <w:r>
        <w:t>News &amp; Events</w:t>
      </w:r>
    </w:p>
    <w:p>
      <w:r>
        <w:rPr>
          <w:rFonts w:ascii="Calibri" w:hAnsi="Calibri"/>
          <w:b w:val="0"/>
          <w:i w:val="0"/>
          <w:color w:val="253244"/>
          <w:sz w:val="22"/>
        </w:rPr>
        <w:t>Company news, product launches, partnerships, events, exhibitions, scientific activities, and community initiatives.</w:t>
      </w:r>
    </w:p>
    <w:p>
      <w:pPr>
        <w:pStyle w:val="Heading2"/>
        <w:keepNext/>
      </w:pPr>
      <w:r>
        <w:t>Partner With Us</w:t>
      </w:r>
    </w:p>
    <w:p>
      <w:r>
        <w:rPr>
          <w:rFonts w:ascii="Calibri" w:hAnsi="Calibri"/>
          <w:b w:val="0"/>
          <w:i w:val="0"/>
          <w:color w:val="253244"/>
          <w:sz w:val="22"/>
        </w:rPr>
        <w:t>A clear route for distributors, export partners, commercial partners, and contract-manufacturing inquiries where applicable.</w:t>
      </w:r>
    </w:p>
    <w:p>
      <w:pPr>
        <w:pStyle w:val="Heading2"/>
        <w:keepNext/>
      </w:pPr>
      <w:r>
        <w:t>Careers</w:t>
      </w:r>
    </w:p>
    <w:p>
      <w:r>
        <w:rPr>
          <w:rFonts w:ascii="Calibri" w:hAnsi="Calibri"/>
          <w:b w:val="0"/>
          <w:i w:val="0"/>
          <w:color w:val="253244"/>
          <w:sz w:val="22"/>
        </w:rPr>
        <w:t>COPAD's workplace story, available opportunities, candidate information, and application routes.</w:t>
      </w:r>
    </w:p>
    <w:p>
      <w:pPr>
        <w:pStyle w:val="Heading2"/>
        <w:keepNext/>
      </w:pPr>
      <w:r>
        <w:t>Contact &amp; Support</w:t>
      </w:r>
    </w:p>
    <w:p>
      <w:r>
        <w:rPr>
          <w:rFonts w:ascii="Calibri" w:hAnsi="Calibri"/>
          <w:b w:val="0"/>
          <w:i w:val="0"/>
          <w:color w:val="253244"/>
          <w:sz w:val="22"/>
        </w:rPr>
        <w:t>Contact options organized by inquiry type, including corporate, medical, product, partnership, export, media, careers, and adverse-event reporting.</w:t>
      </w:r>
    </w:p>
    <w:p>
      <w:pPr>
        <w:spacing w:before="120" w:after="240" w:line="276" w:lineRule="auto"/>
        <w:ind w:left="115" w:right="115"/>
        <w:shd w:fill="EDF4F7"/>
        <w:pBdr>
          <w:left w:val="single" w:sz="18" w:space="8" w:color="2CA8C2"/>
        </w:pBdr>
      </w:pPr>
      <w:r>
        <w:rPr>
          <w:rFonts w:ascii="Calibri" w:hAnsi="Calibri"/>
          <w:b/>
          <w:i w:val="0"/>
          <w:color w:val="0B2545"/>
          <w:sz w:val="22"/>
        </w:rPr>
        <w:t>A practical content principle</w:t>
        <w:br/>
      </w:r>
      <w:r>
        <w:rPr>
          <w:rFonts w:ascii="Calibri" w:hAnsi="Calibri"/>
          <w:b w:val="0"/>
          <w:i w:val="0"/>
          <w:color w:val="253244"/>
          <w:sz w:val="21"/>
        </w:rPr>
        <w:t>Every page should help the visitor answer one of three questions: Who is COPAD? What does COPAD do? What should I do next?</w:t>
      </w:r>
    </w:p>
    <w:p>
      <w:pPr>
        <w:spacing w:before="40" w:after="100"/>
      </w:pPr>
      <w:r>
        <w:rPr>
          <w:rFonts w:ascii="Calibri" w:hAnsi="Calibri"/>
          <w:b/>
          <w:i w:val="0"/>
          <w:color w:val="2CA8C2"/>
          <w:sz w:val="18"/>
        </w:rPr>
        <w:t>04  HOW KEY CONTENT WILL BE PRESENTED</w:t>
      </w:r>
    </w:p>
    <w:p>
      <w:pPr>
        <w:pStyle w:val="Heading1"/>
        <w:keepNext/>
      </w:pPr>
      <w:r>
        <w:t>Different audiences need different treatments</w:t>
      </w:r>
    </w:p>
    <w:p>
      <w:r>
        <w:rPr>
          <w:rFonts w:ascii="Calibri" w:hAnsi="Calibri"/>
          <w:b w:val="0"/>
          <w:i w:val="0"/>
          <w:color w:val="253244"/>
          <w:sz w:val="22"/>
        </w:rPr>
        <w:t>COPAD operates across prescription pharmaceuticals, wellness products, and veterinary products. These should not be presented as if they are the same type of content.</w:t>
      </w:r>
    </w:p>
    <w:tbl>
      <w:tblPr>
        <w:tblW w:type="dxa" w:w="9360"/>
        <w:jc w:val="left"/>
        <w:tblLayout w:type="fixed"/>
        <w:tblLook w:firstColumn="1" w:firstRow="1" w:lastColumn="0" w:lastRow="0" w:noHBand="0" w:noVBand="1" w:val="04A0"/>
        <w:tblInd w:w="120" w:type="dxa"/>
      </w:tblPr>
      <w:tblGrid>
        <w:gridCol w:w="2200"/>
        <w:gridCol w:w="3580"/>
        <w:gridCol w:w="3580"/>
      </w:tblGrid>
      <w:tr>
        <w:trPr>
          <w:tblHeader w:val="true"/>
        </w:trPr>
        <w:tc>
          <w:tcPr>
            <w:tcW w:type="dxa" w:w="2200"/>
            <w:tcMar>
              <w:top w:w="100" w:type="dxa"/>
              <w:start w:w="120" w:type="dxa"/>
              <w:bottom w:w="100" w:type="dxa"/>
              <w:end w:w="120" w:type="dxa"/>
            </w:tcMar>
            <w:vAlign w:val="center"/>
            <w:shd w:fill="0B2545"/>
            <w:tcBorders>
              <w:top w:val="single" w:sz="6" w:color="0B2545"/>
              <w:start w:val="single" w:sz="6" w:color="0B2545"/>
              <w:bottom w:val="single" w:sz="6" w:color="0B2545"/>
              <w:end w:val="single" w:sz="6" w:color="0B2545"/>
              <w:insideH w:val="single" w:sz="6" w:color="0B2545"/>
              <w:insideV w:val="single" w:sz="6" w:color="0B2545"/>
            </w:tcBorders>
          </w:tcPr>
          <w:p>
            <w:pPr>
              <w:keepLines/>
            </w:pPr>
            <w:r>
              <w:rPr>
                <w:rFonts w:ascii="Calibri" w:hAnsi="Calibri"/>
                <w:b/>
                <w:i w:val="0"/>
                <w:color w:val="FFFFFF"/>
                <w:sz w:val="20"/>
              </w:rPr>
              <w:t>Area</w:t>
            </w:r>
          </w:p>
        </w:tc>
        <w:tc>
          <w:tcPr>
            <w:tcW w:type="dxa" w:w="3580"/>
            <w:tcMar>
              <w:top w:w="100" w:type="dxa"/>
              <w:start w:w="120" w:type="dxa"/>
              <w:bottom w:w="100" w:type="dxa"/>
              <w:end w:w="120" w:type="dxa"/>
            </w:tcMar>
            <w:vAlign w:val="center"/>
            <w:shd w:fill="0B2545"/>
            <w:tcBorders>
              <w:top w:val="single" w:sz="6" w:color="0B2545"/>
              <w:start w:val="single" w:sz="6" w:color="0B2545"/>
              <w:bottom w:val="single" w:sz="6" w:color="0B2545"/>
              <w:end w:val="single" w:sz="6" w:color="0B2545"/>
              <w:insideH w:val="single" w:sz="6" w:color="0B2545"/>
              <w:insideV w:val="single" w:sz="6" w:color="0B2545"/>
            </w:tcBorders>
          </w:tcPr>
          <w:p>
            <w:pPr>
              <w:keepLines/>
            </w:pPr>
            <w:r>
              <w:rPr>
                <w:rFonts w:ascii="Calibri" w:hAnsi="Calibri"/>
                <w:b/>
                <w:i w:val="0"/>
                <w:color w:val="FFFFFF"/>
                <w:sz w:val="20"/>
              </w:rPr>
              <w:t>Presentation Approach</w:t>
            </w:r>
          </w:p>
        </w:tc>
        <w:tc>
          <w:tcPr>
            <w:tcW w:type="dxa" w:w="3580"/>
            <w:tcMar>
              <w:top w:w="100" w:type="dxa"/>
              <w:start w:w="120" w:type="dxa"/>
              <w:bottom w:w="100" w:type="dxa"/>
              <w:end w:w="120" w:type="dxa"/>
            </w:tcMar>
            <w:vAlign w:val="center"/>
            <w:shd w:fill="0B2545"/>
            <w:tcBorders>
              <w:top w:val="single" w:sz="6" w:color="0B2545"/>
              <w:start w:val="single" w:sz="6" w:color="0B2545"/>
              <w:bottom w:val="single" w:sz="6" w:color="0B2545"/>
              <w:end w:val="single" w:sz="6" w:color="0B2545"/>
              <w:insideH w:val="single" w:sz="6" w:color="0B2545"/>
              <w:insideV w:val="single" w:sz="6" w:color="0B2545"/>
            </w:tcBorders>
          </w:tcPr>
          <w:p>
            <w:pPr>
              <w:keepLines/>
            </w:pPr>
            <w:r>
              <w:rPr>
                <w:rFonts w:ascii="Calibri" w:hAnsi="Calibri"/>
                <w:b/>
                <w:i w:val="0"/>
                <w:color w:val="FFFFFF"/>
                <w:sz w:val="20"/>
              </w:rPr>
              <w:t>Typical Next Step</w:t>
            </w:r>
          </w:p>
        </w:tc>
      </w:tr>
      <w:tr>
        <w:tc>
          <w:tcPr>
            <w:tcW w:type="dxa" w:w="2200"/>
            <w:shd w:fill="F6F9FB"/>
            <w:tcBorders>
              <w:top w:val="single" w:sz="6" w:color="D7E2E8"/>
              <w:start w:val="single" w:sz="6" w:color="D7E2E8"/>
              <w:bottom w:val="single" w:sz="6" w:color="D7E2E8"/>
              <w:end w:val="single" w:sz="6" w:color="D7E2E8"/>
              <w:insideH w:val="single" w:sz="6" w:color="D7E2E8"/>
              <w:insideV w:val="single" w:sz="6" w:color="D7E2E8"/>
            </w:tcBorders>
          </w:tcPr>
          <w:p>
            <w:pPr>
              <w:keepLines/>
            </w:pPr>
            <w:r>
              <w:rPr>
                <w:rFonts w:ascii="Calibri" w:hAnsi="Calibri"/>
                <w:b w:val="0"/>
                <w:i w:val="0"/>
                <w:color w:val="253244"/>
                <w:sz w:val="20"/>
              </w:rPr>
              <w:t>Prescription Pharma</w:t>
            </w:r>
          </w:p>
        </w:tc>
        <w:tc>
          <w:tcPr>
            <w:tcW w:type="dxa" w:w="3580"/>
            <w:shd w:fill="F6F9FB"/>
            <w:tcBorders>
              <w:top w:val="single" w:sz="6" w:color="D7E2E8"/>
              <w:start w:val="single" w:sz="6" w:color="D7E2E8"/>
              <w:bottom w:val="single" w:sz="6" w:color="D7E2E8"/>
              <w:end w:val="single" w:sz="6" w:color="D7E2E8"/>
              <w:insideH w:val="single" w:sz="6" w:color="D7E2E8"/>
              <w:insideV w:val="single" w:sz="6" w:color="D7E2E8"/>
            </w:tcBorders>
          </w:tcPr>
          <w:p>
            <w:pPr>
              <w:keepLines/>
            </w:pPr>
            <w:r>
              <w:rPr>
                <w:rFonts w:ascii="Calibri" w:hAnsi="Calibri"/>
                <w:b w:val="0"/>
                <w:i w:val="0"/>
                <w:color w:val="253244"/>
                <w:sz w:val="20"/>
              </w:rPr>
              <w:t>Approved scientific and factual information, with clear professional or safety pathways where required.</w:t>
            </w:r>
          </w:p>
        </w:tc>
        <w:tc>
          <w:tcPr>
            <w:tcW w:type="dxa" w:w="3580"/>
            <w:shd w:fill="F6F9FB"/>
            <w:tcBorders>
              <w:top w:val="single" w:sz="6" w:color="D7E2E8"/>
              <w:start w:val="single" w:sz="6" w:color="D7E2E8"/>
              <w:bottom w:val="single" w:sz="6" w:color="D7E2E8"/>
              <w:end w:val="single" w:sz="6" w:color="D7E2E8"/>
              <w:insideH w:val="single" w:sz="6" w:color="D7E2E8"/>
              <w:insideV w:val="single" w:sz="6" w:color="D7E2E8"/>
            </w:tcBorders>
          </w:tcPr>
          <w:p>
            <w:pPr>
              <w:keepLines/>
            </w:pPr>
            <w:r>
              <w:rPr>
                <w:rFonts w:ascii="Calibri" w:hAnsi="Calibri"/>
                <w:b w:val="0"/>
                <w:i w:val="0"/>
                <w:color w:val="253244"/>
                <w:sz w:val="20"/>
              </w:rPr>
              <w:t>View information or professional resources.</w:t>
            </w:r>
          </w:p>
        </w:tc>
      </w:tr>
      <w:tr>
        <w:tc>
          <w:tcPr>
            <w:tcW w:type="dxa" w:w="2200"/>
            <w:shd w:fill="FFFFFF"/>
            <w:tcBorders>
              <w:top w:val="single" w:sz="6" w:color="D7E2E8"/>
              <w:start w:val="single" w:sz="6" w:color="D7E2E8"/>
              <w:bottom w:val="single" w:sz="6" w:color="D7E2E8"/>
              <w:end w:val="single" w:sz="6" w:color="D7E2E8"/>
              <w:insideH w:val="single" w:sz="6" w:color="D7E2E8"/>
              <w:insideV w:val="single" w:sz="6" w:color="D7E2E8"/>
            </w:tcBorders>
          </w:tcPr>
          <w:p>
            <w:pPr>
              <w:keepLines/>
            </w:pPr>
            <w:r>
              <w:rPr>
                <w:rFonts w:ascii="Calibri" w:hAnsi="Calibri"/>
                <w:b w:val="0"/>
                <w:i w:val="0"/>
                <w:color w:val="253244"/>
                <w:sz w:val="20"/>
              </w:rPr>
              <w:t>Wellness</w:t>
            </w:r>
          </w:p>
        </w:tc>
        <w:tc>
          <w:tcPr>
            <w:tcW w:type="dxa" w:w="3580"/>
            <w:shd w:fill="FFFFFF"/>
            <w:tcBorders>
              <w:top w:val="single" w:sz="6" w:color="D7E2E8"/>
              <w:start w:val="single" w:sz="6" w:color="D7E2E8"/>
              <w:bottom w:val="single" w:sz="6" w:color="D7E2E8"/>
              <w:end w:val="single" w:sz="6" w:color="D7E2E8"/>
              <w:insideH w:val="single" w:sz="6" w:color="D7E2E8"/>
              <w:insideV w:val="single" w:sz="6" w:color="D7E2E8"/>
            </w:tcBorders>
          </w:tcPr>
          <w:p>
            <w:pPr>
              <w:keepLines/>
            </w:pPr>
            <w:r>
              <w:rPr>
                <w:rFonts w:ascii="Calibri" w:hAnsi="Calibri"/>
                <w:b w:val="0"/>
                <w:i w:val="0"/>
                <w:color w:val="253244"/>
                <w:sz w:val="20"/>
              </w:rPr>
              <w:t>Consumer-friendly explanation of benefits, ingredients, usage, and related educational content.</w:t>
            </w:r>
          </w:p>
        </w:tc>
        <w:tc>
          <w:tcPr>
            <w:tcW w:type="dxa" w:w="3580"/>
            <w:shd w:fill="FFFFFF"/>
            <w:tcBorders>
              <w:top w:val="single" w:sz="6" w:color="D7E2E8"/>
              <w:start w:val="single" w:sz="6" w:color="D7E2E8"/>
              <w:bottom w:val="single" w:sz="6" w:color="D7E2E8"/>
              <w:end w:val="single" w:sz="6" w:color="D7E2E8"/>
              <w:insideH w:val="single" w:sz="6" w:color="D7E2E8"/>
              <w:insideV w:val="single" w:sz="6" w:color="D7E2E8"/>
            </w:tcBorders>
          </w:tcPr>
          <w:p>
            <w:pPr>
              <w:keepLines/>
            </w:pPr>
            <w:r>
              <w:rPr>
                <w:rFonts w:ascii="Calibri" w:hAnsi="Calibri"/>
                <w:b w:val="0"/>
                <w:i w:val="0"/>
                <w:color w:val="253244"/>
                <w:sz w:val="20"/>
              </w:rPr>
              <w:t>Learn more or continue to the future shop.</w:t>
            </w:r>
          </w:p>
        </w:tc>
      </w:tr>
      <w:tr>
        <w:tc>
          <w:tcPr>
            <w:tcW w:type="dxa" w:w="2200"/>
            <w:shd w:fill="F6F9FB"/>
            <w:tcBorders>
              <w:top w:val="single" w:sz="6" w:color="D7E2E8"/>
              <w:start w:val="single" w:sz="6" w:color="D7E2E8"/>
              <w:bottom w:val="single" w:sz="6" w:color="D7E2E8"/>
              <w:end w:val="single" w:sz="6" w:color="D7E2E8"/>
              <w:insideH w:val="single" w:sz="6" w:color="D7E2E8"/>
              <w:insideV w:val="single" w:sz="6" w:color="D7E2E8"/>
            </w:tcBorders>
          </w:tcPr>
          <w:p>
            <w:pPr>
              <w:keepLines/>
            </w:pPr>
            <w:r>
              <w:rPr>
                <w:rFonts w:ascii="Calibri" w:hAnsi="Calibri"/>
                <w:b w:val="0"/>
                <w:i w:val="0"/>
                <w:color w:val="253244"/>
                <w:sz w:val="20"/>
              </w:rPr>
              <w:t>Veterinary</w:t>
            </w:r>
          </w:p>
        </w:tc>
        <w:tc>
          <w:tcPr>
            <w:tcW w:type="dxa" w:w="3580"/>
            <w:shd w:fill="F6F9FB"/>
            <w:tcBorders>
              <w:top w:val="single" w:sz="6" w:color="D7E2E8"/>
              <w:start w:val="single" w:sz="6" w:color="D7E2E8"/>
              <w:bottom w:val="single" w:sz="6" w:color="D7E2E8"/>
              <w:end w:val="single" w:sz="6" w:color="D7E2E8"/>
              <w:insideH w:val="single" w:sz="6" w:color="D7E2E8"/>
              <w:insideV w:val="single" w:sz="6" w:color="D7E2E8"/>
            </w:tcBorders>
          </w:tcPr>
          <w:p>
            <w:pPr>
              <w:keepLines/>
            </w:pPr>
            <w:r>
              <w:rPr>
                <w:rFonts w:ascii="Calibri" w:hAnsi="Calibri"/>
                <w:b w:val="0"/>
                <w:i w:val="0"/>
                <w:color w:val="253244"/>
                <w:sz w:val="20"/>
              </w:rPr>
              <w:t>Information organized around veterinary needs, relevant species, indications, and professional support.</w:t>
            </w:r>
          </w:p>
        </w:tc>
        <w:tc>
          <w:tcPr>
            <w:tcW w:type="dxa" w:w="3580"/>
            <w:shd w:fill="F6F9FB"/>
            <w:tcBorders>
              <w:top w:val="single" w:sz="6" w:color="D7E2E8"/>
              <w:start w:val="single" w:sz="6" w:color="D7E2E8"/>
              <w:bottom w:val="single" w:sz="6" w:color="D7E2E8"/>
              <w:end w:val="single" w:sz="6" w:color="D7E2E8"/>
              <w:insideH w:val="single" w:sz="6" w:color="D7E2E8"/>
              <w:insideV w:val="single" w:sz="6" w:color="D7E2E8"/>
            </w:tcBorders>
          </w:tcPr>
          <w:p>
            <w:pPr>
              <w:keepLines/>
            </w:pPr>
            <w:r>
              <w:rPr>
                <w:rFonts w:ascii="Calibri" w:hAnsi="Calibri"/>
                <w:b w:val="0"/>
                <w:i w:val="0"/>
                <w:color w:val="253244"/>
                <w:sz w:val="20"/>
              </w:rPr>
              <w:t>Contact COPAD or find a distributor.</w:t>
            </w:r>
          </w:p>
        </w:tc>
      </w:tr>
    </w:tbl>
    <w:p>
      <w:pPr>
        <w:spacing w:after="40"/>
      </w:pPr>
    </w:p>
    <w:p>
      <w:pPr>
        <w:pStyle w:val="Heading2"/>
        <w:keepNext/>
      </w:pPr>
      <w:r>
        <w:t>Therapeutic areas as meaningful content</w:t>
      </w:r>
    </w:p>
    <w:p>
      <w:r>
        <w:rPr>
          <w:rFonts w:ascii="Calibri" w:hAnsi="Calibri"/>
          <w:b w:val="0"/>
          <w:i w:val="0"/>
          <w:color w:val="253244"/>
          <w:sz w:val="22"/>
        </w:rPr>
        <w:t>Therapeutic areas will not appear as simple labels. Each area should help visitors understand COPAD's experience, the health topics connected to it, and the relevant parts of the portfolio.</w:t>
      </w:r>
    </w:p>
    <w:p>
      <w:pPr>
        <w:pStyle w:val="Heading2"/>
        <w:keepNext/>
      </w:pPr>
      <w:r>
        <w:t>Manufacturing proof, not general claims</w:t>
      </w:r>
    </w:p>
    <w:p>
      <w:r>
        <w:rPr>
          <w:rFonts w:ascii="Calibri" w:hAnsi="Calibri"/>
          <w:b w:val="0"/>
          <w:i w:val="0"/>
          <w:color w:val="253244"/>
          <w:sz w:val="22"/>
        </w:rPr>
        <w:t>The manufacturing and quality section should use real facility photography, certifications, processes, and verified facts. This will give visitors stronger evidence of COPAD's capabilities than generic claims.</w:t>
      </w:r>
    </w:p>
    <w:p>
      <w:pPr>
        <w:spacing w:before="40" w:after="100"/>
      </w:pPr>
      <w:r>
        <w:rPr>
          <w:rFonts w:ascii="Calibri" w:hAnsi="Calibri"/>
          <w:b/>
          <w:i w:val="0"/>
          <w:color w:val="2CA8C2"/>
          <w:sz w:val="18"/>
        </w:rPr>
        <w:t>05  WEBSITE MANAGEMENT</w:t>
      </w:r>
    </w:p>
    <w:p>
      <w:pPr>
        <w:pStyle w:val="Heading1"/>
        <w:keepNext/>
      </w:pPr>
      <w:r>
        <w:t>A website the COPAD team can manage</w:t>
      </w:r>
    </w:p>
    <w:p>
      <w:r>
        <w:rPr>
          <w:rFonts w:ascii="Calibri" w:hAnsi="Calibri"/>
          <w:b w:val="0"/>
          <w:i w:val="0"/>
          <w:color w:val="253244"/>
          <w:sz w:val="22"/>
        </w:rPr>
        <w:t>The website will include an administration area that allows authorized COPAD team members to maintain the website's corporate and editorial content.</w:t>
      </w:r>
    </w:p>
    <w:p>
      <w:pPr>
        <w:spacing w:after="160" w:line="280" w:lineRule="auto"/>
        <w:ind w:left="720" w:hanging="360"/>
        <w:numPr>
          <w:ilvl w:val="0"/>
          <w:numId w:val="10"/>
        </w:numPr>
      </w:pPr>
      <w:r>
        <w:rPr>
          <w:rFonts w:ascii="Calibri" w:hAnsi="Calibri"/>
          <w:b w:val="0"/>
          <w:i w:val="0"/>
          <w:color w:val="253244"/>
          <w:sz w:val="22"/>
        </w:rPr>
        <w:t>Corporate pages and homepage content.</w:t>
      </w:r>
    </w:p>
    <w:p>
      <w:pPr>
        <w:spacing w:after="160" w:line="280" w:lineRule="auto"/>
        <w:ind w:left="720" w:hanging="360"/>
        <w:numPr>
          <w:ilvl w:val="0"/>
          <w:numId w:val="10"/>
        </w:numPr>
      </w:pPr>
      <w:r>
        <w:rPr>
          <w:rFonts w:ascii="Calibri" w:hAnsi="Calibri"/>
          <w:b w:val="0"/>
          <w:i w:val="0"/>
          <w:color w:val="253244"/>
          <w:sz w:val="22"/>
        </w:rPr>
        <w:t>Therapeutic-area and medical-topic content.</w:t>
      </w:r>
    </w:p>
    <w:p>
      <w:pPr>
        <w:spacing w:after="160" w:line="280" w:lineRule="auto"/>
        <w:ind w:left="720" w:hanging="360"/>
        <w:numPr>
          <w:ilvl w:val="0"/>
          <w:numId w:val="10"/>
        </w:numPr>
      </w:pPr>
      <w:r>
        <w:rPr>
          <w:rFonts w:ascii="Calibri" w:hAnsi="Calibri"/>
          <w:b w:val="0"/>
          <w:i w:val="0"/>
          <w:color w:val="253244"/>
          <w:sz w:val="22"/>
        </w:rPr>
        <w:t>News, articles, events, and careers.</w:t>
      </w:r>
    </w:p>
    <w:p>
      <w:pPr>
        <w:spacing w:after="160" w:line="280" w:lineRule="auto"/>
        <w:ind w:left="720" w:hanging="360"/>
        <w:numPr>
          <w:ilvl w:val="0"/>
          <w:numId w:val="10"/>
        </w:numPr>
      </w:pPr>
      <w:r>
        <w:rPr>
          <w:rFonts w:ascii="Calibri" w:hAnsi="Calibri"/>
          <w:b w:val="0"/>
          <w:i w:val="0"/>
          <w:color w:val="253244"/>
          <w:sz w:val="22"/>
        </w:rPr>
        <w:t>Images, documents, certificates, and downloadable files.</w:t>
      </w:r>
    </w:p>
    <w:p>
      <w:pPr>
        <w:spacing w:after="160" w:line="280" w:lineRule="auto"/>
        <w:ind w:left="720" w:hanging="360"/>
        <w:numPr>
          <w:ilvl w:val="0"/>
          <w:numId w:val="10"/>
        </w:numPr>
      </w:pPr>
      <w:r>
        <w:rPr>
          <w:rFonts w:ascii="Calibri" w:hAnsi="Calibri"/>
          <w:b w:val="0"/>
          <w:i w:val="0"/>
          <w:color w:val="253244"/>
          <w:sz w:val="22"/>
        </w:rPr>
        <w:t>Contact information and inquiry routing.</w:t>
      </w:r>
    </w:p>
    <w:p>
      <w:pPr>
        <w:spacing w:after="160" w:line="280" w:lineRule="auto"/>
        <w:ind w:left="720" w:hanging="360"/>
        <w:numPr>
          <w:ilvl w:val="0"/>
          <w:numId w:val="10"/>
        </w:numPr>
      </w:pPr>
      <w:r>
        <w:rPr>
          <w:rFonts w:ascii="Calibri" w:hAnsi="Calibri"/>
          <w:b w:val="0"/>
          <w:i w:val="0"/>
          <w:color w:val="253244"/>
          <w:sz w:val="22"/>
        </w:rPr>
        <w:t>Arabic and English content.</w:t>
      </w:r>
    </w:p>
    <w:p>
      <w:pPr>
        <w:spacing w:after="160" w:line="280" w:lineRule="auto"/>
        <w:ind w:left="720" w:hanging="360"/>
        <w:numPr>
          <w:ilvl w:val="0"/>
          <w:numId w:val="10"/>
        </w:numPr>
      </w:pPr>
      <w:r>
        <w:rPr>
          <w:rFonts w:ascii="Calibri" w:hAnsi="Calibri"/>
          <w:b w:val="0"/>
          <w:i w:val="0"/>
          <w:color w:val="253244"/>
          <w:sz w:val="22"/>
        </w:rPr>
        <w:t>Links to the future specialist websites.</w:t>
      </w:r>
    </w:p>
    <w:p>
      <w:pPr>
        <w:pStyle w:val="Heading2"/>
        <w:keepNext/>
      </w:pPr>
      <w:r>
        <w:t>Content review and approval</w:t>
      </w:r>
    </w:p>
    <w:p>
      <w:r>
        <w:rPr>
          <w:rFonts w:ascii="Calibri" w:hAnsi="Calibri"/>
          <w:b w:val="0"/>
          <w:i w:val="0"/>
          <w:color w:val="253244"/>
          <w:sz w:val="22"/>
        </w:rPr>
        <w:t>Because the website includes medical and corporate information, content should be reviewed before it is published. The recommended process allows content to be prepared, reviewed by the relevant COPAD team, approved, and then published.</w:t>
      </w:r>
    </w:p>
    <w:p>
      <w:pPr>
        <w:spacing w:before="120" w:after="240" w:line="276" w:lineRule="auto"/>
        <w:ind w:left="115" w:right="115"/>
        <w:shd w:fill="EDF4F7"/>
        <w:pBdr>
          <w:left w:val="single" w:sz="18" w:space="8" w:color="2CA8C2"/>
        </w:pBdr>
      </w:pPr>
      <w:r>
        <w:rPr>
          <w:rFonts w:ascii="Calibri" w:hAnsi="Calibri"/>
          <w:b/>
          <w:i w:val="0"/>
          <w:color w:val="0B2545"/>
          <w:sz w:val="22"/>
        </w:rPr>
        <w:t>Why this matters</w:t>
        <w:br/>
      </w:r>
      <w:r>
        <w:rPr>
          <w:rFonts w:ascii="Calibri" w:hAnsi="Calibri"/>
          <w:b w:val="0"/>
          <w:i w:val="0"/>
          <w:color w:val="253244"/>
          <w:sz w:val="21"/>
        </w:rPr>
        <w:t>The value of the administration area is not only the ability to edit content. It also helps COPAD keep published information accurate, approved, and consistent.</w:t>
      </w:r>
    </w:p>
    <w:p>
      <w:pPr>
        <w:spacing w:before="40" w:after="100"/>
      </w:pPr>
      <w:r>
        <w:rPr>
          <w:rFonts w:ascii="Calibri" w:hAnsi="Calibri"/>
          <w:b/>
          <w:i w:val="0"/>
          <w:color w:val="2CA8C2"/>
          <w:sz w:val="18"/>
        </w:rPr>
        <w:t>06  VISITOR EXPERIENCE</w:t>
      </w:r>
    </w:p>
    <w:p>
      <w:pPr>
        <w:pStyle w:val="Heading1"/>
        <w:keepNext/>
      </w:pPr>
      <w:r>
        <w:t>A simple journey from awareness to action</w:t>
      </w:r>
    </w:p>
    <w:tbl>
      <w:tblPr>
        <w:tblW w:type="dxa" w:w="9360"/>
        <w:jc w:val="left"/>
        <w:tblLayout w:type="fixed"/>
        <w:tblLook w:firstColumn="1" w:firstRow="1" w:lastColumn="0" w:lastRow="0" w:noHBand="0" w:noVBand="1" w:val="04A0"/>
        <w:tblInd w:w="120" w:type="dxa"/>
      </w:tblPr>
      <w:tblGrid>
        <w:gridCol w:w="900"/>
        <w:gridCol w:w="1900"/>
        <w:gridCol w:w="6560"/>
      </w:tblGrid>
      <w:tr>
        <w:trPr>
          <w:tblHeader w:val="true"/>
        </w:trPr>
        <w:tc>
          <w:tcPr>
            <w:tcW w:type="dxa" w:w="900"/>
            <w:tcMar>
              <w:top w:w="100" w:type="dxa"/>
              <w:start w:w="120" w:type="dxa"/>
              <w:bottom w:w="100" w:type="dxa"/>
              <w:end w:w="120" w:type="dxa"/>
            </w:tcMar>
            <w:vAlign w:val="center"/>
            <w:shd w:fill="0B2545"/>
            <w:tcBorders>
              <w:top w:val="single" w:sz="6" w:color="0B2545"/>
              <w:start w:val="single" w:sz="6" w:color="0B2545"/>
              <w:bottom w:val="single" w:sz="6" w:color="0B2545"/>
              <w:end w:val="single" w:sz="6" w:color="0B2545"/>
              <w:insideH w:val="single" w:sz="6" w:color="0B2545"/>
              <w:insideV w:val="single" w:sz="6" w:color="0B2545"/>
            </w:tcBorders>
          </w:tcPr>
          <w:p>
            <w:pPr>
              <w:keepLines/>
            </w:pPr>
            <w:r>
              <w:rPr>
                <w:rFonts w:ascii="Calibri" w:hAnsi="Calibri"/>
                <w:b/>
                <w:i w:val="0"/>
                <w:color w:val="FFFFFF"/>
                <w:sz w:val="20"/>
              </w:rPr>
              <w:t>Step</w:t>
            </w:r>
          </w:p>
        </w:tc>
        <w:tc>
          <w:tcPr>
            <w:tcW w:type="dxa" w:w="1900"/>
            <w:tcMar>
              <w:top w:w="100" w:type="dxa"/>
              <w:start w:w="120" w:type="dxa"/>
              <w:bottom w:w="100" w:type="dxa"/>
              <w:end w:w="120" w:type="dxa"/>
            </w:tcMar>
            <w:vAlign w:val="center"/>
            <w:shd w:fill="0B2545"/>
            <w:tcBorders>
              <w:top w:val="single" w:sz="6" w:color="0B2545"/>
              <w:start w:val="single" w:sz="6" w:color="0B2545"/>
              <w:bottom w:val="single" w:sz="6" w:color="0B2545"/>
              <w:end w:val="single" w:sz="6" w:color="0B2545"/>
              <w:insideH w:val="single" w:sz="6" w:color="0B2545"/>
              <w:insideV w:val="single" w:sz="6" w:color="0B2545"/>
            </w:tcBorders>
          </w:tcPr>
          <w:p>
            <w:pPr>
              <w:keepLines/>
            </w:pPr>
            <w:r>
              <w:rPr>
                <w:rFonts w:ascii="Calibri" w:hAnsi="Calibri"/>
                <w:b/>
                <w:i w:val="0"/>
                <w:color w:val="FFFFFF"/>
                <w:sz w:val="20"/>
              </w:rPr>
              <w:t>Stage</w:t>
            </w:r>
          </w:p>
        </w:tc>
        <w:tc>
          <w:tcPr>
            <w:tcW w:type="dxa" w:w="6560"/>
            <w:tcMar>
              <w:top w:w="100" w:type="dxa"/>
              <w:start w:w="120" w:type="dxa"/>
              <w:bottom w:w="100" w:type="dxa"/>
              <w:end w:w="120" w:type="dxa"/>
            </w:tcMar>
            <w:vAlign w:val="center"/>
            <w:shd w:fill="0B2545"/>
            <w:tcBorders>
              <w:top w:val="single" w:sz="6" w:color="0B2545"/>
              <w:start w:val="single" w:sz="6" w:color="0B2545"/>
              <w:bottom w:val="single" w:sz="6" w:color="0B2545"/>
              <w:end w:val="single" w:sz="6" w:color="0B2545"/>
              <w:insideH w:val="single" w:sz="6" w:color="0B2545"/>
              <w:insideV w:val="single" w:sz="6" w:color="0B2545"/>
            </w:tcBorders>
          </w:tcPr>
          <w:p>
            <w:pPr>
              <w:keepLines/>
            </w:pPr>
            <w:r>
              <w:rPr>
                <w:rFonts w:ascii="Calibri" w:hAnsi="Calibri"/>
                <w:b/>
                <w:i w:val="0"/>
                <w:color w:val="FFFFFF"/>
                <w:sz w:val="20"/>
              </w:rPr>
              <w:t>Visitor Outcome</w:t>
            </w:r>
          </w:p>
        </w:tc>
      </w:tr>
      <w:tr>
        <w:tc>
          <w:tcPr>
            <w:tcW w:type="dxa" w:w="900"/>
            <w:shd w:fill="EDF4F7"/>
            <w:tcBorders>
              <w:top w:val="single" w:sz="6" w:color="D7E2E8"/>
              <w:start w:val="single" w:sz="6" w:color="D7E2E8"/>
              <w:bottom w:val="single" w:sz="6" w:color="D7E2E8"/>
              <w:end w:val="single" w:sz="6" w:color="D7E2E8"/>
              <w:insideH w:val="single" w:sz="6" w:color="D7E2E8"/>
              <w:insideV w:val="single" w:sz="6" w:color="D7E2E8"/>
            </w:tcBorders>
          </w:tcPr>
          <w:p>
            <w:pPr>
              <w:keepLines/>
            </w:pPr>
            <w:r>
              <w:rPr>
                <w:rFonts w:ascii="Calibri" w:hAnsi="Calibri"/>
                <w:b/>
                <w:i w:val="0"/>
                <w:color w:val="2CA8C2"/>
                <w:sz w:val="24"/>
              </w:rPr>
              <w:t>01</w:t>
            </w:r>
          </w:p>
        </w:tc>
        <w:tc>
          <w:tcPr>
            <w:tcW w:type="dxa" w:w="1900"/>
            <w:shd w:fill="EDF4F7"/>
            <w:tcBorders>
              <w:top w:val="single" w:sz="6" w:color="D7E2E8"/>
              <w:start w:val="single" w:sz="6" w:color="D7E2E8"/>
              <w:bottom w:val="single" w:sz="6" w:color="D7E2E8"/>
              <w:end w:val="single" w:sz="6" w:color="D7E2E8"/>
              <w:insideH w:val="single" w:sz="6" w:color="D7E2E8"/>
              <w:insideV w:val="single" w:sz="6" w:color="D7E2E8"/>
            </w:tcBorders>
          </w:tcPr>
          <w:p>
            <w:pPr>
              <w:keepLines/>
            </w:pPr>
            <w:r>
              <w:rPr>
                <w:rFonts w:ascii="Calibri" w:hAnsi="Calibri"/>
                <w:b/>
                <w:i w:val="0"/>
                <w:color w:val="0B2545"/>
                <w:sz w:val="22"/>
              </w:rPr>
              <w:t>Understand</w:t>
            </w:r>
          </w:p>
        </w:tc>
        <w:tc>
          <w:tcPr>
            <w:tcW w:type="dxa" w:w="6560"/>
            <w:shd w:fill="EDF4F7"/>
            <w:tcBorders>
              <w:top w:val="single" w:sz="6" w:color="D7E2E8"/>
              <w:start w:val="single" w:sz="6" w:color="D7E2E8"/>
              <w:bottom w:val="single" w:sz="6" w:color="D7E2E8"/>
              <w:end w:val="single" w:sz="6" w:color="D7E2E8"/>
              <w:insideH w:val="single" w:sz="6" w:color="D7E2E8"/>
              <w:insideV w:val="single" w:sz="6" w:color="D7E2E8"/>
            </w:tcBorders>
          </w:tcPr>
          <w:p>
            <w:pPr>
              <w:keepLines/>
            </w:pPr>
            <w:r>
              <w:rPr>
                <w:rFonts w:ascii="Calibri" w:hAnsi="Calibri"/>
                <w:b w:val="0"/>
                <w:i w:val="0"/>
                <w:color w:val="253244"/>
                <w:sz w:val="21"/>
              </w:rPr>
              <w:t>The visitor quickly understands who COPAD is and the scale of its activities.</w:t>
            </w:r>
          </w:p>
        </w:tc>
      </w:tr>
      <w:tr>
        <w:tc>
          <w:tcPr>
            <w:tcW w:type="dxa" w:w="900"/>
            <w:shd w:fill="FFFFFF"/>
            <w:tcBorders>
              <w:top w:val="single" w:sz="6" w:color="D7E2E8"/>
              <w:start w:val="single" w:sz="6" w:color="D7E2E8"/>
              <w:bottom w:val="single" w:sz="6" w:color="D7E2E8"/>
              <w:end w:val="single" w:sz="6" w:color="D7E2E8"/>
              <w:insideH w:val="single" w:sz="6" w:color="D7E2E8"/>
              <w:insideV w:val="single" w:sz="6" w:color="D7E2E8"/>
            </w:tcBorders>
          </w:tcPr>
          <w:p>
            <w:pPr>
              <w:keepLines/>
            </w:pPr>
            <w:r>
              <w:rPr>
                <w:rFonts w:ascii="Calibri" w:hAnsi="Calibri"/>
                <w:b/>
                <w:i w:val="0"/>
                <w:color w:val="2CA8C2"/>
                <w:sz w:val="24"/>
              </w:rPr>
              <w:t>02</w:t>
            </w:r>
          </w:p>
        </w:tc>
        <w:tc>
          <w:tcPr>
            <w:tcW w:type="dxa" w:w="1900"/>
            <w:shd w:fill="FFFFFF"/>
            <w:tcBorders>
              <w:top w:val="single" w:sz="6" w:color="D7E2E8"/>
              <w:start w:val="single" w:sz="6" w:color="D7E2E8"/>
              <w:bottom w:val="single" w:sz="6" w:color="D7E2E8"/>
              <w:end w:val="single" w:sz="6" w:color="D7E2E8"/>
              <w:insideH w:val="single" w:sz="6" w:color="D7E2E8"/>
              <w:insideV w:val="single" w:sz="6" w:color="D7E2E8"/>
            </w:tcBorders>
          </w:tcPr>
          <w:p>
            <w:pPr>
              <w:keepLines/>
            </w:pPr>
            <w:r>
              <w:rPr>
                <w:rFonts w:ascii="Calibri" w:hAnsi="Calibri"/>
                <w:b/>
                <w:i w:val="0"/>
                <w:color w:val="0B2545"/>
                <w:sz w:val="22"/>
              </w:rPr>
              <w:t>Trust</w:t>
            </w:r>
          </w:p>
        </w:tc>
        <w:tc>
          <w:tcPr>
            <w:tcW w:type="dxa" w:w="6560"/>
            <w:shd w:fill="FFFFFF"/>
            <w:tcBorders>
              <w:top w:val="single" w:sz="6" w:color="D7E2E8"/>
              <w:start w:val="single" w:sz="6" w:color="D7E2E8"/>
              <w:bottom w:val="single" w:sz="6" w:color="D7E2E8"/>
              <w:end w:val="single" w:sz="6" w:color="D7E2E8"/>
              <w:insideH w:val="single" w:sz="6" w:color="D7E2E8"/>
              <w:insideV w:val="single" w:sz="6" w:color="D7E2E8"/>
            </w:tcBorders>
          </w:tcPr>
          <w:p>
            <w:pPr>
              <w:keepLines/>
            </w:pPr>
            <w:r>
              <w:rPr>
                <w:rFonts w:ascii="Calibri" w:hAnsi="Calibri"/>
                <w:b w:val="0"/>
                <w:i w:val="0"/>
                <w:color w:val="253244"/>
                <w:sz w:val="21"/>
              </w:rPr>
              <w:t>The visitor sees the company's history, manufacturing, quality, and scientific credibility.</w:t>
            </w:r>
          </w:p>
        </w:tc>
      </w:tr>
      <w:tr>
        <w:tc>
          <w:tcPr>
            <w:tcW w:type="dxa" w:w="900"/>
            <w:shd w:fill="EDF4F7"/>
            <w:tcBorders>
              <w:top w:val="single" w:sz="6" w:color="D7E2E8"/>
              <w:start w:val="single" w:sz="6" w:color="D7E2E8"/>
              <w:bottom w:val="single" w:sz="6" w:color="D7E2E8"/>
              <w:end w:val="single" w:sz="6" w:color="D7E2E8"/>
              <w:insideH w:val="single" w:sz="6" w:color="D7E2E8"/>
              <w:insideV w:val="single" w:sz="6" w:color="D7E2E8"/>
            </w:tcBorders>
          </w:tcPr>
          <w:p>
            <w:pPr>
              <w:keepLines/>
            </w:pPr>
            <w:r>
              <w:rPr>
                <w:rFonts w:ascii="Calibri" w:hAnsi="Calibri"/>
                <w:b/>
                <w:i w:val="0"/>
                <w:color w:val="2CA8C2"/>
                <w:sz w:val="24"/>
              </w:rPr>
              <w:t>03</w:t>
            </w:r>
          </w:p>
        </w:tc>
        <w:tc>
          <w:tcPr>
            <w:tcW w:type="dxa" w:w="1900"/>
            <w:shd w:fill="EDF4F7"/>
            <w:tcBorders>
              <w:top w:val="single" w:sz="6" w:color="D7E2E8"/>
              <w:start w:val="single" w:sz="6" w:color="D7E2E8"/>
              <w:bottom w:val="single" w:sz="6" w:color="D7E2E8"/>
              <w:end w:val="single" w:sz="6" w:color="D7E2E8"/>
              <w:insideH w:val="single" w:sz="6" w:color="D7E2E8"/>
              <w:insideV w:val="single" w:sz="6" w:color="D7E2E8"/>
            </w:tcBorders>
          </w:tcPr>
          <w:p>
            <w:pPr>
              <w:keepLines/>
            </w:pPr>
            <w:r>
              <w:rPr>
                <w:rFonts w:ascii="Calibri" w:hAnsi="Calibri"/>
                <w:b/>
                <w:i w:val="0"/>
                <w:color w:val="0B2545"/>
                <w:sz w:val="22"/>
              </w:rPr>
              <w:t>Explore</w:t>
            </w:r>
          </w:p>
        </w:tc>
        <w:tc>
          <w:tcPr>
            <w:tcW w:type="dxa" w:w="6560"/>
            <w:shd w:fill="EDF4F7"/>
            <w:tcBorders>
              <w:top w:val="single" w:sz="6" w:color="D7E2E8"/>
              <w:start w:val="single" w:sz="6" w:color="D7E2E8"/>
              <w:bottom w:val="single" w:sz="6" w:color="D7E2E8"/>
              <w:end w:val="single" w:sz="6" w:color="D7E2E8"/>
              <w:insideH w:val="single" w:sz="6" w:color="D7E2E8"/>
              <w:insideV w:val="single" w:sz="6" w:color="D7E2E8"/>
            </w:tcBorders>
          </w:tcPr>
          <w:p>
            <w:pPr>
              <w:keepLines/>
            </w:pPr>
            <w:r>
              <w:rPr>
                <w:rFonts w:ascii="Calibri" w:hAnsi="Calibri"/>
                <w:b w:val="0"/>
                <w:i w:val="0"/>
                <w:color w:val="253244"/>
                <w:sz w:val="21"/>
              </w:rPr>
              <w:t>The visitor explores divisions, therapeutic areas, products, and medical topics.</w:t>
            </w:r>
          </w:p>
        </w:tc>
      </w:tr>
      <w:tr>
        <w:tc>
          <w:tcPr>
            <w:tcW w:type="dxa" w:w="900"/>
            <w:shd w:fill="FFFFFF"/>
            <w:tcBorders>
              <w:top w:val="single" w:sz="6" w:color="D7E2E8"/>
              <w:start w:val="single" w:sz="6" w:color="D7E2E8"/>
              <w:bottom w:val="single" w:sz="6" w:color="D7E2E8"/>
              <w:end w:val="single" w:sz="6" w:color="D7E2E8"/>
              <w:insideH w:val="single" w:sz="6" w:color="D7E2E8"/>
              <w:insideV w:val="single" w:sz="6" w:color="D7E2E8"/>
            </w:tcBorders>
          </w:tcPr>
          <w:p>
            <w:pPr>
              <w:keepLines/>
            </w:pPr>
            <w:r>
              <w:rPr>
                <w:rFonts w:ascii="Calibri" w:hAnsi="Calibri"/>
                <w:b/>
                <w:i w:val="0"/>
                <w:color w:val="2CA8C2"/>
                <w:sz w:val="24"/>
              </w:rPr>
              <w:t>04</w:t>
            </w:r>
          </w:p>
        </w:tc>
        <w:tc>
          <w:tcPr>
            <w:tcW w:type="dxa" w:w="1900"/>
            <w:shd w:fill="FFFFFF"/>
            <w:tcBorders>
              <w:top w:val="single" w:sz="6" w:color="D7E2E8"/>
              <w:start w:val="single" w:sz="6" w:color="D7E2E8"/>
              <w:bottom w:val="single" w:sz="6" w:color="D7E2E8"/>
              <w:end w:val="single" w:sz="6" w:color="D7E2E8"/>
              <w:insideH w:val="single" w:sz="6" w:color="D7E2E8"/>
              <w:insideV w:val="single" w:sz="6" w:color="D7E2E8"/>
            </w:tcBorders>
          </w:tcPr>
          <w:p>
            <w:pPr>
              <w:keepLines/>
            </w:pPr>
            <w:r>
              <w:rPr>
                <w:rFonts w:ascii="Calibri" w:hAnsi="Calibri"/>
                <w:b/>
                <w:i w:val="0"/>
                <w:color w:val="0B2545"/>
                <w:sz w:val="22"/>
              </w:rPr>
              <w:t>Engage</w:t>
            </w:r>
          </w:p>
        </w:tc>
        <w:tc>
          <w:tcPr>
            <w:tcW w:type="dxa" w:w="6560"/>
            <w:shd w:fill="FFFFFF"/>
            <w:tcBorders>
              <w:top w:val="single" w:sz="6" w:color="D7E2E8"/>
              <w:start w:val="single" w:sz="6" w:color="D7E2E8"/>
              <w:bottom w:val="single" w:sz="6" w:color="D7E2E8"/>
              <w:end w:val="single" w:sz="6" w:color="D7E2E8"/>
              <w:insideH w:val="single" w:sz="6" w:color="D7E2E8"/>
              <w:insideV w:val="single" w:sz="6" w:color="D7E2E8"/>
            </w:tcBorders>
          </w:tcPr>
          <w:p>
            <w:pPr>
              <w:keepLines/>
            </w:pPr>
            <w:r>
              <w:rPr>
                <w:rFonts w:ascii="Calibri" w:hAnsi="Calibri"/>
                <w:b w:val="0"/>
                <w:i w:val="0"/>
                <w:color w:val="253244"/>
                <w:sz w:val="21"/>
              </w:rPr>
              <w:t>The visitor reads relevant information or identifies the right business opportunity.</w:t>
            </w:r>
          </w:p>
        </w:tc>
      </w:tr>
      <w:tr>
        <w:tc>
          <w:tcPr>
            <w:tcW w:type="dxa" w:w="900"/>
            <w:shd w:fill="EDF4F7"/>
            <w:tcBorders>
              <w:top w:val="single" w:sz="6" w:color="D7E2E8"/>
              <w:start w:val="single" w:sz="6" w:color="D7E2E8"/>
              <w:bottom w:val="single" w:sz="6" w:color="D7E2E8"/>
              <w:end w:val="single" w:sz="6" w:color="D7E2E8"/>
              <w:insideH w:val="single" w:sz="6" w:color="D7E2E8"/>
              <w:insideV w:val="single" w:sz="6" w:color="D7E2E8"/>
            </w:tcBorders>
          </w:tcPr>
          <w:p>
            <w:pPr>
              <w:keepLines/>
            </w:pPr>
            <w:r>
              <w:rPr>
                <w:rFonts w:ascii="Calibri" w:hAnsi="Calibri"/>
                <w:b/>
                <w:i w:val="0"/>
                <w:color w:val="2CA8C2"/>
                <w:sz w:val="24"/>
              </w:rPr>
              <w:t>05</w:t>
            </w:r>
          </w:p>
        </w:tc>
        <w:tc>
          <w:tcPr>
            <w:tcW w:type="dxa" w:w="1900"/>
            <w:shd w:fill="EDF4F7"/>
            <w:tcBorders>
              <w:top w:val="single" w:sz="6" w:color="D7E2E8"/>
              <w:start w:val="single" w:sz="6" w:color="D7E2E8"/>
              <w:bottom w:val="single" w:sz="6" w:color="D7E2E8"/>
              <w:end w:val="single" w:sz="6" w:color="D7E2E8"/>
              <w:insideH w:val="single" w:sz="6" w:color="D7E2E8"/>
              <w:insideV w:val="single" w:sz="6" w:color="D7E2E8"/>
            </w:tcBorders>
          </w:tcPr>
          <w:p>
            <w:pPr>
              <w:keepLines/>
            </w:pPr>
            <w:r>
              <w:rPr>
                <w:rFonts w:ascii="Calibri" w:hAnsi="Calibri"/>
                <w:b/>
                <w:i w:val="0"/>
                <w:color w:val="0B2545"/>
                <w:sz w:val="22"/>
              </w:rPr>
              <w:t>Act</w:t>
            </w:r>
          </w:p>
        </w:tc>
        <w:tc>
          <w:tcPr>
            <w:tcW w:type="dxa" w:w="6560"/>
            <w:shd w:fill="EDF4F7"/>
            <w:tcBorders>
              <w:top w:val="single" w:sz="6" w:color="D7E2E8"/>
              <w:start w:val="single" w:sz="6" w:color="D7E2E8"/>
              <w:bottom w:val="single" w:sz="6" w:color="D7E2E8"/>
              <w:end w:val="single" w:sz="6" w:color="D7E2E8"/>
              <w:insideH w:val="single" w:sz="6" w:color="D7E2E8"/>
              <w:insideV w:val="single" w:sz="6" w:color="D7E2E8"/>
            </w:tcBorders>
          </w:tcPr>
          <w:p>
            <w:pPr>
              <w:keepLines/>
            </w:pPr>
            <w:r>
              <w:rPr>
                <w:rFonts w:ascii="Calibri" w:hAnsi="Calibri"/>
                <w:b w:val="0"/>
                <w:i w:val="0"/>
                <w:color w:val="253244"/>
                <w:sz w:val="21"/>
              </w:rPr>
              <w:t>The visitor contacts COPAD, applies for a role, submits an inquiry, or moves to a specialist destination.</w:t>
            </w:r>
          </w:p>
        </w:tc>
      </w:tr>
    </w:tbl>
    <w:p>
      <w:pPr>
        <w:spacing w:before="40" w:after="100"/>
      </w:pPr>
      <w:r>
        <w:rPr>
          <w:rFonts w:ascii="Calibri" w:hAnsi="Calibri"/>
          <w:b/>
          <w:i w:val="0"/>
          <w:color w:val="2CA8C2"/>
          <w:sz w:val="18"/>
        </w:rPr>
        <w:t>07  REFERENCE DIRECTION</w:t>
      </w:r>
    </w:p>
    <w:p>
      <w:pPr>
        <w:pStyle w:val="Heading1"/>
        <w:keepNext/>
      </w:pPr>
      <w:r>
        <w:t>The websites guiding the project</w:t>
      </w:r>
    </w:p>
    <w:p>
      <w:r>
        <w:rPr>
          <w:rFonts w:ascii="Calibri" w:hAnsi="Calibri"/>
          <w:b w:val="0"/>
          <w:i w:val="0"/>
          <w:color w:val="253244"/>
          <w:sz w:val="22"/>
        </w:rPr>
        <w:t>The final website will be designed specifically for COPAD. The following references will guide selected parts of the experience; no single website will be copied.</w:t>
      </w:r>
    </w:p>
    <w:tbl>
      <w:tblPr>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tcMar>
              <w:top w:w="100" w:type="dxa"/>
              <w:start w:w="120" w:type="dxa"/>
              <w:bottom w:w="100" w:type="dxa"/>
              <w:end w:w="120" w:type="dxa"/>
            </w:tcMar>
            <w:vAlign w:val="center"/>
            <w:shd w:fill="0B2545"/>
            <w:tcBorders>
              <w:top w:val="single" w:sz="6" w:color="0B2545"/>
              <w:start w:val="single" w:sz="6" w:color="0B2545"/>
              <w:bottom w:val="single" w:sz="6" w:color="0B2545"/>
              <w:end w:val="single" w:sz="6" w:color="0B2545"/>
              <w:insideH w:val="single" w:sz="6" w:color="0B2545"/>
              <w:insideV w:val="single" w:sz="6" w:color="0B2545"/>
            </w:tcBorders>
          </w:tcPr>
          <w:p>
            <w:pPr>
              <w:keepLines/>
            </w:pPr>
            <w:r>
              <w:rPr>
                <w:rFonts w:ascii="Calibri" w:hAnsi="Calibri"/>
                <w:b/>
                <w:i w:val="0"/>
                <w:color w:val="FFFFFF"/>
                <w:sz w:val="20"/>
              </w:rPr>
              <w:t>Reference</w:t>
            </w:r>
          </w:p>
        </w:tc>
        <w:tc>
          <w:tcPr>
            <w:tcW w:type="dxa" w:w="7060"/>
            <w:tcMar>
              <w:top w:w="100" w:type="dxa"/>
              <w:start w:w="120" w:type="dxa"/>
              <w:bottom w:w="100" w:type="dxa"/>
              <w:end w:w="120" w:type="dxa"/>
            </w:tcMar>
            <w:vAlign w:val="center"/>
            <w:shd w:fill="0B2545"/>
            <w:tcBorders>
              <w:top w:val="single" w:sz="6" w:color="0B2545"/>
              <w:start w:val="single" w:sz="6" w:color="0B2545"/>
              <w:bottom w:val="single" w:sz="6" w:color="0B2545"/>
              <w:end w:val="single" w:sz="6" w:color="0B2545"/>
              <w:insideH w:val="single" w:sz="6" w:color="0B2545"/>
              <w:insideV w:val="single" w:sz="6" w:color="0B2545"/>
            </w:tcBorders>
          </w:tcPr>
          <w:p>
            <w:pPr>
              <w:keepLines/>
            </w:pPr>
            <w:r>
              <w:rPr>
                <w:rFonts w:ascii="Calibri" w:hAnsi="Calibri"/>
                <w:b/>
                <w:i w:val="0"/>
                <w:color w:val="FFFFFF"/>
                <w:sz w:val="20"/>
              </w:rPr>
              <w:t>What We Will Learn From It</w:t>
            </w:r>
          </w:p>
        </w:tc>
      </w:tr>
      <w:tr>
        <w:tc>
          <w:tcPr>
            <w:tcW w:type="dxa" w:w="2300"/>
            <w:shd w:fill="FFFFFF"/>
            <w:tcBorders>
              <w:top w:val="single" w:sz="6" w:color="D7E2E8"/>
              <w:start w:val="single" w:sz="6" w:color="D7E2E8"/>
              <w:bottom w:val="single" w:sz="6" w:color="D7E2E8"/>
              <w:end w:val="single" w:sz="6" w:color="D7E2E8"/>
              <w:insideH w:val="single" w:sz="6" w:color="D7E2E8"/>
              <w:insideV w:val="single" w:sz="6" w:color="D7E2E8"/>
            </w:tcBorders>
          </w:tcPr>
          <w:p>
            <w:pPr>
              <w:keepLines/>
            </w:pPr>
            <w:r>
              <w:rPr>
                <w:rFonts w:ascii="Calibri" w:hAnsi="Calibri"/>
                <w:b/>
                <w:i w:val="0"/>
                <w:color w:val="0B2545"/>
                <w:sz w:val="21"/>
              </w:rPr>
              <w:t>EVA Pharma</w:t>
            </w:r>
            <w:r>
              <w:br/>
            </w:r>
            <w:hyperlink r:id="rId12">
              <w:r>
                <w:rPr>
                  <w:color w:val="1677A8"/>
                  <w:u w:val="single"/>
                  <w:rFonts w:ascii="Calibri" w:hAnsi="Calibri"/>
                  <w:sz w:val="20"/>
                </w:rPr>
                <w:t>View reference</w:t>
              </w:r>
            </w:hyperlink>
          </w:p>
        </w:tc>
        <w:tc>
          <w:tcPr>
            <w:tcW w:type="dxa" w:w="7060"/>
            <w:shd w:fill="FFFFFF"/>
            <w:tcBorders>
              <w:top w:val="single" w:sz="6" w:color="D7E2E8"/>
              <w:start w:val="single" w:sz="6" w:color="D7E2E8"/>
              <w:bottom w:val="single" w:sz="6" w:color="D7E2E8"/>
              <w:end w:val="single" w:sz="6" w:color="D7E2E8"/>
              <w:insideH w:val="single" w:sz="6" w:color="D7E2E8"/>
              <w:insideV w:val="single" w:sz="6" w:color="D7E2E8"/>
            </w:tcBorders>
          </w:tcPr>
          <w:p>
            <w:pPr>
              <w:keepLines/>
            </w:pPr>
            <w:r>
              <w:rPr>
                <w:rFonts w:ascii="Calibri" w:hAnsi="Calibri"/>
                <w:b w:val="0"/>
                <w:i w:val="0"/>
                <w:color w:val="253244"/>
                <w:sz w:val="20"/>
              </w:rPr>
              <w:t>The primary reference for presenting therapeutic areas as useful content destinations connected to medical information and relevant products.</w:t>
            </w:r>
          </w:p>
        </w:tc>
      </w:tr>
      <w:tr>
        <w:tc>
          <w:tcPr>
            <w:tcW w:type="dxa" w:w="2300"/>
            <w:shd w:fill="F6F9FB"/>
            <w:tcBorders>
              <w:top w:val="single" w:sz="6" w:color="D7E2E8"/>
              <w:start w:val="single" w:sz="6" w:color="D7E2E8"/>
              <w:bottom w:val="single" w:sz="6" w:color="D7E2E8"/>
              <w:end w:val="single" w:sz="6" w:color="D7E2E8"/>
              <w:insideH w:val="single" w:sz="6" w:color="D7E2E8"/>
              <w:insideV w:val="single" w:sz="6" w:color="D7E2E8"/>
            </w:tcBorders>
          </w:tcPr>
          <w:p>
            <w:pPr>
              <w:keepLines/>
            </w:pPr>
            <w:r>
              <w:rPr>
                <w:rFonts w:ascii="Calibri" w:hAnsi="Calibri"/>
                <w:b/>
                <w:i w:val="0"/>
                <w:color w:val="0B2545"/>
                <w:sz w:val="21"/>
              </w:rPr>
              <w:t>Haleon</w:t>
            </w:r>
            <w:r>
              <w:br/>
            </w:r>
            <w:hyperlink r:id="rId13">
              <w:r>
                <w:rPr>
                  <w:color w:val="1677A8"/>
                  <w:u w:val="single"/>
                  <w:rFonts w:ascii="Calibri" w:hAnsi="Calibri"/>
                  <w:sz w:val="20"/>
                </w:rPr>
                <w:t>View reference</w:t>
              </w:r>
            </w:hyperlink>
          </w:p>
        </w:tc>
        <w:tc>
          <w:tcPr>
            <w:tcW w:type="dxa" w:w="7060"/>
            <w:shd w:fill="F6F9FB"/>
            <w:tcBorders>
              <w:top w:val="single" w:sz="6" w:color="D7E2E8"/>
              <w:start w:val="single" w:sz="6" w:color="D7E2E8"/>
              <w:bottom w:val="single" w:sz="6" w:color="D7E2E8"/>
              <w:end w:val="single" w:sz="6" w:color="D7E2E8"/>
              <w:insideH w:val="single" w:sz="6" w:color="D7E2E8"/>
              <w:insideV w:val="single" w:sz="6" w:color="D7E2E8"/>
            </w:tcBorders>
          </w:tcPr>
          <w:p>
            <w:pPr>
              <w:keepLines/>
            </w:pPr>
            <w:r>
              <w:rPr>
                <w:rFonts w:ascii="Calibri" w:hAnsi="Calibri"/>
                <w:b w:val="0"/>
                <w:i w:val="0"/>
                <w:color w:val="253244"/>
                <w:sz w:val="20"/>
              </w:rPr>
              <w:t>A reference for organizing wellness categories and presenting consumer-facing brands and products with clarity.</w:t>
            </w:r>
          </w:p>
        </w:tc>
      </w:tr>
      <w:tr>
        <w:tc>
          <w:tcPr>
            <w:tcW w:type="dxa" w:w="2300"/>
            <w:shd w:fill="FFFFFF"/>
            <w:tcBorders>
              <w:top w:val="single" w:sz="6" w:color="D7E2E8"/>
              <w:start w:val="single" w:sz="6" w:color="D7E2E8"/>
              <w:bottom w:val="single" w:sz="6" w:color="D7E2E8"/>
              <w:end w:val="single" w:sz="6" w:color="D7E2E8"/>
              <w:insideH w:val="single" w:sz="6" w:color="D7E2E8"/>
              <w:insideV w:val="single" w:sz="6" w:color="D7E2E8"/>
            </w:tcBorders>
          </w:tcPr>
          <w:p>
            <w:pPr>
              <w:keepLines/>
            </w:pPr>
            <w:r>
              <w:rPr>
                <w:rFonts w:ascii="Calibri" w:hAnsi="Calibri"/>
                <w:b/>
                <w:i w:val="0"/>
                <w:color w:val="0B2545"/>
                <w:sz w:val="21"/>
              </w:rPr>
              <w:t>Roche</w:t>
            </w:r>
            <w:r>
              <w:br/>
            </w:r>
            <w:hyperlink r:id="rId14">
              <w:r>
                <w:rPr>
                  <w:color w:val="1677A8"/>
                  <w:u w:val="single"/>
                  <w:rFonts w:ascii="Calibri" w:hAnsi="Calibri"/>
                  <w:sz w:val="20"/>
                </w:rPr>
                <w:t>View reference</w:t>
              </w:r>
            </w:hyperlink>
          </w:p>
        </w:tc>
        <w:tc>
          <w:tcPr>
            <w:tcW w:type="dxa" w:w="7060"/>
            <w:shd w:fill="FFFFFF"/>
            <w:tcBorders>
              <w:top w:val="single" w:sz="6" w:color="D7E2E8"/>
              <w:start w:val="single" w:sz="6" w:color="D7E2E8"/>
              <w:bottom w:val="single" w:sz="6" w:color="D7E2E8"/>
              <w:end w:val="single" w:sz="6" w:color="D7E2E8"/>
              <w:insideH w:val="single" w:sz="6" w:color="D7E2E8"/>
              <w:insideV w:val="single" w:sz="6" w:color="D7E2E8"/>
            </w:tcBorders>
          </w:tcPr>
          <w:p>
            <w:pPr>
              <w:keepLines/>
            </w:pPr>
            <w:r>
              <w:rPr>
                <w:rFonts w:ascii="Calibri" w:hAnsi="Calibri"/>
                <w:b w:val="0"/>
                <w:i w:val="0"/>
                <w:color w:val="253244"/>
                <w:sz w:val="20"/>
              </w:rPr>
              <w:t>A reference for corporate credibility, scientific positioning, focus areas, measurable proof, and responsible safety pathways.</w:t>
            </w:r>
          </w:p>
        </w:tc>
      </w:tr>
      <w:tr>
        <w:tc>
          <w:tcPr>
            <w:tcW w:type="dxa" w:w="2300"/>
            <w:shd w:fill="F6F9FB"/>
            <w:tcBorders>
              <w:top w:val="single" w:sz="6" w:color="D7E2E8"/>
              <w:start w:val="single" w:sz="6" w:color="D7E2E8"/>
              <w:bottom w:val="single" w:sz="6" w:color="D7E2E8"/>
              <w:end w:val="single" w:sz="6" w:color="D7E2E8"/>
              <w:insideH w:val="single" w:sz="6" w:color="D7E2E8"/>
              <w:insideV w:val="single" w:sz="6" w:color="D7E2E8"/>
            </w:tcBorders>
          </w:tcPr>
          <w:p>
            <w:pPr>
              <w:keepLines/>
            </w:pPr>
            <w:r>
              <w:rPr>
                <w:rFonts w:ascii="Calibri" w:hAnsi="Calibri"/>
                <w:b/>
                <w:i w:val="0"/>
                <w:color w:val="0B2545"/>
                <w:sz w:val="21"/>
              </w:rPr>
              <w:t>Lundbeck</w:t>
            </w:r>
            <w:r>
              <w:br/>
            </w:r>
            <w:hyperlink r:id="rId15">
              <w:r>
                <w:rPr>
                  <w:color w:val="1677A8"/>
                  <w:u w:val="single"/>
                  <w:rFonts w:ascii="Calibri" w:hAnsi="Calibri"/>
                  <w:sz w:val="20"/>
                </w:rPr>
                <w:t>View reference</w:t>
              </w:r>
            </w:hyperlink>
          </w:p>
        </w:tc>
        <w:tc>
          <w:tcPr>
            <w:tcW w:type="dxa" w:w="7060"/>
            <w:shd w:fill="F6F9FB"/>
            <w:tcBorders>
              <w:top w:val="single" w:sz="6" w:color="D7E2E8"/>
              <w:start w:val="single" w:sz="6" w:color="D7E2E8"/>
              <w:bottom w:val="single" w:sz="6" w:color="D7E2E8"/>
              <w:end w:val="single" w:sz="6" w:color="D7E2E8"/>
              <w:insideH w:val="single" w:sz="6" w:color="D7E2E8"/>
              <w:insideV w:val="single" w:sz="6" w:color="D7E2E8"/>
            </w:tcBorders>
          </w:tcPr>
          <w:p>
            <w:pPr>
              <w:keepLines/>
            </w:pPr>
            <w:r>
              <w:rPr>
                <w:rFonts w:ascii="Calibri" w:hAnsi="Calibri"/>
                <w:b w:val="0"/>
                <w:i w:val="0"/>
                <w:color w:val="253244"/>
                <w:sz w:val="20"/>
              </w:rPr>
              <w:t>A reference for a clear scientific promise, focused storytelling, and a human-centered corporate message.</w:t>
            </w:r>
          </w:p>
        </w:tc>
      </w:tr>
      <w:tr>
        <w:tc>
          <w:tcPr>
            <w:tcW w:type="dxa" w:w="2300"/>
            <w:shd w:fill="FFFFFF"/>
            <w:tcBorders>
              <w:top w:val="single" w:sz="6" w:color="D7E2E8"/>
              <w:start w:val="single" w:sz="6" w:color="D7E2E8"/>
              <w:bottom w:val="single" w:sz="6" w:color="D7E2E8"/>
              <w:end w:val="single" w:sz="6" w:color="D7E2E8"/>
              <w:insideH w:val="single" w:sz="6" w:color="D7E2E8"/>
              <w:insideV w:val="single" w:sz="6" w:color="D7E2E8"/>
            </w:tcBorders>
          </w:tcPr>
          <w:p>
            <w:pPr>
              <w:keepLines/>
            </w:pPr>
            <w:r>
              <w:rPr>
                <w:rFonts w:ascii="Calibri" w:hAnsi="Calibri"/>
                <w:b/>
                <w:i w:val="0"/>
                <w:color w:val="0B2545"/>
                <w:sz w:val="21"/>
              </w:rPr>
              <w:t>Polygon Pharma</w:t>
            </w:r>
            <w:r>
              <w:br/>
            </w:r>
            <w:hyperlink r:id="rId16">
              <w:r>
                <w:rPr>
                  <w:color w:val="1677A8"/>
                  <w:u w:val="single"/>
                  <w:rFonts w:ascii="Calibri" w:hAnsi="Calibri"/>
                  <w:sz w:val="20"/>
                </w:rPr>
                <w:t>View reference</w:t>
              </w:r>
            </w:hyperlink>
          </w:p>
        </w:tc>
        <w:tc>
          <w:tcPr>
            <w:tcW w:type="dxa" w:w="7060"/>
            <w:shd w:fill="FFFFFF"/>
            <w:tcBorders>
              <w:top w:val="single" w:sz="6" w:color="D7E2E8"/>
              <w:start w:val="single" w:sz="6" w:color="D7E2E8"/>
              <w:bottom w:val="single" w:sz="6" w:color="D7E2E8"/>
              <w:end w:val="single" w:sz="6" w:color="D7E2E8"/>
              <w:insideH w:val="single" w:sz="6" w:color="D7E2E8"/>
              <w:insideV w:val="single" w:sz="6" w:color="D7E2E8"/>
            </w:tcBorders>
          </w:tcPr>
          <w:p>
            <w:pPr>
              <w:keepLines/>
            </w:pPr>
            <w:r>
              <w:rPr>
                <w:rFonts w:ascii="Calibri" w:hAnsi="Calibri"/>
                <w:b w:val="0"/>
                <w:i w:val="0"/>
                <w:color w:val="253244"/>
                <w:sz w:val="20"/>
              </w:rPr>
              <w:t>A relevant Egyptian-market reference for manufacturing presentation, certifications, facility storytelling, and partnership calls to action.</w:t>
            </w:r>
          </w:p>
        </w:tc>
      </w:tr>
    </w:tbl>
    <w:p>
      <w:pPr>
        <w:spacing w:after="0"/>
      </w:pPr>
    </w:p>
    <w:p>
      <w:pPr>
        <w:pStyle w:val="Heading2"/>
        <w:keepNext/>
      </w:pPr>
      <w:r>
        <w:t>The proposed COPAD combination</w:t>
      </w:r>
    </w:p>
    <w:p>
      <w:pPr>
        <w:spacing w:after="160" w:line="280" w:lineRule="auto"/>
        <w:ind w:left="720" w:hanging="360"/>
        <w:numPr>
          <w:ilvl w:val="0"/>
          <w:numId w:val="10"/>
        </w:numPr>
      </w:pPr>
      <w:r>
        <w:rPr>
          <w:rFonts w:ascii="Calibri" w:hAnsi="Calibri"/>
          <w:b w:val="0"/>
          <w:i w:val="0"/>
          <w:color w:val="253244"/>
          <w:sz w:val="22"/>
        </w:rPr>
        <w:t>Roche's corporate and scientific confidence.</w:t>
      </w:r>
    </w:p>
    <w:p>
      <w:pPr>
        <w:spacing w:after="160" w:line="280" w:lineRule="auto"/>
        <w:ind w:left="720" w:hanging="360"/>
        <w:numPr>
          <w:ilvl w:val="0"/>
          <w:numId w:val="10"/>
        </w:numPr>
      </w:pPr>
      <w:r>
        <w:rPr>
          <w:rFonts w:ascii="Calibri" w:hAnsi="Calibri"/>
          <w:b w:val="0"/>
          <w:i w:val="0"/>
          <w:color w:val="253244"/>
          <w:sz w:val="22"/>
        </w:rPr>
        <w:t>EVA Pharma's therapeutic-area structure.</w:t>
      </w:r>
    </w:p>
    <w:p>
      <w:pPr>
        <w:spacing w:after="160" w:line="280" w:lineRule="auto"/>
        <w:ind w:left="720" w:hanging="360"/>
        <w:numPr>
          <w:ilvl w:val="0"/>
          <w:numId w:val="10"/>
        </w:numPr>
      </w:pPr>
      <w:r>
        <w:rPr>
          <w:rFonts w:ascii="Calibri" w:hAnsi="Calibri"/>
          <w:b w:val="0"/>
          <w:i w:val="0"/>
          <w:color w:val="253244"/>
          <w:sz w:val="22"/>
        </w:rPr>
        <w:t>Haleon's consumer clarity.</w:t>
      </w:r>
    </w:p>
    <w:p>
      <w:pPr>
        <w:spacing w:after="160" w:line="280" w:lineRule="auto"/>
        <w:ind w:left="720" w:hanging="360"/>
        <w:numPr>
          <w:ilvl w:val="0"/>
          <w:numId w:val="10"/>
        </w:numPr>
      </w:pPr>
      <w:r>
        <w:rPr>
          <w:rFonts w:ascii="Calibri" w:hAnsi="Calibri"/>
          <w:b w:val="0"/>
          <w:i w:val="0"/>
          <w:color w:val="253244"/>
          <w:sz w:val="22"/>
        </w:rPr>
        <w:t>Lundbeck's focused message.</w:t>
      </w:r>
    </w:p>
    <w:p>
      <w:pPr>
        <w:spacing w:after="160" w:line="280" w:lineRule="auto"/>
        <w:ind w:left="720" w:hanging="360"/>
        <w:numPr>
          <w:ilvl w:val="0"/>
          <w:numId w:val="10"/>
        </w:numPr>
      </w:pPr>
      <w:r>
        <w:rPr>
          <w:rFonts w:ascii="Calibri" w:hAnsi="Calibri"/>
          <w:b w:val="0"/>
          <w:i w:val="0"/>
          <w:color w:val="253244"/>
          <w:sz w:val="22"/>
        </w:rPr>
        <w:t>Polygon Pharma's manufacturing proof and local relevance.</w:t>
      </w:r>
    </w:p>
    <w:p>
      <w:pPr>
        <w:spacing w:before="40" w:after="100"/>
      </w:pPr>
      <w:r>
        <w:rPr>
          <w:rFonts w:ascii="Calibri" w:hAnsi="Calibri"/>
          <w:b/>
          <w:i w:val="0"/>
          <w:color w:val="2CA8C2"/>
          <w:sz w:val="18"/>
        </w:rPr>
        <w:t>08  FINAL PROJECT OUTCOME</w:t>
      </w:r>
    </w:p>
    <w:p>
      <w:pPr>
        <w:pStyle w:val="Heading1"/>
        <w:keepNext/>
      </w:pPr>
      <w:r>
        <w:t>What COPAD will have</w:t>
      </w:r>
    </w:p>
    <w:p>
      <w:r>
        <w:rPr>
          <w:rFonts w:ascii="Calibri" w:hAnsi="Calibri"/>
          <w:b w:val="0"/>
          <w:i w:val="0"/>
          <w:color w:val="253244"/>
          <w:sz w:val="22"/>
        </w:rPr>
        <w:t>The final result will be a strong corporate platform that explains COPAD clearly, supports different audiences, and provides a practical foundation for the company's future digital expansion.</w:t>
      </w:r>
    </w:p>
    <w:p>
      <w:pPr>
        <w:spacing w:after="160" w:line="280" w:lineRule="auto"/>
        <w:ind w:left="720" w:hanging="360"/>
        <w:numPr>
          <w:ilvl w:val="0"/>
          <w:numId w:val="10"/>
        </w:numPr>
      </w:pPr>
      <w:r>
        <w:rPr>
          <w:rFonts w:ascii="Calibri" w:hAnsi="Calibri"/>
          <w:b w:val="0"/>
          <w:i w:val="0"/>
          <w:color w:val="253244"/>
          <w:sz w:val="22"/>
        </w:rPr>
        <w:t>A professional corporate website that reflects COPAD's scale and credibility.</w:t>
      </w:r>
    </w:p>
    <w:p>
      <w:pPr>
        <w:spacing w:after="160" w:line="280" w:lineRule="auto"/>
        <w:ind w:left="720" w:hanging="360"/>
        <w:numPr>
          <w:ilvl w:val="0"/>
          <w:numId w:val="10"/>
        </w:numPr>
      </w:pPr>
      <w:r>
        <w:rPr>
          <w:rFonts w:ascii="Calibri" w:hAnsi="Calibri"/>
          <w:b w:val="0"/>
          <w:i w:val="0"/>
          <w:color w:val="253244"/>
          <w:sz w:val="22"/>
        </w:rPr>
        <w:t>A clear presentation of the company's divisions and therapeutic expertise.</w:t>
      </w:r>
    </w:p>
    <w:p>
      <w:pPr>
        <w:spacing w:after="160" w:line="280" w:lineRule="auto"/>
        <w:ind w:left="720" w:hanging="360"/>
        <w:numPr>
          <w:ilvl w:val="0"/>
          <w:numId w:val="10"/>
        </w:numPr>
      </w:pPr>
      <w:r>
        <w:rPr>
          <w:rFonts w:ascii="Calibri" w:hAnsi="Calibri"/>
          <w:b w:val="0"/>
          <w:i w:val="0"/>
          <w:color w:val="253244"/>
          <w:sz w:val="22"/>
        </w:rPr>
        <w:t>An organized and searchable portfolio experience.</w:t>
      </w:r>
    </w:p>
    <w:p>
      <w:pPr>
        <w:spacing w:after="160" w:line="280" w:lineRule="auto"/>
        <w:ind w:left="720" w:hanging="360"/>
        <w:numPr>
          <w:ilvl w:val="0"/>
          <w:numId w:val="10"/>
        </w:numPr>
      </w:pPr>
      <w:r>
        <w:rPr>
          <w:rFonts w:ascii="Calibri" w:hAnsi="Calibri"/>
          <w:b w:val="0"/>
          <w:i w:val="0"/>
          <w:color w:val="253244"/>
          <w:sz w:val="22"/>
        </w:rPr>
        <w:t>A strong manufacturing and quality story supported by real evidence.</w:t>
      </w:r>
    </w:p>
    <w:p>
      <w:pPr>
        <w:spacing w:after="160" w:line="280" w:lineRule="auto"/>
        <w:ind w:left="720" w:hanging="360"/>
        <w:numPr>
          <w:ilvl w:val="0"/>
          <w:numId w:val="10"/>
        </w:numPr>
      </w:pPr>
      <w:r>
        <w:rPr>
          <w:rFonts w:ascii="Calibri" w:hAnsi="Calibri"/>
          <w:b w:val="0"/>
          <w:i w:val="0"/>
          <w:color w:val="253244"/>
          <w:sz w:val="22"/>
        </w:rPr>
        <w:t>Medical and educational content presented responsibly.</w:t>
      </w:r>
    </w:p>
    <w:p>
      <w:pPr>
        <w:spacing w:after="160" w:line="280" w:lineRule="auto"/>
        <w:ind w:left="720" w:hanging="360"/>
        <w:numPr>
          <w:ilvl w:val="0"/>
          <w:numId w:val="10"/>
        </w:numPr>
      </w:pPr>
      <w:r>
        <w:rPr>
          <w:rFonts w:ascii="Calibri" w:hAnsi="Calibri"/>
          <w:b w:val="0"/>
          <w:i w:val="0"/>
          <w:color w:val="253244"/>
          <w:sz w:val="22"/>
        </w:rPr>
        <w:t>Clear routes for partnerships, careers, inquiries, and support.</w:t>
      </w:r>
    </w:p>
    <w:p>
      <w:pPr>
        <w:spacing w:after="160" w:line="280" w:lineRule="auto"/>
        <w:ind w:left="720" w:hanging="360"/>
        <w:numPr>
          <w:ilvl w:val="0"/>
          <w:numId w:val="10"/>
        </w:numPr>
      </w:pPr>
      <w:r>
        <w:rPr>
          <w:rFonts w:ascii="Calibri" w:hAnsi="Calibri"/>
          <w:b w:val="0"/>
          <w:i w:val="0"/>
          <w:color w:val="253244"/>
          <w:sz w:val="22"/>
        </w:rPr>
        <w:t>A bilingual, mobile-friendly experience.</w:t>
      </w:r>
    </w:p>
    <w:p>
      <w:pPr>
        <w:spacing w:after="160" w:line="280" w:lineRule="auto"/>
        <w:ind w:left="720" w:hanging="360"/>
        <w:numPr>
          <w:ilvl w:val="0"/>
          <w:numId w:val="10"/>
        </w:numPr>
      </w:pPr>
      <w:r>
        <w:rPr>
          <w:rFonts w:ascii="Calibri" w:hAnsi="Calibri"/>
          <w:b w:val="0"/>
          <w:i w:val="0"/>
          <w:color w:val="253244"/>
          <w:sz w:val="22"/>
        </w:rPr>
        <w:t>A manageable content platform for the COPAD team.</w:t>
      </w:r>
    </w:p>
    <w:p>
      <w:pPr>
        <w:spacing w:after="160" w:line="280" w:lineRule="auto"/>
        <w:ind w:left="720" w:hanging="360"/>
        <w:numPr>
          <w:ilvl w:val="0"/>
          <w:numId w:val="10"/>
        </w:numPr>
      </w:pPr>
      <w:r>
        <w:rPr>
          <w:rFonts w:ascii="Calibri" w:hAnsi="Calibri"/>
          <w:b w:val="0"/>
          <w:i w:val="0"/>
          <w:color w:val="253244"/>
          <w:sz w:val="22"/>
        </w:rPr>
        <w:t>A consistent digital foundation for the future pharmaceutical, wellness e-commerce, and veterinary websites.</w:t>
      </w:r>
    </w:p>
    <w:p>
      <w:pPr>
        <w:spacing w:before="120" w:after="240" w:line="276" w:lineRule="auto"/>
        <w:ind w:left="115" w:right="115"/>
        <w:shd w:fill="EDF4F7"/>
        <w:pBdr>
          <w:left w:val="single" w:sz="18" w:space="8" w:color="2CA8C2"/>
        </w:pBdr>
      </w:pPr>
      <w:r>
        <w:rPr>
          <w:rFonts w:ascii="Calibri" w:hAnsi="Calibri"/>
          <w:b/>
          <w:i w:val="0"/>
          <w:color w:val="0B2545"/>
          <w:sz w:val="22"/>
        </w:rPr>
        <w:t>Final recommendation</w:t>
        <w:br/>
      </w:r>
      <w:r>
        <w:rPr>
          <w:rFonts w:ascii="Calibri" w:hAnsi="Calibri"/>
          <w:b w:val="0"/>
          <w:i w:val="0"/>
          <w:color w:val="253244"/>
          <w:sz w:val="21"/>
        </w:rPr>
        <w:t>Build the corporate website as the trusted center of the COPAD digital ecosystem. Let the future specialist websites focus on the needs of their specific audiences while remaining connected to one strong corporate identity.</w:t>
      </w:r>
    </w:p>
    <w:p>
      <w:pPr>
        <w:spacing w:before="480" w:after="0"/>
        <w:jc w:val="center"/>
      </w:pPr>
      <w:r>
        <w:rPr>
          <w:rFonts w:ascii="Calibri" w:hAnsi="Calibri"/>
          <w:b/>
          <w:i w:val="0"/>
          <w:color w:val="64748B"/>
          <w:sz w:val="20"/>
        </w:rPr>
        <w:t>COPAD Corporate Website  |  Website Direction &amp; Roadmap</w:t>
      </w:r>
    </w:p>
    <w:sectPr w:rsidR="00FC693F" w:rsidRPr="0006063C" w:rsidSect="00034616">
      <w:headerReference w:type="default" r:id="rId9"/>
      <w:footerReference w:type="default" r:id="rId10"/>
      <w:footerReference w:type="firs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4748B"/>
        <w:sz w:val="18"/>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4748B"/>
        <w:sz w:val="18"/>
      </w:rPr>
      <w:t>Prepared by Plexus Digital Solutions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4748B"/>
        <w:sz w:val="17"/>
      </w:rPr>
      <w:t>COPAD CORPORATE WEBSITE  |  WEBSITE DIRECTION &amp;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color w:val="2CA8C2"/>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5324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677A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677A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yperlink" Target="https://www.evapharma.com/science-medicine/therapeutic-areas" TargetMode="External"/><Relationship Id="rId13" Type="http://schemas.openxmlformats.org/officeDocument/2006/relationships/hyperlink" Target="https://www.haleon.com/our-brands" TargetMode="External"/><Relationship Id="rId14" Type="http://schemas.openxmlformats.org/officeDocument/2006/relationships/hyperlink" Target="https://www.roche.com/about/business/pharmaceuticals" TargetMode="External"/><Relationship Id="rId15" Type="http://schemas.openxmlformats.org/officeDocument/2006/relationships/hyperlink" Target="https://www.lundbeck.com/global" TargetMode="External"/><Relationship Id="rId16" Type="http://schemas.openxmlformats.org/officeDocument/2006/relationships/hyperlink" Target="https://polygonpharma.com/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COPAD Corporate Website - Website Direction &amp; Roadmap</dc:title>
  <dc:subject>Client-facing website direction and roadmap</dc:subject>
  <dc:creator>Plexus Digital Solutions</dc:creator>
  <cp:keywords>COPAD, corporate website, roadmap, pharmaceutical, website structure</cp:keywords>
  <dc:description>generated by python-docx</dc:description>
  <cp:lastModifiedBy/>
  <cp:revision>1</cp:revision>
  <dcterms:created xsi:type="dcterms:W3CDTF">2013-12-23T23:15:00Z</dcterms:created>
  <dcterms:modified xsi:type="dcterms:W3CDTF">2013-12-23T23:15:00Z</dcterms:modified>
  <cp:category/>
</cp:coreProperties>
</file>