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96254C">
      <w:pPr>
        <w:pStyle w:val="16"/>
        <w:spacing w:after="80"/>
      </w:pPr>
      <w:bookmarkStart w:id="0" w:name="_GoBack"/>
      <w:bookmarkEnd w:id="0"/>
      <w:r>
        <w:rPr>
          <w:rFonts w:ascii="Arial" w:hAnsi="Arial" w:eastAsia="Arial" w:cs="Arial"/>
          <w:b/>
          <w:bCs/>
          <w:sz w:val="36"/>
          <w:szCs w:val="36"/>
        </w:rPr>
        <w:t>Lab 04 - Economic Feasibility Analysis</w:t>
      </w:r>
    </w:p>
    <w:p w14:paraId="59624DBC">
      <w:pPr>
        <w:spacing w:after="60"/>
      </w:pPr>
      <w:r>
        <w:rPr>
          <w:rFonts w:ascii="Arial" w:hAnsi="Arial" w:eastAsia="Arial" w:cs="Arial"/>
          <w:sz w:val="22"/>
          <w:szCs w:val="22"/>
        </w:rPr>
        <w:t>Project: Document Management System</w:t>
      </w:r>
    </w:p>
    <w:p w14:paraId="7167FA1B">
      <w:pPr>
        <w:spacing w:after="60"/>
      </w:pPr>
    </w:p>
    <w:tbl>
      <w:tblPr>
        <w:tblStyle w:val="9"/>
        <w:tblW w:w="9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06"/>
        <w:gridCol w:w="4706"/>
      </w:tblGrid>
      <w:tr w14:paraId="5DB8D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E1167A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Name</w:t>
            </w:r>
          </w:p>
        </w:tc>
        <w:tc>
          <w:tcPr>
            <w:tcW w:w="4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88D38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Role</w:t>
            </w:r>
          </w:p>
        </w:tc>
      </w:tr>
      <w:tr w14:paraId="1CE15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CF4909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Omar Ayman Shebl Motawea</w:t>
            </w:r>
          </w:p>
        </w:tc>
        <w:tc>
          <w:tcPr>
            <w:tcW w:w="4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135D29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Project Manager / Business Analyst</w:t>
            </w:r>
          </w:p>
        </w:tc>
      </w:tr>
      <w:tr w14:paraId="7C641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F056D3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Michael Erian Ayad Sadhom</w:t>
            </w:r>
          </w:p>
        </w:tc>
        <w:tc>
          <w:tcPr>
            <w:tcW w:w="4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0158FA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System Designer / UI/UX Designer</w:t>
            </w:r>
          </w:p>
        </w:tc>
      </w:tr>
      <w:tr w14:paraId="7E484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1B5E26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Gamal Hamed Gamal Aldin</w:t>
            </w:r>
          </w:p>
        </w:tc>
        <w:tc>
          <w:tcPr>
            <w:tcW w:w="4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2BC3CC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Documentation &amp; QA</w:t>
            </w:r>
          </w:p>
        </w:tc>
      </w:tr>
    </w:tbl>
    <w:p w14:paraId="27317F9C">
      <w:pPr>
        <w:spacing w:after="60"/>
      </w:pPr>
    </w:p>
    <w:p w14:paraId="60648DB6">
      <w:pPr>
        <w:pStyle w:val="2"/>
        <w:keepNext/>
        <w:spacing w:before="280" w:after="120"/>
      </w:pPr>
      <w:r>
        <w:rPr>
          <w:rFonts w:ascii="Arial" w:hAnsi="Arial" w:eastAsia="Arial" w:cs="Arial"/>
          <w:b/>
          <w:bCs/>
          <w:sz w:val="26"/>
          <w:szCs w:val="26"/>
        </w:rPr>
        <w:t>1. Purpose</w:t>
      </w:r>
    </w:p>
    <w:p w14:paraId="1DD18987">
      <w:pPr>
        <w:spacing w:after="120"/>
      </w:pPr>
      <w:r>
        <w:rPr>
          <w:rFonts w:ascii="Arial" w:hAnsi="Arial" w:eastAsia="Arial" w:cs="Arial"/>
          <w:sz w:val="21"/>
          <w:szCs w:val="21"/>
        </w:rPr>
        <w:t>This lab checks whether the Document Management System is worth its cost. The costs and benefits are recorded in an Excel file, and three measures are calculated: ROI (return on investment), BEP (break-even point / payback period) and NPV (net present value).</w:t>
      </w:r>
    </w:p>
    <w:p w14:paraId="5337342B">
      <w:pPr>
        <w:pStyle w:val="2"/>
        <w:keepNext/>
        <w:spacing w:before="280" w:after="120"/>
      </w:pPr>
      <w:r>
        <w:rPr>
          <w:rFonts w:ascii="Arial" w:hAnsi="Arial" w:eastAsia="Arial" w:cs="Arial"/>
          <w:b/>
          <w:bCs/>
          <w:sz w:val="26"/>
          <w:szCs w:val="26"/>
        </w:rPr>
        <w:t>2. Costs and Benefits</w:t>
      </w:r>
    </w:p>
    <w:tbl>
      <w:tblPr>
        <w:tblStyle w:val="9"/>
        <w:tblW w:w="9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1"/>
        <w:gridCol w:w="2216"/>
        <w:gridCol w:w="1399"/>
        <w:gridCol w:w="2373"/>
        <w:gridCol w:w="1883"/>
      </w:tblGrid>
      <w:tr w14:paraId="444A3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C791D5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Category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B5E022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Description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5A5FFD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Estimated cost</w:t>
            </w:r>
          </w:p>
        </w:tc>
        <w:tc>
          <w:tcPr>
            <w:tcW w:w="2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1B14B5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Benefits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FEEA46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Estimated value (per year)</w:t>
            </w:r>
          </w:p>
        </w:tc>
      </w:tr>
      <w:tr w14:paraId="67023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A3192F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Software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378F97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Development (in-house) or purchase of DMS license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0AB5CB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$2,000 - $5,000</w:t>
            </w:r>
          </w:p>
        </w:tc>
        <w:tc>
          <w:tcPr>
            <w:tcW w:w="2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857AB8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Centralized, automated system reduces lost documents and errors.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B89500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$3,000 savings in admin errors</w:t>
            </w:r>
          </w:p>
        </w:tc>
      </w:tr>
      <w:tr w14:paraId="7714E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1A1C79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Hardware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DDE148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Server, storage drives, document scanners, backup drives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B83B98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$1,500 - $3,000</w:t>
            </w:r>
          </w:p>
        </w:tc>
        <w:tc>
          <w:tcPr>
            <w:tcW w:w="2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22B593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Faster scanning and retrieval; reduced manual work.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EB4CA5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$2,500 saved in staff workload</w:t>
            </w:r>
          </w:p>
        </w:tc>
      </w:tr>
      <w:tr w14:paraId="1C3AD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78CC9C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Training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8CD6D4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Staff training sessions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1D08EB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$500 - $1,000</w:t>
            </w:r>
          </w:p>
        </w:tc>
        <w:tc>
          <w:tcPr>
            <w:tcW w:w="2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ECD47D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Smooth transition, efficient use of system.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3C4ECA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Higher productivity (about $1,200)</w:t>
            </w:r>
          </w:p>
        </w:tc>
      </w:tr>
      <w:tr w14:paraId="6F27A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7AA9D9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Maintenance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AD7B9A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Annual software updates, bug fixes, server hosting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D41314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$800 - $1,200</w:t>
            </w:r>
          </w:p>
        </w:tc>
        <w:tc>
          <w:tcPr>
            <w:tcW w:w="2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649C72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Ensures system reliability and security.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A975D4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$2,000 saved from downtime</w:t>
            </w:r>
          </w:p>
        </w:tc>
      </w:tr>
      <w:tr w14:paraId="602C8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DEEA71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Administration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2E8AD5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Current manual system (paper files, cabinets, printing, photocopying)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0DBD29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$1,200 annually</w:t>
            </w:r>
          </w:p>
        </w:tc>
        <w:tc>
          <w:tcPr>
            <w:tcW w:w="2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77B8B2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Eliminated with DMS (paperless system).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C083CB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$1,200 saved</w:t>
            </w:r>
          </w:p>
        </w:tc>
      </w:tr>
      <w:tr w14:paraId="13905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E01B5E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User experience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E9CF4D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Manual searching for files wastes users' time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F8D17E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-</w:t>
            </w:r>
          </w:p>
        </w:tc>
        <w:tc>
          <w:tcPr>
            <w:tcW w:w="2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CA56A6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Faster access to documents, improved satisfaction, better collaboration.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74D0AF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Intangible but high value</w:t>
            </w:r>
          </w:p>
        </w:tc>
      </w:tr>
    </w:tbl>
    <w:p w14:paraId="4CB10AE0">
      <w:pPr>
        <w:spacing w:after="60"/>
      </w:pPr>
    </w:p>
    <w:p w14:paraId="7BEFAC04">
      <w:pPr>
        <w:spacing w:after="120"/>
      </w:pPr>
      <w:r>
        <w:rPr>
          <w:rFonts w:ascii="Arial" w:hAnsi="Arial" w:eastAsia="Arial" w:cs="Arial"/>
          <w:b/>
          <w:bCs/>
          <w:sz w:val="21"/>
          <w:szCs w:val="21"/>
        </w:rPr>
        <w:t>Summary:</w:t>
      </w:r>
    </w:p>
    <w:p w14:paraId="02EE122F">
      <w:pPr>
        <w:pStyle w:val="17"/>
        <w:numPr>
          <w:ilvl w:val="0"/>
          <w:numId w:val="1"/>
        </w:numPr>
        <w:spacing w:after="40"/>
      </w:pPr>
      <w:r>
        <w:rPr>
          <w:rFonts w:ascii="Arial" w:hAnsi="Arial" w:eastAsia="Arial" w:cs="Arial"/>
          <w:sz w:val="21"/>
          <w:szCs w:val="21"/>
        </w:rPr>
        <w:t>Total estimated costs (first year): $4,800 - $10,200</w:t>
      </w:r>
    </w:p>
    <w:p w14:paraId="746ABBCD">
      <w:pPr>
        <w:pStyle w:val="17"/>
        <w:numPr>
          <w:ilvl w:val="0"/>
          <w:numId w:val="1"/>
        </w:numPr>
        <w:spacing w:after="40"/>
      </w:pPr>
      <w:r>
        <w:rPr>
          <w:rFonts w:ascii="Arial" w:hAnsi="Arial" w:eastAsia="Arial" w:cs="Arial"/>
          <w:sz w:val="21"/>
          <w:szCs w:val="21"/>
        </w:rPr>
        <w:t>Total estimated annual benefits / savings: $8,000 - $10,000+</w:t>
      </w:r>
    </w:p>
    <w:p w14:paraId="4F04BAEF">
      <w:pPr>
        <w:pStyle w:val="17"/>
        <w:numPr>
          <w:ilvl w:val="0"/>
          <w:numId w:val="1"/>
        </w:numPr>
        <w:spacing w:after="40"/>
      </w:pPr>
      <w:r>
        <w:rPr>
          <w:rFonts w:ascii="Arial" w:hAnsi="Arial" w:eastAsia="Arial" w:cs="Arial"/>
          <w:sz w:val="21"/>
          <w:szCs w:val="21"/>
        </w:rPr>
        <w:t>Payback period: within 1 year</w:t>
      </w:r>
    </w:p>
    <w:p w14:paraId="72080EF1">
      <w:pPr>
        <w:pStyle w:val="2"/>
        <w:keepNext/>
        <w:spacing w:before="280" w:after="120"/>
      </w:pPr>
      <w:r>
        <w:rPr>
          <w:rFonts w:ascii="Arial" w:hAnsi="Arial" w:eastAsia="Arial" w:cs="Arial"/>
          <w:b/>
          <w:bCs/>
          <w:sz w:val="26"/>
          <w:szCs w:val="26"/>
        </w:rPr>
        <w:t>3. Assumptions Used in the Calculations</w:t>
      </w:r>
    </w:p>
    <w:p w14:paraId="5CAF4BD5">
      <w:pPr>
        <w:pStyle w:val="17"/>
        <w:numPr>
          <w:ilvl w:val="0"/>
          <w:numId w:val="1"/>
        </w:numPr>
        <w:spacing w:after="40"/>
      </w:pPr>
      <w:r>
        <w:rPr>
          <w:rFonts w:ascii="Arial" w:hAnsi="Arial" w:eastAsia="Arial" w:cs="Arial"/>
          <w:sz w:val="21"/>
          <w:szCs w:val="21"/>
        </w:rPr>
        <w:t xml:space="preserve">The middle (average) value of each range is used: first-year cost = ($4,800 + $10,200) / 2 = </w:t>
      </w:r>
      <w:r>
        <w:rPr>
          <w:rFonts w:ascii="Arial" w:hAnsi="Arial" w:eastAsia="Arial" w:cs="Arial"/>
          <w:b/>
          <w:bCs/>
          <w:sz w:val="21"/>
          <w:szCs w:val="21"/>
        </w:rPr>
        <w:t>$7,500</w:t>
      </w:r>
      <w:r>
        <w:rPr>
          <w:rFonts w:ascii="Arial" w:hAnsi="Arial" w:eastAsia="Arial" w:cs="Arial"/>
          <w:sz w:val="21"/>
          <w:szCs w:val="21"/>
        </w:rPr>
        <w:t xml:space="preserve">; annual benefit = ($8,000 + $10,000) / 2 = </w:t>
      </w:r>
      <w:r>
        <w:rPr>
          <w:rFonts w:ascii="Arial" w:hAnsi="Arial" w:eastAsia="Arial" w:cs="Arial"/>
          <w:b/>
          <w:bCs/>
          <w:sz w:val="21"/>
          <w:szCs w:val="21"/>
        </w:rPr>
        <w:t>$9,000</w:t>
      </w:r>
      <w:r>
        <w:rPr>
          <w:rFonts w:ascii="Arial" w:hAnsi="Arial" w:eastAsia="Arial" w:cs="Arial"/>
          <w:sz w:val="21"/>
          <w:szCs w:val="21"/>
        </w:rPr>
        <w:t>.</w:t>
      </w:r>
    </w:p>
    <w:p w14:paraId="631CA4CE">
      <w:pPr>
        <w:pStyle w:val="17"/>
        <w:numPr>
          <w:ilvl w:val="0"/>
          <w:numId w:val="1"/>
        </w:numPr>
        <w:spacing w:after="40"/>
      </w:pPr>
      <w:r>
        <w:rPr>
          <w:rFonts w:ascii="Arial" w:hAnsi="Arial" w:eastAsia="Arial" w:cs="Arial"/>
          <w:sz w:val="21"/>
          <w:szCs w:val="21"/>
        </w:rPr>
        <w:t xml:space="preserve">Initial investment (Year 0) = software $3,500 + hardware $2,250 + training $750 = </w:t>
      </w:r>
      <w:r>
        <w:rPr>
          <w:rFonts w:ascii="Arial" w:hAnsi="Arial" w:eastAsia="Arial" w:cs="Arial"/>
          <w:b/>
          <w:bCs/>
          <w:sz w:val="21"/>
          <w:szCs w:val="21"/>
        </w:rPr>
        <w:t>$6,500</w:t>
      </w:r>
      <w:r>
        <w:rPr>
          <w:rFonts w:ascii="Arial" w:hAnsi="Arial" w:eastAsia="Arial" w:cs="Arial"/>
          <w:sz w:val="21"/>
          <w:szCs w:val="21"/>
        </w:rPr>
        <w:t>.</w:t>
      </w:r>
    </w:p>
    <w:p w14:paraId="2E440607">
      <w:pPr>
        <w:pStyle w:val="17"/>
        <w:numPr>
          <w:ilvl w:val="0"/>
          <w:numId w:val="1"/>
        </w:numPr>
        <w:spacing w:after="40"/>
      </w:pPr>
      <w:r>
        <w:rPr>
          <w:rFonts w:ascii="Arial" w:hAnsi="Arial" w:eastAsia="Arial" w:cs="Arial"/>
          <w:sz w:val="21"/>
          <w:szCs w:val="21"/>
        </w:rPr>
        <w:t xml:space="preserve">Yearly maintenance = </w:t>
      </w:r>
      <w:r>
        <w:rPr>
          <w:rFonts w:ascii="Arial" w:hAnsi="Arial" w:eastAsia="Arial" w:cs="Arial"/>
          <w:b/>
          <w:bCs/>
          <w:sz w:val="21"/>
          <w:szCs w:val="21"/>
        </w:rPr>
        <w:t>$1,000</w:t>
      </w:r>
      <w:r>
        <w:rPr>
          <w:rFonts w:ascii="Arial" w:hAnsi="Arial" w:eastAsia="Arial" w:cs="Arial"/>
          <w:sz w:val="21"/>
          <w:szCs w:val="21"/>
        </w:rPr>
        <w:t xml:space="preserve"> (middle of $800 - $1,200). So first-year cost = $6,500 + $1,000 = $7,500.</w:t>
      </w:r>
    </w:p>
    <w:p w14:paraId="2F35A6A8">
      <w:pPr>
        <w:pStyle w:val="17"/>
        <w:numPr>
          <w:ilvl w:val="0"/>
          <w:numId w:val="1"/>
        </w:numPr>
        <w:spacing w:after="40"/>
      </w:pPr>
      <w:r>
        <w:rPr>
          <w:rFonts w:ascii="Arial" w:hAnsi="Arial" w:eastAsia="Arial" w:cs="Arial"/>
          <w:sz w:val="21"/>
          <w:szCs w:val="21"/>
        </w:rPr>
        <w:t xml:space="preserve">Net benefit per year = $9,000 - $1,000 = </w:t>
      </w:r>
      <w:r>
        <w:rPr>
          <w:rFonts w:ascii="Arial" w:hAnsi="Arial" w:eastAsia="Arial" w:cs="Arial"/>
          <w:b/>
          <w:bCs/>
          <w:sz w:val="21"/>
          <w:szCs w:val="21"/>
        </w:rPr>
        <w:t>$8,000</w:t>
      </w:r>
      <w:r>
        <w:rPr>
          <w:rFonts w:ascii="Arial" w:hAnsi="Arial" w:eastAsia="Arial" w:cs="Arial"/>
          <w:sz w:val="21"/>
          <w:szCs w:val="21"/>
        </w:rPr>
        <w:t>, assumed equal in each year.</w:t>
      </w:r>
    </w:p>
    <w:p w14:paraId="65208F33">
      <w:pPr>
        <w:pStyle w:val="17"/>
        <w:numPr>
          <w:ilvl w:val="0"/>
          <w:numId w:val="1"/>
        </w:numPr>
        <w:spacing w:after="40"/>
      </w:pPr>
      <w:r>
        <w:rPr>
          <w:rFonts w:ascii="Arial" w:hAnsi="Arial" w:eastAsia="Arial" w:cs="Arial"/>
          <w:sz w:val="21"/>
          <w:szCs w:val="21"/>
        </w:rPr>
        <w:t>Study period = 3 years. Discount rate = 10% (assumed by the team for this study).</w:t>
      </w:r>
    </w:p>
    <w:p w14:paraId="3BEF3514">
      <w:pPr>
        <w:pStyle w:val="17"/>
        <w:numPr>
          <w:ilvl w:val="0"/>
          <w:numId w:val="1"/>
        </w:numPr>
        <w:spacing w:after="40"/>
      </w:pPr>
      <w:r>
        <w:rPr>
          <w:rFonts w:ascii="Arial" w:hAnsi="Arial" w:eastAsia="Arial" w:cs="Arial"/>
          <w:sz w:val="21"/>
          <w:szCs w:val="21"/>
        </w:rPr>
        <w:t>The current administration cost of $1,200 per year is already counted as a saving inside the annual benefits.</w:t>
      </w:r>
    </w:p>
    <w:p w14:paraId="15837206">
      <w:pPr>
        <w:pStyle w:val="2"/>
        <w:keepNext/>
        <w:spacing w:before="280" w:after="120"/>
      </w:pPr>
      <w:r>
        <w:rPr>
          <w:rFonts w:ascii="Arial" w:hAnsi="Arial" w:eastAsia="Arial" w:cs="Arial"/>
          <w:b/>
          <w:bCs/>
          <w:sz w:val="26"/>
          <w:szCs w:val="26"/>
        </w:rPr>
        <w:t>4. Calculations</w:t>
      </w:r>
    </w:p>
    <w:p w14:paraId="1831130A">
      <w:pPr>
        <w:spacing w:after="120"/>
      </w:pPr>
      <w:r>
        <w:rPr>
          <w:rFonts w:ascii="Arial" w:hAnsi="Arial" w:eastAsia="Arial" w:cs="Arial"/>
          <w:b/>
          <w:bCs/>
          <w:sz w:val="21"/>
          <w:szCs w:val="21"/>
        </w:rPr>
        <w:t>4.1 Net present value (NPV)</w:t>
      </w:r>
    </w:p>
    <w:p w14:paraId="7E013B8E">
      <w:pPr>
        <w:spacing w:after="120"/>
      </w:pPr>
      <w:r>
        <w:rPr>
          <w:rFonts w:ascii="Arial" w:hAnsi="Arial" w:eastAsia="Arial" w:cs="Arial"/>
          <w:sz w:val="21"/>
          <w:szCs w:val="21"/>
        </w:rPr>
        <w:t>NPV = sum of [net benefit / (1 + r)^t] - initial investment, with r = 10%.</w:t>
      </w:r>
    </w:p>
    <w:tbl>
      <w:tblPr>
        <w:tblStyle w:val="9"/>
        <w:tblW w:w="9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7"/>
        <w:gridCol w:w="1984"/>
        <w:gridCol w:w="2268"/>
        <w:gridCol w:w="3743"/>
      </w:tblGrid>
      <w:tr w14:paraId="3E0B5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9E8261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Year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12263C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Cash flow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C06503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Discount factor</w:t>
            </w:r>
          </w:p>
        </w:tc>
        <w:tc>
          <w:tcPr>
            <w:tcW w:w="3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E8530C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Present value</w:t>
            </w:r>
          </w:p>
        </w:tc>
      </w:tr>
      <w:tr w14:paraId="3F545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97496E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0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71A1F2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-$6,500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981395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1.0000</w:t>
            </w:r>
          </w:p>
        </w:tc>
        <w:tc>
          <w:tcPr>
            <w:tcW w:w="3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5685B0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-$6,500.00</w:t>
            </w:r>
          </w:p>
        </w:tc>
      </w:tr>
      <w:tr w14:paraId="0E82D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8D0498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1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B68396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$8,000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D793E9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0.9091</w:t>
            </w:r>
          </w:p>
        </w:tc>
        <w:tc>
          <w:tcPr>
            <w:tcW w:w="3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A8AB48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$7,272.73</w:t>
            </w:r>
          </w:p>
        </w:tc>
      </w:tr>
      <w:tr w14:paraId="0AFFE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0EB001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2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8CE57C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$8,000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158FB7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0.8264</w:t>
            </w:r>
          </w:p>
        </w:tc>
        <w:tc>
          <w:tcPr>
            <w:tcW w:w="3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6ADDC1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$6,611.57</w:t>
            </w:r>
          </w:p>
        </w:tc>
      </w:tr>
      <w:tr w14:paraId="7CFCA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D4A675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3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4877B1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$8,000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CD9F04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0.7513</w:t>
            </w:r>
          </w:p>
        </w:tc>
        <w:tc>
          <w:tcPr>
            <w:tcW w:w="3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9096D3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$6,010.52</w:t>
            </w:r>
          </w:p>
        </w:tc>
      </w:tr>
      <w:tr w14:paraId="731E6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9B9329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NPV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D6FB4C"/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08C016"/>
        </w:tc>
        <w:tc>
          <w:tcPr>
            <w:tcW w:w="3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246A8E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$13,394.82</w:t>
            </w:r>
          </w:p>
        </w:tc>
      </w:tr>
    </w:tbl>
    <w:p w14:paraId="777D0C96">
      <w:pPr>
        <w:spacing w:after="60"/>
      </w:pPr>
    </w:p>
    <w:p w14:paraId="65831E94">
      <w:pPr>
        <w:spacing w:after="120"/>
      </w:pPr>
      <w:r>
        <w:rPr>
          <w:rFonts w:ascii="Arial" w:hAnsi="Arial" w:eastAsia="Arial" w:cs="Arial"/>
          <w:sz w:val="21"/>
          <w:szCs w:val="21"/>
        </w:rPr>
        <w:t>NPV is positive (about $13,395), so the project adds value to the organization.</w:t>
      </w:r>
    </w:p>
    <w:p w14:paraId="378280B5">
      <w:pPr>
        <w:spacing w:after="120"/>
      </w:pPr>
      <w:r>
        <w:rPr>
          <w:rFonts w:ascii="Arial" w:hAnsi="Arial" w:eastAsia="Arial" w:cs="Arial"/>
          <w:b/>
          <w:bCs/>
          <w:sz w:val="21"/>
          <w:szCs w:val="21"/>
        </w:rPr>
        <w:t>4.2 Return on investment (ROI)</w:t>
      </w:r>
    </w:p>
    <w:p w14:paraId="58D64C01">
      <w:pPr>
        <w:spacing w:after="120"/>
      </w:pPr>
      <w:r>
        <w:rPr>
          <w:rFonts w:ascii="Arial" w:hAnsi="Arial" w:eastAsia="Arial" w:cs="Arial"/>
          <w:sz w:val="21"/>
          <w:szCs w:val="21"/>
        </w:rPr>
        <w:t>ROI = (total net benefits - investment) / investment x 100</w:t>
      </w:r>
    </w:p>
    <w:tbl>
      <w:tblPr>
        <w:tblStyle w:val="9"/>
        <w:tblW w:w="9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84"/>
        <w:gridCol w:w="5160"/>
        <w:gridCol w:w="2268"/>
      </w:tblGrid>
      <w:tr w14:paraId="75C69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963FBC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Measure</w:t>
            </w:r>
          </w:p>
        </w:tc>
        <w:tc>
          <w:tcPr>
            <w:tcW w:w="5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484ED2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Calculation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504E0B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Result</w:t>
            </w:r>
          </w:p>
        </w:tc>
      </w:tr>
      <w:tr w14:paraId="29AD6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197AFD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3-year ROI</w:t>
            </w:r>
          </w:p>
        </w:tc>
        <w:tc>
          <w:tcPr>
            <w:tcW w:w="5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507296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(3 x $8,000 - $6,500) / $6,500 x 100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7F1264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269.2%</w:t>
            </w:r>
          </w:p>
        </w:tc>
      </w:tr>
      <w:tr w14:paraId="63BCE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39FC76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First-year ROI</w:t>
            </w:r>
          </w:p>
        </w:tc>
        <w:tc>
          <w:tcPr>
            <w:tcW w:w="5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DE50A7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($9,000 - $7,500) / $7,500 x 100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3421EE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20.0%</w:t>
            </w:r>
          </w:p>
        </w:tc>
      </w:tr>
    </w:tbl>
    <w:p w14:paraId="6F659A3E">
      <w:pPr>
        <w:spacing w:after="60"/>
      </w:pPr>
    </w:p>
    <w:p w14:paraId="5C14B223">
      <w:pPr>
        <w:spacing w:after="120"/>
      </w:pPr>
      <w:r>
        <w:rPr>
          <w:rFonts w:ascii="Arial" w:hAnsi="Arial" w:eastAsia="Arial" w:cs="Arial"/>
          <w:sz w:val="21"/>
          <w:szCs w:val="21"/>
        </w:rPr>
        <w:t>Even the cautious first-year ROI is positive, and the 3-year ROI shows a strong return.</w:t>
      </w:r>
    </w:p>
    <w:p w14:paraId="10A073BA">
      <w:pPr>
        <w:spacing w:after="120"/>
      </w:pPr>
      <w:r>
        <w:rPr>
          <w:rFonts w:ascii="Arial" w:hAnsi="Arial" w:eastAsia="Arial" w:cs="Arial"/>
          <w:b/>
          <w:bCs/>
          <w:sz w:val="21"/>
          <w:szCs w:val="21"/>
        </w:rPr>
        <w:t>4.3 Break-even point (BEP) / payback period</w:t>
      </w:r>
    </w:p>
    <w:p w14:paraId="4AA330B4">
      <w:pPr>
        <w:spacing w:after="120"/>
      </w:pPr>
      <w:r>
        <w:rPr>
          <w:rFonts w:ascii="Arial" w:hAnsi="Arial" w:eastAsia="Arial" w:cs="Arial"/>
          <w:sz w:val="21"/>
          <w:szCs w:val="21"/>
        </w:rPr>
        <w:t>Payback period = initial investment / net benefit per year</w:t>
      </w:r>
    </w:p>
    <w:tbl>
      <w:tblPr>
        <w:tblStyle w:val="9"/>
        <w:tblW w:w="9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43"/>
        <w:gridCol w:w="3969"/>
      </w:tblGrid>
      <w:tr w14:paraId="6005E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079180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Calculation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C50DED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Result</w:t>
            </w:r>
          </w:p>
        </w:tc>
      </w:tr>
      <w:tr w14:paraId="51DBD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B5D436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$6,500 / $8,000 per year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562504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0.81 year</w:t>
            </w:r>
          </w:p>
        </w:tc>
      </w:tr>
      <w:tr w14:paraId="66C42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3C1EF5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0.8125 year x 12 months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B53CE5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about 9.75 months (roughly 10 months)</w:t>
            </w:r>
          </w:p>
        </w:tc>
      </w:tr>
    </w:tbl>
    <w:p w14:paraId="0EA34431">
      <w:pPr>
        <w:spacing w:after="60"/>
      </w:pPr>
    </w:p>
    <w:p w14:paraId="3378E7CB">
      <w:pPr>
        <w:spacing w:after="120"/>
      </w:pPr>
      <w:r>
        <w:rPr>
          <w:rFonts w:ascii="Arial" w:hAnsi="Arial" w:eastAsia="Arial" w:cs="Arial"/>
          <w:sz w:val="21"/>
          <w:szCs w:val="21"/>
        </w:rPr>
        <w:t>The system pays back its cost in about 10 months, which agrees with the estimate of payback within 1 year.</w:t>
      </w:r>
    </w:p>
    <w:p w14:paraId="28C88742">
      <w:pPr>
        <w:pageBreakBefore/>
        <w:spacing w:after="0"/>
      </w:pPr>
    </w:p>
    <w:p w14:paraId="03533D2F">
      <w:pPr>
        <w:pStyle w:val="2"/>
        <w:keepNext/>
        <w:spacing w:before="280" w:after="120"/>
      </w:pPr>
      <w:r>
        <w:rPr>
          <w:rFonts w:ascii="Arial" w:hAnsi="Arial" w:eastAsia="Arial" w:cs="Arial"/>
          <w:b/>
          <w:bCs/>
          <w:sz w:val="26"/>
          <w:szCs w:val="26"/>
        </w:rPr>
        <w:t>5. Sensitivity Check (Best, Expected and Worst Case)</w:t>
      </w:r>
    </w:p>
    <w:p w14:paraId="162C4516">
      <w:pPr>
        <w:spacing w:after="120"/>
      </w:pPr>
      <w:r>
        <w:rPr>
          <w:rFonts w:ascii="Arial" w:hAnsi="Arial" w:eastAsia="Arial" w:cs="Arial"/>
          <w:sz w:val="21"/>
          <w:szCs w:val="21"/>
        </w:rPr>
        <w:t>To see how safe the result is, the same formulas were applied to the ends of the estimated ranges.</w:t>
      </w:r>
    </w:p>
    <w:tbl>
      <w:tblPr>
        <w:tblStyle w:val="9"/>
        <w:tblW w:w="9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81"/>
        <w:gridCol w:w="1361"/>
        <w:gridCol w:w="1588"/>
        <w:gridCol w:w="1247"/>
        <w:gridCol w:w="1304"/>
        <w:gridCol w:w="1531"/>
      </w:tblGrid>
      <w:tr w14:paraId="34D73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B1D89F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Case</w:t>
            </w:r>
          </w:p>
        </w:tc>
        <w:tc>
          <w:tcPr>
            <w:tcW w:w="13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8A0A45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Initial investment</w:t>
            </w:r>
          </w:p>
        </w:tc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61C26D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Maintenance per year</w:t>
            </w:r>
          </w:p>
        </w:tc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5ABC38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Benefit per year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7063B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3-year NPV</w:t>
            </w:r>
          </w:p>
        </w:tc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1349B2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Payback</w:t>
            </w:r>
          </w:p>
        </w:tc>
      </w:tr>
      <w:tr w14:paraId="3B324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CD92A3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Best (lowest costs, highest benefit)</w:t>
            </w:r>
          </w:p>
        </w:tc>
        <w:tc>
          <w:tcPr>
            <w:tcW w:w="13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D21DFC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$4,000</w:t>
            </w:r>
          </w:p>
        </w:tc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355249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$800</w:t>
            </w:r>
          </w:p>
        </w:tc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1FF71A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$10,000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B62591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$18,879</w:t>
            </w:r>
          </w:p>
        </w:tc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1509B5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0.43 years</w:t>
            </w:r>
          </w:p>
        </w:tc>
      </w:tr>
      <w:tr w14:paraId="13EF4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2DB9CC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Expected (middle values)</w:t>
            </w:r>
          </w:p>
        </w:tc>
        <w:tc>
          <w:tcPr>
            <w:tcW w:w="13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A9B868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$6,500</w:t>
            </w:r>
          </w:p>
        </w:tc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B74C02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$1,000</w:t>
            </w:r>
          </w:p>
        </w:tc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6215BF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$9,000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24F2F0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$13,395</w:t>
            </w:r>
          </w:p>
        </w:tc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D28B7A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0.81 years</w:t>
            </w:r>
          </w:p>
        </w:tc>
      </w:tr>
      <w:tr w14:paraId="6F818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B70F8D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Worst (highest costs, lowest benefit)</w:t>
            </w:r>
          </w:p>
        </w:tc>
        <w:tc>
          <w:tcPr>
            <w:tcW w:w="13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3FBFD0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$9,000</w:t>
            </w:r>
          </w:p>
        </w:tc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C82928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$1,200</w:t>
            </w:r>
          </w:p>
        </w:tc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B8EAFE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$8,000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1396E6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$7,911</w:t>
            </w:r>
          </w:p>
        </w:tc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30935E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1.32 years</w:t>
            </w:r>
          </w:p>
        </w:tc>
      </w:tr>
    </w:tbl>
    <w:p w14:paraId="27EEC94A">
      <w:pPr>
        <w:spacing w:after="60"/>
      </w:pPr>
    </w:p>
    <w:p w14:paraId="2EA462F5">
      <w:pPr>
        <w:spacing w:after="120"/>
      </w:pPr>
      <w:r>
        <w:rPr>
          <w:rFonts w:ascii="Arial" w:hAnsi="Arial" w:eastAsia="Arial" w:cs="Arial"/>
          <w:sz w:val="21"/>
          <w:szCs w:val="21"/>
        </w:rPr>
        <w:t>In the worst case the payback period is longer than one year, but the NPV is still positive, so the project is worth doing in every case.</w:t>
      </w:r>
    </w:p>
    <w:p w14:paraId="67EF26F3">
      <w:pPr>
        <w:pStyle w:val="2"/>
        <w:keepNext/>
        <w:spacing w:before="280" w:after="120"/>
      </w:pPr>
      <w:r>
        <w:rPr>
          <w:rFonts w:ascii="Arial" w:hAnsi="Arial" w:eastAsia="Arial" w:cs="Arial"/>
          <w:b/>
          <w:bCs/>
          <w:sz w:val="26"/>
          <w:szCs w:val="26"/>
        </w:rPr>
        <w:t>6. Conclusion</w:t>
      </w:r>
    </w:p>
    <w:p w14:paraId="59421706">
      <w:pPr>
        <w:spacing w:after="120"/>
      </w:pPr>
      <w:r>
        <w:rPr>
          <w:rFonts w:ascii="Arial" w:hAnsi="Arial" w:eastAsia="Arial" w:cs="Arial"/>
          <w:sz w:val="21"/>
          <w:szCs w:val="21"/>
        </w:rPr>
        <w:t>The Document Management System is economically feasible. In the expected case the first-year cost is about $7,500, the yearly benefit is about $9,000, the NPV over 3 years is about $13,395, the 3-year ROI is 269% and the payback period is about 10 months. The team recommends continuing with the project.</w:t>
      </w:r>
    </w:p>
    <w:sectPr>
      <w:footerReference r:id="rId3" w:type="default"/>
      <w:pgSz w:w="11906" w:h="16838"/>
      <w:pgMar w:top="1134" w:right="1247" w:bottom="1134" w:left="1247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21862E">
    <w:pPr>
      <w:tabs>
        <w:tab w:val="right" w:pos="9412"/>
      </w:tabs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-"/>
      <w:lvlJc w:val="left"/>
      <w:pPr>
        <w:ind w:left="540" w:hanging="27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F9670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1"/>
      <w:szCs w:val="21"/>
    </w:rPr>
  </w:style>
  <w:style w:type="paragraph" w:styleId="2">
    <w:name w:val="heading 1"/>
    <w:next w:val="1"/>
    <w:qFormat/>
    <w:uiPriority w:val="0"/>
    <w:pPr>
      <w:spacing w:before="280" w:after="120"/>
      <w:outlineLvl w:val="0"/>
    </w:pPr>
    <w:rPr>
      <w:rFonts w:ascii="Arial" w:hAnsi="Arial" w:eastAsia="Arial" w:cs="Arial"/>
      <w:b/>
      <w:bCs/>
      <w:color w:val="000000"/>
      <w:sz w:val="26"/>
      <w:szCs w:val="26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1"/>
      <w:szCs w:val="21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9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4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paragraph" w:styleId="16">
    <w:name w:val="Title"/>
    <w:uiPriority w:val="0"/>
    <w:pPr>
      <w:spacing w:after="80"/>
    </w:pPr>
    <w:rPr>
      <w:rFonts w:ascii="Arial" w:hAnsi="Arial" w:eastAsia="Arial" w:cs="Arial"/>
      <w:b/>
      <w:bCs/>
      <w:color w:val="000000"/>
      <w:sz w:val="36"/>
      <w:szCs w:val="36"/>
    </w:rPr>
  </w:style>
  <w:style w:type="paragraph" w:styleId="17">
    <w:name w:val="List Paragraph"/>
    <w:qFormat/>
    <w:uiPriority w:val="0"/>
    <w:rPr>
      <w:rFonts w:ascii="Arial" w:hAnsi="Arial" w:eastAsia="Arial" w:cs="Arial"/>
      <w:sz w:val="21"/>
      <w:szCs w:val="21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683</Words>
  <Characters>3571</Characters>
  <TotalTime>1</TotalTime>
  <ScaleCrop>false</ScaleCrop>
  <LinksUpToDate>false</LinksUpToDate>
  <CharactersWithSpaces>4119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2026-10-14T21:40:00Z</dcterms:created>
  <dc:creator>Project Team</dc:creator>
  <cp:lastModifiedBy>Omar Ayman FCL</cp:lastModifiedBy>
  <dcterms:modified xsi:type="dcterms:W3CDTF">2026-10-14T21:50:31Z</dcterms:modified>
  <dc:title>Lab 04 - Document Management System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eyJoZGlkIjoiZDY0NDkwMjIyOGM5YjAyOTFmMzRiNzk1MjY4NmQ4MGMiLCJ1c2VySWQiOiIxNDQzMTA5NDM0MDAyOSJ9</vt:lpwstr>
  </property>
  <property fmtid="{D5CDD505-2E9C-101B-9397-08002B2CF9AE}" pid="3" name="KSOProductBuildVer">
    <vt:lpwstr>1033-12.1.0.28485</vt:lpwstr>
  </property>
  <property fmtid="{D5CDD505-2E9C-101B-9397-08002B2CF9AE}" pid="4" name="ICV">
    <vt:lpwstr>965425F6E6F0476CAD54333C7DDB8BBE_12</vt:lpwstr>
  </property>
</Properties>
</file>