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7DB9" w14:textId="2E3583A2" w:rsidR="007261D7" w:rsidRDefault="00CB5772">
      <w:r>
        <w:t xml:space="preserve">The number of </w:t>
      </w:r>
      <w:r w:rsidRPr="00CB5772">
        <w:rPr>
          <w:highlight w:val="yellow"/>
        </w:rPr>
        <w:t>deaths</w:t>
      </w:r>
      <w:r>
        <w:t xml:space="preserve"> in the control arm exceeded that in the intervention arm. </w:t>
      </w:r>
    </w:p>
    <w:p w14:paraId="5607B8BD" w14:textId="401DB7DF" w:rsidR="00CB5772" w:rsidRDefault="00CB5772">
      <w:r>
        <w:t xml:space="preserve">The </w:t>
      </w:r>
      <w:r w:rsidRPr="00CB5772">
        <w:rPr>
          <w:highlight w:val="yellow"/>
        </w:rPr>
        <w:t>side effect</w:t>
      </w:r>
      <w:r w:rsidRPr="00CB5772">
        <w:t xml:space="preserve"> profile</w:t>
      </w:r>
      <w:r>
        <w:t xml:space="preserve"> was very similar between the two groups. </w:t>
      </w:r>
    </w:p>
    <w:p w14:paraId="13F6A285" w14:textId="07871BE0" w:rsidR="00CB5772" w:rsidRDefault="00CB5772">
      <w:pPr>
        <w:rPr>
          <w:color w:val="FF0000"/>
        </w:rPr>
      </w:pPr>
      <w:r w:rsidRPr="004D3D91">
        <w:rPr>
          <w:color w:val="FF0000"/>
          <w:highlight w:val="yellow"/>
        </w:rPr>
        <w:t>Liver</w:t>
      </w:r>
      <w:r w:rsidRPr="004D3D91">
        <w:rPr>
          <w:highlight w:val="yellow"/>
        </w:rPr>
        <w:t xml:space="preserve"> and </w:t>
      </w:r>
      <w:r w:rsidRPr="004D3D91">
        <w:rPr>
          <w:color w:val="FF0000"/>
          <w:highlight w:val="yellow"/>
        </w:rPr>
        <w:t>kidney function</w:t>
      </w:r>
      <w:r w:rsidRPr="004D3D91">
        <w:rPr>
          <w:color w:val="FF0000"/>
        </w:rPr>
        <w:t xml:space="preserve"> </w:t>
      </w:r>
      <w:r>
        <w:t xml:space="preserve">was normal for all patients. </w:t>
      </w:r>
      <w:r>
        <w:rPr>
          <w:color w:val="FF0000"/>
        </w:rPr>
        <w:t>(Two outcomes: liver function, kidney function)</w:t>
      </w:r>
    </w:p>
    <w:p w14:paraId="65452588" w14:textId="49EAE819" w:rsidR="00CB5772" w:rsidRDefault="00CB5772">
      <w:r w:rsidRPr="00CB5772">
        <w:t xml:space="preserve">The </w:t>
      </w:r>
      <w:r>
        <w:t xml:space="preserve">patient’s </w:t>
      </w:r>
      <w:r w:rsidRPr="00CB5772">
        <w:rPr>
          <w:highlight w:val="yellow"/>
        </w:rPr>
        <w:t>systolic blood pressure</w:t>
      </w:r>
      <w:r>
        <w:t xml:space="preserve"> rose over the course of treatment. </w:t>
      </w:r>
    </w:p>
    <w:p w14:paraId="53D6EEEF" w14:textId="776E49A5" w:rsidR="00CB5772" w:rsidRDefault="00CB5772">
      <w:r w:rsidRPr="00CB5772">
        <w:rPr>
          <w:highlight w:val="yellow"/>
        </w:rPr>
        <w:t>Hyperthyroidism</w:t>
      </w:r>
      <w:r>
        <w:t xml:space="preserve"> was diagnosed in seven patients. </w:t>
      </w:r>
    </w:p>
    <w:p w14:paraId="5D0C3A59" w14:textId="6842A98D" w:rsidR="00CB5772" w:rsidRDefault="00CB5772">
      <w:r>
        <w:t xml:space="preserve">The most clinically significant evidence of harm was evident in the carbamazepine group, most notably by the number of patients who experienced </w:t>
      </w:r>
      <w:r w:rsidRPr="00CB5772">
        <w:rPr>
          <w:highlight w:val="yellow"/>
        </w:rPr>
        <w:t>arrythmia</w:t>
      </w:r>
      <w:r>
        <w:t xml:space="preserve"> and </w:t>
      </w:r>
      <w:r w:rsidRPr="00CB5772">
        <w:rPr>
          <w:highlight w:val="yellow"/>
        </w:rPr>
        <w:t>muscle weakness</w:t>
      </w:r>
      <w:r>
        <w:t xml:space="preserve"> over the course of their treatment. </w:t>
      </w:r>
    </w:p>
    <w:p w14:paraId="606F6588" w14:textId="5DC28B3F" w:rsidR="00B66996" w:rsidRDefault="00B66996">
      <w:r>
        <w:t xml:space="preserve">The most common </w:t>
      </w:r>
      <w:r w:rsidRPr="00B66996">
        <w:rPr>
          <w:highlight w:val="yellow"/>
        </w:rPr>
        <w:t>adverse event</w:t>
      </w:r>
      <w:r>
        <w:t xml:space="preserve"> was </w:t>
      </w:r>
      <w:r w:rsidRPr="00B66996">
        <w:rPr>
          <w:highlight w:val="yellow"/>
        </w:rPr>
        <w:t>blurred vision</w:t>
      </w:r>
      <w:r>
        <w:t>.</w:t>
      </w:r>
    </w:p>
    <w:p w14:paraId="0B64D0C6" w14:textId="1C4709C9" w:rsidR="00B66996" w:rsidRDefault="006821A5">
      <w:r>
        <w:t xml:space="preserve">Patients receiving intravenous treatment were more likely to require </w:t>
      </w:r>
      <w:r w:rsidRPr="006821A5">
        <w:rPr>
          <w:highlight w:val="yellow"/>
        </w:rPr>
        <w:t>rescue intervention</w:t>
      </w:r>
      <w:r>
        <w:t xml:space="preserve"> than those in the oral treatment group. </w:t>
      </w:r>
    </w:p>
    <w:p w14:paraId="16B21443" w14:textId="48723260" w:rsidR="00B66996" w:rsidRDefault="00B66996">
      <w:r>
        <w:t>The</w:t>
      </w:r>
      <w:r w:rsidR="006821A5">
        <w:t xml:space="preserve"> total </w:t>
      </w:r>
      <w:r w:rsidR="006821A5" w:rsidRPr="006821A5">
        <w:rPr>
          <w:highlight w:val="yellow"/>
        </w:rPr>
        <w:t>cost of clozapine</w:t>
      </w:r>
      <w:r w:rsidR="006821A5">
        <w:t xml:space="preserve"> was determined for patient each using national health service prescription data.</w:t>
      </w:r>
    </w:p>
    <w:p w14:paraId="600364D7" w14:textId="31AA92EA" w:rsidR="006821A5" w:rsidRDefault="006821A5">
      <w:r>
        <w:t xml:space="preserve">The rate of </w:t>
      </w:r>
      <w:r w:rsidRPr="006821A5">
        <w:rPr>
          <w:highlight w:val="yellow"/>
        </w:rPr>
        <w:t>admission to intensive care</w:t>
      </w:r>
      <w:r>
        <w:t xml:space="preserve"> w</w:t>
      </w:r>
      <w:r w:rsidR="00320D86">
        <w:t>as</w:t>
      </w:r>
      <w:r>
        <w:t xml:space="preserve"> </w:t>
      </w:r>
      <w:r w:rsidR="00320D86">
        <w:t>recorded over</w:t>
      </w:r>
      <w:r>
        <w:t xml:space="preserve"> the first 28 days following surgery.</w:t>
      </w:r>
    </w:p>
    <w:p w14:paraId="77D2E615" w14:textId="08F81489" w:rsidR="00320D86" w:rsidRDefault="00320D86">
      <w:r>
        <w:t xml:space="preserve">We are interested in assessing whether patients receiving standard care are more likely to be </w:t>
      </w:r>
      <w:r w:rsidRPr="00320D86">
        <w:rPr>
          <w:highlight w:val="yellow"/>
        </w:rPr>
        <w:t>transferred to a nursing home</w:t>
      </w:r>
      <w:r>
        <w:t xml:space="preserve"> following surgery compared to those who receive enhanced rehabilitation care.</w:t>
      </w:r>
    </w:p>
    <w:p w14:paraId="34980E87" w14:textId="25E2F72B" w:rsidR="006821A5" w:rsidRDefault="007D5A1D">
      <w:r>
        <w:t xml:space="preserve">Patients felt </w:t>
      </w:r>
      <w:r w:rsidRPr="007D5A1D">
        <w:rPr>
          <w:highlight w:val="yellow"/>
        </w:rPr>
        <w:t>empowered</w:t>
      </w:r>
      <w:r>
        <w:t xml:space="preserve"> and </w:t>
      </w:r>
      <w:r w:rsidRPr="007D5A1D">
        <w:rPr>
          <w:highlight w:val="yellow"/>
        </w:rPr>
        <w:t>affirmed</w:t>
      </w:r>
      <w:r>
        <w:t xml:space="preserve"> when they were able to discuss their treatment choices with their treating physician. </w:t>
      </w:r>
    </w:p>
    <w:p w14:paraId="09F82ACB" w14:textId="0C4245E7" w:rsidR="006821A5" w:rsidRDefault="007D5A1D">
      <w:r>
        <w:t xml:space="preserve">Patients’ overall </w:t>
      </w:r>
      <w:r w:rsidRPr="007D5A1D">
        <w:rPr>
          <w:highlight w:val="yellow"/>
        </w:rPr>
        <w:t>quality of life</w:t>
      </w:r>
      <w:r w:rsidR="00723324">
        <w:t xml:space="preserve">, </w:t>
      </w:r>
      <w:r w:rsidRPr="007D5A1D">
        <w:rPr>
          <w:highlight w:val="yellow"/>
        </w:rPr>
        <w:t>wellbeing</w:t>
      </w:r>
      <w:r w:rsidR="00723324">
        <w:t xml:space="preserve"> and </w:t>
      </w:r>
      <w:r w:rsidR="00723324" w:rsidRPr="00723324">
        <w:rPr>
          <w:highlight w:val="yellow"/>
        </w:rPr>
        <w:t>perceived health status</w:t>
      </w:r>
      <w:r>
        <w:t xml:space="preserve"> improved over the follow up period, markedly so during the first 6 months of therapy. </w:t>
      </w:r>
    </w:p>
    <w:p w14:paraId="4AF828A0" w14:textId="252A4765" w:rsidR="007D5A1D" w:rsidRDefault="004D3D91">
      <w:r>
        <w:t xml:space="preserve">The primary outcome was </w:t>
      </w:r>
      <w:r w:rsidRPr="004D3D91">
        <w:rPr>
          <w:highlight w:val="yellow"/>
        </w:rPr>
        <w:t>re-employment</w:t>
      </w:r>
      <w:r>
        <w:t xml:space="preserve">. </w:t>
      </w:r>
    </w:p>
    <w:p w14:paraId="6201A3F0" w14:textId="2EADA2FA" w:rsidR="004D3D91" w:rsidRDefault="004D3D91">
      <w:r w:rsidRPr="00434B3B">
        <w:rPr>
          <w:highlight w:val="yellow"/>
        </w:rPr>
        <w:t>Fidelity to the topic guide</w:t>
      </w:r>
      <w:r>
        <w:t xml:space="preserve"> was poor among therapists. </w:t>
      </w:r>
    </w:p>
    <w:p w14:paraId="565227A9" w14:textId="126FD551" w:rsidR="004D3D91" w:rsidRDefault="004D3D91">
      <w:r>
        <w:t xml:space="preserve">Patients were asked to provide honest records of their </w:t>
      </w:r>
      <w:r w:rsidRPr="004D3D91">
        <w:rPr>
          <w:highlight w:val="yellow"/>
        </w:rPr>
        <w:t>adherence</w:t>
      </w:r>
      <w:r>
        <w:t xml:space="preserve"> to prescribed medication on a weekly basis, in particular the </w:t>
      </w:r>
      <w:r w:rsidRPr="004D3D91">
        <w:rPr>
          <w:highlight w:val="yellow"/>
        </w:rPr>
        <w:t>dose</w:t>
      </w:r>
      <w:r>
        <w:t xml:space="preserve"> of treatment taken. </w:t>
      </w:r>
    </w:p>
    <w:p w14:paraId="6757501A" w14:textId="4011B98A" w:rsidR="004D3D91" w:rsidRDefault="003B5AB6">
      <w:r w:rsidRPr="003B5AB6">
        <w:t xml:space="preserve">Change in </w:t>
      </w:r>
      <w:r>
        <w:rPr>
          <w:highlight w:val="yellow"/>
        </w:rPr>
        <w:t>p</w:t>
      </w:r>
      <w:r w:rsidR="004D3D91" w:rsidRPr="004D3D91">
        <w:rPr>
          <w:highlight w:val="yellow"/>
        </w:rPr>
        <w:t>hysical functioning</w:t>
      </w:r>
      <w:r w:rsidR="004D3D91">
        <w:t xml:space="preserve"> was determined by assessing </w:t>
      </w:r>
      <w:r w:rsidR="004D3D91" w:rsidRPr="004D3D91">
        <w:rPr>
          <w:highlight w:val="yellow"/>
        </w:rPr>
        <w:t>activities of daily living</w:t>
      </w:r>
      <w:r>
        <w:t xml:space="preserve"> at baseline and 6</w:t>
      </w:r>
      <w:r w:rsidR="00723324">
        <w:t>m.</w:t>
      </w:r>
    </w:p>
    <w:p w14:paraId="530B7D6D" w14:textId="22E83E49" w:rsidR="004D3D91" w:rsidRDefault="004D3D91">
      <w:r>
        <w:t xml:space="preserve">Most patients reported increased </w:t>
      </w:r>
      <w:r w:rsidR="003B5AB6" w:rsidRPr="003B5AB6">
        <w:rPr>
          <w:highlight w:val="yellow"/>
        </w:rPr>
        <w:t>confidence</w:t>
      </w:r>
      <w:r w:rsidR="003B5AB6">
        <w:t xml:space="preserve"> and the </w:t>
      </w:r>
      <w:r>
        <w:t xml:space="preserve">ability to </w:t>
      </w:r>
      <w:r w:rsidRPr="004D3D91">
        <w:rPr>
          <w:highlight w:val="yellow"/>
        </w:rPr>
        <w:t>re-engage with social interaction</w:t>
      </w:r>
      <w:r>
        <w:t xml:space="preserve"> following cognitive behavioural therapy, but this benefit was not reported in the control </w:t>
      </w:r>
      <w:r w:rsidR="003B5AB6">
        <w:t>arm</w:t>
      </w:r>
      <w:r>
        <w:t>.</w:t>
      </w:r>
    </w:p>
    <w:p w14:paraId="34ECA769" w14:textId="77777777" w:rsidR="003B5AB6" w:rsidRDefault="003B5AB6">
      <w:r>
        <w:t xml:space="preserve">Long term measures of interest included the impact on </w:t>
      </w:r>
      <w:r w:rsidRPr="003B5AB6">
        <w:rPr>
          <w:highlight w:val="yellow"/>
        </w:rPr>
        <w:t>personal circumstances</w:t>
      </w:r>
      <w:r>
        <w:t xml:space="preserve">, in particular </w:t>
      </w:r>
      <w:r w:rsidRPr="003B5AB6">
        <w:rPr>
          <w:highlight w:val="yellow"/>
        </w:rPr>
        <w:t>income</w:t>
      </w:r>
      <w:r>
        <w:t xml:space="preserve"> and </w:t>
      </w:r>
      <w:r w:rsidRPr="003B5AB6">
        <w:rPr>
          <w:highlight w:val="yellow"/>
        </w:rPr>
        <w:t>place of residence</w:t>
      </w:r>
      <w:r>
        <w:t>.</w:t>
      </w:r>
    </w:p>
    <w:p w14:paraId="42AA2E31" w14:textId="4AAE0059" w:rsidR="003B5AB6" w:rsidRDefault="003B5AB6">
      <w:r>
        <w:t xml:space="preserve">The results regarding </w:t>
      </w:r>
      <w:r w:rsidRPr="003B5AB6">
        <w:rPr>
          <w:highlight w:val="yellow"/>
        </w:rPr>
        <w:t>appropriateness</w:t>
      </w:r>
      <w:r>
        <w:t xml:space="preserve"> and </w:t>
      </w:r>
      <w:r w:rsidRPr="003B5AB6">
        <w:rPr>
          <w:highlight w:val="yellow"/>
        </w:rPr>
        <w:t>accessibility</w:t>
      </w:r>
      <w:r>
        <w:t xml:space="preserve"> of treatment in this feasibility trial were encouraging. </w:t>
      </w:r>
    </w:p>
    <w:p w14:paraId="10503B30" w14:textId="749F497A" w:rsidR="003B5AB6" w:rsidRDefault="003B5AB6">
      <w:r w:rsidRPr="003B5AB6">
        <w:rPr>
          <w:highlight w:val="yellow"/>
        </w:rPr>
        <w:t>Conversion to open surgery</w:t>
      </w:r>
      <w:r>
        <w:t xml:space="preserve"> was more common among patients with multiple pre-existing comorbidities. </w:t>
      </w:r>
    </w:p>
    <w:p w14:paraId="1DD2D458" w14:textId="0B0826B2" w:rsidR="003B5AB6" w:rsidRDefault="003B5AB6">
      <w:pPr>
        <w:rPr>
          <w:color w:val="000000"/>
        </w:rPr>
      </w:pPr>
      <w:r>
        <w:rPr>
          <w:color w:val="000000"/>
        </w:rPr>
        <w:t xml:space="preserve">Only one patient reported being </w:t>
      </w:r>
      <w:r w:rsidRPr="00723324">
        <w:rPr>
          <w:color w:val="000000"/>
          <w:highlight w:val="yellow"/>
        </w:rPr>
        <w:t>unable to concentrate due to sleep deprivation</w:t>
      </w:r>
      <w:r w:rsidR="00723324">
        <w:rPr>
          <w:color w:val="000000"/>
        </w:rPr>
        <w:t>.</w:t>
      </w:r>
    </w:p>
    <w:sectPr w:rsidR="003B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81"/>
    <w:rsid w:val="00320D86"/>
    <w:rsid w:val="003B5AB6"/>
    <w:rsid w:val="00434B3B"/>
    <w:rsid w:val="004D3D91"/>
    <w:rsid w:val="006821A5"/>
    <w:rsid w:val="00723324"/>
    <w:rsid w:val="007261D7"/>
    <w:rsid w:val="007D5A1D"/>
    <w:rsid w:val="00B66996"/>
    <w:rsid w:val="00BC2581"/>
    <w:rsid w:val="00CB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103D"/>
  <w15:chartTrackingRefBased/>
  <w15:docId w15:val="{DB7383F9-E209-43C6-84DA-E1BE33C6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Dodd</dc:creator>
  <cp:keywords/>
  <dc:description/>
  <cp:lastModifiedBy>Susanna Dodd</cp:lastModifiedBy>
  <cp:revision>5</cp:revision>
  <dcterms:created xsi:type="dcterms:W3CDTF">2021-07-21T14:58:00Z</dcterms:created>
  <dcterms:modified xsi:type="dcterms:W3CDTF">2021-07-22T07:10:00Z</dcterms:modified>
</cp:coreProperties>
</file>