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A43ED" w14:textId="23B275E8" w:rsidR="00B953F6" w:rsidRPr="00B953F6" w:rsidRDefault="00B953F6" w:rsidP="00B95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GB"/>
        </w:rPr>
      </w:pPr>
      <w:r w:rsidRPr="00B953F6">
        <w:rPr>
          <w:rFonts w:ascii="Courier New" w:eastAsia="Times New Roman" w:hAnsi="Courier New" w:cs="Courier New"/>
          <w:b/>
          <w:sz w:val="20"/>
          <w:szCs w:val="20"/>
          <w:lang w:eastAsia="en-GB"/>
        </w:rPr>
        <w:t>30522922_PD.txt</w:t>
      </w:r>
    </w:p>
    <w:p w14:paraId="49447BA9" w14:textId="77777777" w:rsidR="00B953F6" w:rsidRDefault="00B953F6" w:rsidP="00B95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8AB0E76" w14:textId="560746F7" w:rsidR="00B953F6" w:rsidRPr="00B953F6" w:rsidRDefault="00B953F6" w:rsidP="00B95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53F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Title: Brentuximab </w:t>
      </w:r>
      <w:proofErr w:type="spellStart"/>
      <w:r w:rsidRPr="00B953F6">
        <w:rPr>
          <w:rFonts w:ascii="Courier New" w:eastAsia="Times New Roman" w:hAnsi="Courier New" w:cs="Courier New"/>
          <w:sz w:val="20"/>
          <w:szCs w:val="20"/>
          <w:lang w:eastAsia="en-GB"/>
        </w:rPr>
        <w:t>vedotin</w:t>
      </w:r>
      <w:proofErr w:type="spellEnd"/>
      <w:r w:rsidRPr="00B953F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with chemotherapy for CD30-positive peripheral T-cell lymphoma (ECHELON-2): a global, double-blind, randomised, phase 3 trial.</w:t>
      </w:r>
    </w:p>
    <w:p w14:paraId="5556C3A5" w14:textId="77777777" w:rsidR="00B953F6" w:rsidRPr="00B953F6" w:rsidRDefault="00B953F6" w:rsidP="00B95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53F6">
        <w:rPr>
          <w:rFonts w:ascii="Courier New" w:eastAsia="Times New Roman" w:hAnsi="Courier New" w:cs="Courier New"/>
          <w:sz w:val="20"/>
          <w:szCs w:val="20"/>
          <w:lang w:eastAsia="en-GB"/>
        </w:rPr>
        <w:t>Publication Type: Journal Article</w:t>
      </w:r>
    </w:p>
    <w:p w14:paraId="7C9C77AA" w14:textId="77777777" w:rsidR="00B953F6" w:rsidRPr="00B953F6" w:rsidRDefault="00B953F6" w:rsidP="00B95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B953F6">
        <w:rPr>
          <w:rFonts w:ascii="Courier New" w:eastAsia="Times New Roman" w:hAnsi="Courier New" w:cs="Courier New"/>
          <w:sz w:val="20"/>
          <w:szCs w:val="20"/>
          <w:lang w:eastAsia="en-GB"/>
        </w:rPr>
        <w:t>Journal-</w:t>
      </w:r>
      <w:proofErr w:type="gramStart"/>
      <w:r w:rsidRPr="00B953F6">
        <w:rPr>
          <w:rFonts w:ascii="Courier New" w:eastAsia="Times New Roman" w:hAnsi="Courier New" w:cs="Courier New"/>
          <w:sz w:val="20"/>
          <w:szCs w:val="20"/>
          <w:lang w:eastAsia="en-GB"/>
        </w:rPr>
        <w:t>Name:Lancet</w:t>
      </w:r>
      <w:proofErr w:type="spellEnd"/>
      <w:proofErr w:type="gramEnd"/>
      <w:r w:rsidRPr="00B953F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(London, England)</w:t>
      </w:r>
    </w:p>
    <w:p w14:paraId="19A7B616" w14:textId="77777777" w:rsidR="00B953F6" w:rsidRPr="00B953F6" w:rsidRDefault="00B953F6" w:rsidP="00B95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53F6">
        <w:rPr>
          <w:rFonts w:ascii="Courier New" w:eastAsia="Times New Roman" w:hAnsi="Courier New" w:cs="Courier New"/>
          <w:sz w:val="20"/>
          <w:szCs w:val="20"/>
          <w:lang w:eastAsia="en-GB"/>
        </w:rPr>
        <w:t>Journal ID: 2985213R</w:t>
      </w:r>
    </w:p>
    <w:p w14:paraId="52013140" w14:textId="77777777" w:rsidR="00B953F6" w:rsidRPr="00B953F6" w:rsidRDefault="00B953F6" w:rsidP="00B95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53F6">
        <w:rPr>
          <w:rFonts w:ascii="Courier New" w:eastAsia="Times New Roman" w:hAnsi="Courier New" w:cs="Courier New"/>
          <w:sz w:val="20"/>
          <w:szCs w:val="20"/>
          <w:lang w:eastAsia="en-GB"/>
        </w:rPr>
        <w:t>Publication date: 2018/11/08 00:00 [accepted]</w:t>
      </w:r>
    </w:p>
    <w:p w14:paraId="12CB3420" w14:textId="77777777" w:rsidR="00B953F6" w:rsidRPr="00B953F6" w:rsidRDefault="00B953F6" w:rsidP="00B95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89B7B3B" w14:textId="77777777" w:rsidR="00B953F6" w:rsidRPr="00B953F6" w:rsidRDefault="00B953F6" w:rsidP="00B95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53F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BACKGROUND: Based on the encouraging activity and manageable safety profile observed in a phase 1 study, the ECHELON-2 trial was initiated to compare the efficacy and safety of brentuximab </w:t>
      </w:r>
      <w:proofErr w:type="spellStart"/>
      <w:r w:rsidRPr="00B953F6">
        <w:rPr>
          <w:rFonts w:ascii="Courier New" w:eastAsia="Times New Roman" w:hAnsi="Courier New" w:cs="Courier New"/>
          <w:sz w:val="20"/>
          <w:szCs w:val="20"/>
          <w:lang w:eastAsia="en-GB"/>
        </w:rPr>
        <w:t>vedotin</w:t>
      </w:r>
      <w:proofErr w:type="spellEnd"/>
      <w:r w:rsidRPr="00B953F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cyclophosphamide, doxorubicin, and prednisone (A+CHP) versus cyclophosphamide, doxorubicin, vincristine, and prednisone (CHOP) for the treatment of CD30-positive peripheral T-cell lymphomas. METHODS: ECHELON-2 is a double-blind, double-dummy, randomised, placebo-controlled, active-comparator phase 3 study. Eligible adults from 132 sites in 17 countries with previously untreated CD30-positive peripheral T-cell lymphomas (targeting 75% with systemic anaplastic large cell lymphoma) were randomly assigned 1:1 to receive either A+CHP or CHOP for six or eight 21-day cycles. Randomisation was stratified by histological subtype according to local pathology assessment and by international prognostic index score. All patients received cyclophosphamide 750 mg/m(2) and doxorubicin 50 mg/m(2) on day 1 of each cycle intravenously and prednisone 100 mg once daily on days 1 to 5 of each cycle orally, followed by either brentuximab </w:t>
      </w:r>
      <w:proofErr w:type="spellStart"/>
      <w:r w:rsidRPr="00B953F6">
        <w:rPr>
          <w:rFonts w:ascii="Courier New" w:eastAsia="Times New Roman" w:hAnsi="Courier New" w:cs="Courier New"/>
          <w:sz w:val="20"/>
          <w:szCs w:val="20"/>
          <w:lang w:eastAsia="en-GB"/>
        </w:rPr>
        <w:t>vedotin</w:t>
      </w:r>
      <w:proofErr w:type="spellEnd"/>
      <w:r w:rsidRPr="00B953F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1.8 mg/kg and a placebo form of vincristine intravenously (A+CHP group) or vincristine 1.4 mg/m(2) and a placebo form of brentuximab </w:t>
      </w:r>
      <w:proofErr w:type="spellStart"/>
      <w:r w:rsidRPr="00B953F6">
        <w:rPr>
          <w:rFonts w:ascii="Courier New" w:eastAsia="Times New Roman" w:hAnsi="Courier New" w:cs="Courier New"/>
          <w:sz w:val="20"/>
          <w:szCs w:val="20"/>
          <w:lang w:eastAsia="en-GB"/>
        </w:rPr>
        <w:t>vedotin</w:t>
      </w:r>
      <w:proofErr w:type="spellEnd"/>
      <w:r w:rsidRPr="00B953F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intravenously (CHOP group) on day 1 of each cycle. The primary endpoint, </w:t>
      </w:r>
      <w:r w:rsidRPr="00B953F6">
        <w:rPr>
          <w:rFonts w:ascii="Courier New" w:eastAsia="Times New Roman" w:hAnsi="Courier New" w:cs="Courier New"/>
          <w:sz w:val="20"/>
          <w:szCs w:val="20"/>
          <w:highlight w:val="yellow"/>
          <w:lang w:eastAsia="en-GB"/>
        </w:rPr>
        <w:t>progression-free survival</w:t>
      </w:r>
      <w:r w:rsidRPr="00B953F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according to blinded independent central review, was analysed by intent-to-treat. This trial is registered with ClinicalTrials.gov, number NCT01777152. FINDINGS: Between Jan 24, 2013, and Nov 7, 2016, 601 patients assessed for eligibility, of whom 452 patients were enrolled and 226 were randomly assigned to both the A+CHP group and the CHOP group. Median </w:t>
      </w:r>
      <w:r w:rsidRPr="00B953F6">
        <w:rPr>
          <w:rFonts w:ascii="Courier New" w:eastAsia="Times New Roman" w:hAnsi="Courier New" w:cs="Courier New"/>
          <w:sz w:val="20"/>
          <w:szCs w:val="20"/>
          <w:highlight w:val="yellow"/>
          <w:lang w:eastAsia="en-GB"/>
        </w:rPr>
        <w:t>progression-free survival</w:t>
      </w:r>
      <w:r w:rsidRPr="00B953F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was 48.2 months (95% CI 35.2-not evaluable) in the A+CHP group and 20.8 months (12.7-47.6) in the CHOP group (hazard ratio 0.71 [95% CI 0.54-0.93], p=0.0110). </w:t>
      </w:r>
      <w:r w:rsidRPr="00B953F6">
        <w:rPr>
          <w:rFonts w:ascii="Courier New" w:eastAsia="Times New Roman" w:hAnsi="Courier New" w:cs="Courier New"/>
          <w:sz w:val="20"/>
          <w:szCs w:val="20"/>
          <w:highlight w:val="yellow"/>
          <w:lang w:eastAsia="en-GB"/>
        </w:rPr>
        <w:t>Adverse events</w:t>
      </w:r>
      <w:r w:rsidRPr="00B953F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including incidence and severity of </w:t>
      </w:r>
      <w:r w:rsidRPr="00B953F6">
        <w:rPr>
          <w:rFonts w:ascii="Courier New" w:eastAsia="Times New Roman" w:hAnsi="Courier New" w:cs="Courier New"/>
          <w:sz w:val="20"/>
          <w:szCs w:val="20"/>
          <w:highlight w:val="yellow"/>
          <w:lang w:eastAsia="en-GB"/>
        </w:rPr>
        <w:t>febrile neutropenia</w:t>
      </w:r>
      <w:r w:rsidRPr="00B953F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(41 [18%] patients in the A+CHP group and 33 [15%] in the CHOP group) and </w:t>
      </w:r>
      <w:r w:rsidRPr="00B953F6">
        <w:rPr>
          <w:rFonts w:ascii="Courier New" w:eastAsia="Times New Roman" w:hAnsi="Courier New" w:cs="Courier New"/>
          <w:sz w:val="20"/>
          <w:szCs w:val="20"/>
          <w:highlight w:val="yellow"/>
          <w:lang w:eastAsia="en-GB"/>
        </w:rPr>
        <w:t>peripheral neuropathy</w:t>
      </w:r>
      <w:r w:rsidRPr="00B953F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(117 [52%] in the A+CHP group and 124 [55%] in the CHOP group), were similar between groups. </w:t>
      </w:r>
      <w:r w:rsidRPr="00B953F6">
        <w:rPr>
          <w:rFonts w:ascii="Courier New" w:eastAsia="Times New Roman" w:hAnsi="Courier New" w:cs="Courier New"/>
          <w:sz w:val="20"/>
          <w:szCs w:val="20"/>
          <w:highlight w:val="yellow"/>
          <w:lang w:eastAsia="en-GB"/>
        </w:rPr>
        <w:t>Fatal adverse events</w:t>
      </w:r>
      <w:r w:rsidRPr="00B953F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occurred in seven (3%) patients in the A+CHP group and nine (4%) in the CHOP group. INTERPRETATION: Front-line treatment with A+CHP is superior to CHOP for patients with CD30-positive peripheral T-cell lymphomas as shown by a significant improvement in </w:t>
      </w:r>
      <w:r w:rsidRPr="00B953F6">
        <w:rPr>
          <w:rFonts w:ascii="Courier New" w:eastAsia="Times New Roman" w:hAnsi="Courier New" w:cs="Courier New"/>
          <w:sz w:val="20"/>
          <w:szCs w:val="20"/>
          <w:highlight w:val="yellow"/>
          <w:lang w:eastAsia="en-GB"/>
        </w:rPr>
        <w:t>progression-free survival</w:t>
      </w:r>
      <w:r w:rsidRPr="00B953F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and </w:t>
      </w:r>
      <w:r w:rsidRPr="00B953F6">
        <w:rPr>
          <w:rFonts w:ascii="Courier New" w:eastAsia="Times New Roman" w:hAnsi="Courier New" w:cs="Courier New"/>
          <w:sz w:val="20"/>
          <w:szCs w:val="20"/>
          <w:highlight w:val="yellow"/>
          <w:lang w:eastAsia="en-GB"/>
        </w:rPr>
        <w:t>overall survival</w:t>
      </w:r>
      <w:bookmarkStart w:id="0" w:name="_GoBack"/>
      <w:bookmarkEnd w:id="0"/>
      <w:r w:rsidRPr="00B953F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with a manageable safety profile. FUNDING: Seattle Genetics Inc, Millennium Pharmaceuticals Inc, a wholly owned subsidiary of Takeda </w:t>
      </w:r>
      <w:proofErr w:type="spellStart"/>
      <w:r w:rsidRPr="00B953F6">
        <w:rPr>
          <w:rFonts w:ascii="Courier New" w:eastAsia="Times New Roman" w:hAnsi="Courier New" w:cs="Courier New"/>
          <w:sz w:val="20"/>
          <w:szCs w:val="20"/>
          <w:lang w:eastAsia="en-GB"/>
        </w:rPr>
        <w:t>Pharmacuetical</w:t>
      </w:r>
      <w:proofErr w:type="spellEnd"/>
      <w:r w:rsidRPr="00B953F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Company Limited, and National Institutes of Health National Cancer Institute Cancer </w:t>
      </w:r>
      <w:proofErr w:type="spellStart"/>
      <w:r w:rsidRPr="00B953F6">
        <w:rPr>
          <w:rFonts w:ascii="Courier New" w:eastAsia="Times New Roman" w:hAnsi="Courier New" w:cs="Courier New"/>
          <w:sz w:val="20"/>
          <w:szCs w:val="20"/>
          <w:lang w:eastAsia="en-GB"/>
        </w:rPr>
        <w:t>Center</w:t>
      </w:r>
      <w:proofErr w:type="spellEnd"/>
      <w:r w:rsidRPr="00B953F6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</w:p>
    <w:p w14:paraId="1FD3447A" w14:textId="77777777" w:rsidR="00934867" w:rsidRDefault="00934867"/>
    <w:sectPr w:rsidR="00934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F6"/>
    <w:rsid w:val="00934867"/>
    <w:rsid w:val="00B9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4A628"/>
  <w15:chartTrackingRefBased/>
  <w15:docId w15:val="{2EBD4403-02AF-4252-BEDB-4D0755EC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3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3F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1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Susanna Dodd</dc:creator>
  <cp:keywords/>
  <dc:description/>
  <cp:lastModifiedBy>Susanna Dodd</cp:lastModifiedBy>
  <cp:revision>1</cp:revision>
  <dcterms:created xsi:type="dcterms:W3CDTF">2019-03-15T08:48:00Z</dcterms:created>
  <dcterms:modified xsi:type="dcterms:W3CDTF">2019-03-15T08:54:00Z</dcterms:modified>
</cp:coreProperties>
</file>