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B380" w14:textId="77777777" w:rsidR="001A718B" w:rsidRDefault="00000000">
      <w:r>
        <w:rPr>
          <w:noProof/>
        </w:rPr>
        <w:drawing>
          <wp:inline distT="0" distB="0" distL="114300" distR="114300" wp14:anchorId="0D03C647" wp14:editId="64DA5706">
            <wp:extent cx="2612422" cy="651898"/>
            <wp:effectExtent l="0" t="0" r="0" b="0"/>
            <wp:docPr id="567573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12422" cy="651898"/>
                    </a:xfrm>
                    <a:prstGeom prst="rect">
                      <a:avLst/>
                    </a:prstGeom>
                    <a:ln/>
                  </pic:spPr>
                </pic:pic>
              </a:graphicData>
            </a:graphic>
          </wp:inline>
        </w:drawing>
      </w:r>
    </w:p>
    <w:p w14:paraId="310C20B9" w14:textId="77777777" w:rsidR="001A718B" w:rsidRDefault="001A718B">
      <w:pPr>
        <w:pStyle w:val="Ttulo1"/>
        <w:rPr>
          <w:sz w:val="72"/>
          <w:szCs w:val="72"/>
        </w:rPr>
      </w:pPr>
    </w:p>
    <w:p w14:paraId="39503046" w14:textId="77777777" w:rsidR="001A718B" w:rsidRDefault="00000000">
      <w:r>
        <w:rPr>
          <w:color w:val="000000"/>
          <w:sz w:val="72"/>
          <w:szCs w:val="72"/>
        </w:rPr>
        <w:t xml:space="preserve">Definición Proyecto APT –TICKI-TI: Clasificador </w:t>
      </w:r>
      <w:r>
        <w:rPr>
          <w:sz w:val="72"/>
          <w:szCs w:val="72"/>
        </w:rPr>
        <w:t xml:space="preserve">inteligente </w:t>
      </w:r>
      <w:r>
        <w:rPr>
          <w:color w:val="000000"/>
          <w:sz w:val="72"/>
          <w:szCs w:val="72"/>
        </w:rPr>
        <w:t>de tickets para soporte TI</w:t>
      </w:r>
    </w:p>
    <w:p w14:paraId="5458C9D1" w14:textId="77777777" w:rsidR="001A718B" w:rsidRDefault="001A718B"/>
    <w:p w14:paraId="6D432F57" w14:textId="77777777" w:rsidR="001A718B" w:rsidRDefault="001A718B"/>
    <w:p w14:paraId="457C0355" w14:textId="77777777" w:rsidR="001A718B" w:rsidRDefault="001A718B"/>
    <w:p w14:paraId="4198AEEB" w14:textId="77777777" w:rsidR="001A718B" w:rsidRDefault="001A718B"/>
    <w:p w14:paraId="197B3B73" w14:textId="77777777" w:rsidR="001A718B" w:rsidRDefault="001A718B"/>
    <w:p w14:paraId="27A46898" w14:textId="77777777" w:rsidR="001A718B" w:rsidRDefault="001A718B"/>
    <w:p w14:paraId="694D6370" w14:textId="77777777" w:rsidR="001A718B" w:rsidRDefault="001A718B"/>
    <w:p w14:paraId="58EC9FD2" w14:textId="77777777" w:rsidR="001A718B" w:rsidRDefault="001A718B"/>
    <w:p w14:paraId="08BC16DB" w14:textId="77777777" w:rsidR="001A718B" w:rsidRDefault="001A718B"/>
    <w:p w14:paraId="32C581B0" w14:textId="77777777" w:rsidR="001A718B" w:rsidRDefault="001A718B"/>
    <w:p w14:paraId="5E0D0445" w14:textId="77777777" w:rsidR="001A718B" w:rsidRDefault="00000000">
      <w:pPr>
        <w:rPr>
          <w:rFonts w:ascii="Arial" w:eastAsia="Arial" w:hAnsi="Arial" w:cs="Arial"/>
        </w:rPr>
      </w:pPr>
      <w:r>
        <w:rPr>
          <w:rFonts w:ascii="Arial" w:eastAsia="Arial" w:hAnsi="Arial" w:cs="Arial"/>
          <w:b/>
          <w:bCs/>
        </w:rPr>
        <w:t>Autores:</w:t>
      </w:r>
      <w:r>
        <w:rPr>
          <w:rFonts w:ascii="Arial" w:eastAsia="Arial" w:hAnsi="Arial" w:cs="Arial"/>
        </w:rPr>
        <w:t xml:space="preserve"> Iván Galleguillos, Dante Inostroza y Michel Lacourt</w:t>
      </w:r>
    </w:p>
    <w:p w14:paraId="3469A1E9" w14:textId="77777777" w:rsidR="001A718B" w:rsidRDefault="00000000">
      <w:pPr>
        <w:rPr>
          <w:rFonts w:ascii="Arial" w:eastAsia="Arial" w:hAnsi="Arial" w:cs="Arial"/>
        </w:rPr>
      </w:pPr>
      <w:r>
        <w:rPr>
          <w:rFonts w:ascii="Arial" w:eastAsia="Arial" w:hAnsi="Arial" w:cs="Arial"/>
          <w:b/>
          <w:bCs/>
        </w:rPr>
        <w:t>Asignatura:</w:t>
      </w:r>
      <w:r>
        <w:rPr>
          <w:rFonts w:ascii="Arial" w:eastAsia="Arial" w:hAnsi="Arial" w:cs="Arial"/>
        </w:rPr>
        <w:t xml:space="preserve"> </w:t>
      </w:r>
      <w:proofErr w:type="spellStart"/>
      <w:r>
        <w:rPr>
          <w:rFonts w:ascii="Arial" w:eastAsia="Arial" w:hAnsi="Arial" w:cs="Arial"/>
        </w:rPr>
        <w:t>Capstone</w:t>
      </w:r>
      <w:proofErr w:type="spellEnd"/>
      <w:r>
        <w:rPr>
          <w:rFonts w:ascii="Arial" w:eastAsia="Arial" w:hAnsi="Arial" w:cs="Arial"/>
        </w:rPr>
        <w:t xml:space="preserve"> 007v</w:t>
      </w:r>
    </w:p>
    <w:p w14:paraId="53752F20" w14:textId="77777777" w:rsidR="001A718B" w:rsidRDefault="00000000">
      <w:pPr>
        <w:rPr>
          <w:rFonts w:ascii="Arial" w:eastAsia="Arial" w:hAnsi="Arial" w:cs="Arial"/>
        </w:rPr>
      </w:pPr>
      <w:r>
        <w:rPr>
          <w:rFonts w:ascii="Arial" w:eastAsia="Arial" w:hAnsi="Arial" w:cs="Arial"/>
          <w:b/>
          <w:bCs/>
        </w:rPr>
        <w:t>Profesor:</w:t>
      </w:r>
      <w:r>
        <w:rPr>
          <w:rFonts w:ascii="Arial" w:eastAsia="Arial" w:hAnsi="Arial" w:cs="Arial"/>
        </w:rPr>
        <w:t xml:space="preserve"> Jorge Guzmán</w:t>
      </w:r>
    </w:p>
    <w:p w14:paraId="519DC367" w14:textId="77777777" w:rsidR="001A718B" w:rsidRDefault="001A718B">
      <w:pPr>
        <w:rPr>
          <w:rFonts w:ascii="Arial" w:eastAsia="Arial" w:hAnsi="Arial" w:cs="Arial"/>
        </w:rPr>
      </w:pPr>
    </w:p>
    <w:p w14:paraId="2C5E2C06" w14:textId="77777777" w:rsidR="001A718B" w:rsidRDefault="00000000">
      <w:pPr>
        <w:rPr>
          <w:rFonts w:ascii="Arial" w:eastAsia="Arial" w:hAnsi="Arial" w:cs="Arial"/>
        </w:rPr>
      </w:pPr>
      <w:r>
        <w:rPr>
          <w:rFonts w:ascii="Arial" w:eastAsia="Arial" w:hAnsi="Arial" w:cs="Arial"/>
          <w:b/>
          <w:bCs/>
          <w:color w:val="4F81BD"/>
        </w:rPr>
        <w:t>Índice</w:t>
      </w:r>
    </w:p>
    <w:sdt>
      <w:sdtPr>
        <w:id w:val="-1172669042"/>
        <w:docPartObj>
          <w:docPartGallery w:val="Table of Contents"/>
          <w:docPartUnique/>
        </w:docPartObj>
      </w:sdtPr>
      <w:sdtContent>
        <w:p w14:paraId="33CBA158"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begin"/>
          </w:r>
          <w:r>
            <w:instrText xml:space="preserve"> TOC \h \u \z \n \t "Heading 1,1,Heading 2,2,Heading 3,3,Heading 4,4,Heading 5,5,Heading 6,6,"</w:instrText>
          </w:r>
          <w:r>
            <w:fldChar w:fldCharType="separate"/>
          </w:r>
          <w:hyperlink w:anchor="_heading=h.k7qra8kgqpvb">
            <w:r>
              <w:rPr>
                <w:rFonts w:ascii="Arial" w:eastAsia="Arial" w:hAnsi="Arial" w:cs="Arial"/>
                <w:color w:val="000000"/>
              </w:rPr>
              <w:t xml:space="preserve">1. </w:t>
            </w:r>
          </w:hyperlink>
          <w:hyperlink w:anchor="_heading=h.k7qra8kgqpvb">
            <w:r>
              <w:rPr>
                <w:rFonts w:ascii="Arial" w:eastAsia="Arial" w:hAnsi="Arial" w:cs="Arial"/>
              </w:rPr>
              <w:t>Introducción</w:t>
            </w:r>
          </w:hyperlink>
          <w:r>
            <w:fldChar w:fldCharType="begin"/>
          </w:r>
          <w:r>
            <w:instrText xml:space="preserve"> HYPERLINK \l "_heading=h.k7qra8kgqpvb" </w:instrText>
          </w:r>
          <w:r>
            <w:fldChar w:fldCharType="separate"/>
          </w:r>
        </w:p>
        <w:p w14:paraId="25F98B88"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"_heading=h.m40e6y9urna0" </w:instrText>
          </w:r>
          <w:r>
            <w:fldChar w:fldCharType="separate"/>
          </w:r>
          <w:r>
            <w:rPr>
              <w:rFonts w:ascii="Arial" w:eastAsia="Arial" w:hAnsi="Arial" w:cs="Arial"/>
              <w:color w:val="000000"/>
            </w:rPr>
            <w:t>2. Descripción breve del proyecto y justificación de su relevancia</w:t>
          </w:r>
        </w:p>
        <w:p w14:paraId="716A9CB9"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"_heading=h.mke731m4l1ls" </w:instrText>
          </w:r>
          <w:r>
            <w:fldChar w:fldCharType="separate"/>
          </w:r>
          <w:r>
            <w:rPr>
              <w:rFonts w:ascii="Arial" w:eastAsia="Arial" w:hAnsi="Arial" w:cs="Arial"/>
              <w:color w:val="000000"/>
            </w:rPr>
            <w:t>3. Relación del proyecto APT con las competencias del perfil de egreso</w:t>
          </w:r>
        </w:p>
        <w:p w14:paraId="220B4784"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"_heading=h.soa9sadfe7b9" </w:instrText>
          </w:r>
          <w:r>
            <w:fldChar w:fldCharType="separate"/>
          </w:r>
          <w:r>
            <w:rPr>
              <w:rFonts w:ascii="Arial" w:eastAsia="Arial" w:hAnsi="Arial" w:cs="Arial"/>
              <w:color w:val="000000"/>
            </w:rPr>
            <w:t>4. Relación del proyecto APT con los intereses profesionales</w:t>
          </w:r>
        </w:p>
        <w:p w14:paraId="25C3526B"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"_heading=h.siho93tqew77" </w:instrText>
          </w:r>
          <w:r>
            <w:fldChar w:fldCharType="separate"/>
          </w:r>
          <w:r>
            <w:rPr>
              <w:rFonts w:ascii="Arial" w:eastAsia="Arial" w:hAnsi="Arial" w:cs="Arial"/>
              <w:color w:val="000000"/>
            </w:rPr>
            <w:t>5. Argumento sobre la factibilidad del proyecto de la asignatura</w:t>
          </w:r>
        </w:p>
        <w:p w14:paraId="513DA6F1"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"_heading=h.jgzxtitk6l79" </w:instrText>
          </w:r>
          <w:r>
            <w:fldChar w:fldCharType="separate"/>
          </w:r>
          <w:r>
            <w:rPr>
              <w:rFonts w:ascii="Arial" w:eastAsia="Arial" w:hAnsi="Arial" w:cs="Arial"/>
              <w:color w:val="000000"/>
            </w:rPr>
            <w:t>6. Conclusión</w:t>
          </w:r>
        </w:p>
        <w:p w14:paraId="453A3DBF" w14:textId="17AA0B08"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begin"/>
          </w:r>
          <w:r>
            <w:instrText xml:space="preserve"> HYPERLINK \l "_heading=h.5136rhcqaogk" </w:instrText>
          </w:r>
          <w:r>
            <w:fldChar w:fldCharType="separate"/>
          </w:r>
          <w:r>
            <w:rPr>
              <w:rFonts w:ascii="Arial" w:eastAsia="Arial" w:hAnsi="Arial" w:cs="Arial"/>
              <w:color w:val="000000"/>
            </w:rPr>
            <w:t>7. Ref</w:t>
          </w:r>
          <w:r w:rsidR="00451B11">
            <w:rPr>
              <w:rFonts w:ascii="Arial" w:eastAsia="Arial" w:hAnsi="Arial" w:cs="Arial"/>
              <w:color w:val="000000"/>
            </w:rPr>
            <w:t>lexión</w:t>
          </w:r>
        </w:p>
        <w:p w14:paraId="665FAC30" w14:textId="77777777" w:rsidR="001A718B" w:rsidRDefault="00000000">
          <w:pPr>
            <w:pBdr>
              <w:top w:val="nil"/>
              <w:left w:val="nil"/>
              <w:bottom w:val="nil"/>
              <w:right w:val="nil"/>
              <w:between w:val="nil"/>
            </w:pBdr>
            <w:tabs>
              <w:tab w:val="right" w:leader="dot" w:pos="8640"/>
            </w:tabs>
            <w:spacing w:after="100"/>
            <w:ind w:left="220"/>
            <w:rPr>
              <w:rFonts w:ascii="Arial" w:eastAsia="Arial" w:hAnsi="Arial" w:cs="Arial"/>
              <w:color w:val="000000"/>
            </w:rPr>
          </w:pPr>
          <w:r>
            <w:fldChar w:fldCharType="end"/>
          </w:r>
          <w:r>
            <w:fldChar w:fldCharType="end"/>
          </w:r>
        </w:p>
      </w:sdtContent>
    </w:sdt>
    <w:p w14:paraId="7F5DAB8A" w14:textId="77777777" w:rsidR="001A718B" w:rsidRDefault="001A718B">
      <w:pPr>
        <w:rPr>
          <w:rFonts w:ascii="Arial" w:eastAsia="Arial" w:hAnsi="Arial" w:cs="Arial"/>
        </w:rPr>
      </w:pPr>
    </w:p>
    <w:p w14:paraId="478AC1DF" w14:textId="77777777" w:rsidR="001A718B" w:rsidRDefault="001A718B">
      <w:pPr>
        <w:pStyle w:val="Ttulo2"/>
        <w:rPr>
          <w:rFonts w:ascii="Arial" w:eastAsia="Arial" w:hAnsi="Arial" w:cs="Arial"/>
          <w:sz w:val="22"/>
          <w:szCs w:val="22"/>
        </w:rPr>
      </w:pPr>
    </w:p>
    <w:p w14:paraId="313C61DA" w14:textId="77777777" w:rsidR="001A718B" w:rsidRDefault="001A718B">
      <w:pPr>
        <w:pStyle w:val="Ttulo2"/>
        <w:rPr>
          <w:rFonts w:ascii="Arial" w:eastAsia="Arial" w:hAnsi="Arial" w:cs="Arial"/>
          <w:sz w:val="22"/>
          <w:szCs w:val="22"/>
        </w:rPr>
      </w:pPr>
    </w:p>
    <w:p w14:paraId="7482B9DD" w14:textId="77777777" w:rsidR="001A718B" w:rsidRDefault="001A718B">
      <w:pPr>
        <w:pStyle w:val="Ttulo2"/>
        <w:rPr>
          <w:rFonts w:ascii="Arial" w:eastAsia="Arial" w:hAnsi="Arial" w:cs="Arial"/>
          <w:sz w:val="22"/>
          <w:szCs w:val="22"/>
        </w:rPr>
      </w:pPr>
    </w:p>
    <w:p w14:paraId="56215309" w14:textId="77777777" w:rsidR="001A718B" w:rsidRDefault="001A718B">
      <w:pPr>
        <w:pStyle w:val="Ttulo2"/>
        <w:rPr>
          <w:rFonts w:ascii="Arial" w:eastAsia="Arial" w:hAnsi="Arial" w:cs="Arial"/>
          <w:sz w:val="22"/>
          <w:szCs w:val="22"/>
        </w:rPr>
      </w:pPr>
    </w:p>
    <w:p w14:paraId="577B74EF" w14:textId="77777777" w:rsidR="001A718B" w:rsidRDefault="001A718B">
      <w:pPr>
        <w:pStyle w:val="Ttulo2"/>
        <w:rPr>
          <w:rFonts w:ascii="Arial" w:eastAsia="Arial" w:hAnsi="Arial" w:cs="Arial"/>
          <w:sz w:val="22"/>
          <w:szCs w:val="22"/>
        </w:rPr>
      </w:pPr>
    </w:p>
    <w:p w14:paraId="3641C78C" w14:textId="77777777" w:rsidR="001A718B" w:rsidRDefault="001A718B">
      <w:pPr>
        <w:pStyle w:val="Ttulo2"/>
        <w:rPr>
          <w:rFonts w:ascii="Arial" w:eastAsia="Arial" w:hAnsi="Arial" w:cs="Arial"/>
          <w:sz w:val="22"/>
          <w:szCs w:val="22"/>
        </w:rPr>
      </w:pPr>
    </w:p>
    <w:p w14:paraId="14910DB8" w14:textId="77777777" w:rsidR="001A718B" w:rsidRDefault="001A718B">
      <w:pPr>
        <w:pStyle w:val="Ttulo2"/>
        <w:rPr>
          <w:rFonts w:ascii="Arial" w:eastAsia="Arial" w:hAnsi="Arial" w:cs="Arial"/>
          <w:sz w:val="22"/>
          <w:szCs w:val="22"/>
        </w:rPr>
      </w:pPr>
    </w:p>
    <w:p w14:paraId="1BC806BD" w14:textId="77777777" w:rsidR="001A718B" w:rsidRDefault="001A718B">
      <w:pPr>
        <w:pStyle w:val="Ttulo2"/>
        <w:rPr>
          <w:rFonts w:ascii="Arial" w:eastAsia="Arial" w:hAnsi="Arial" w:cs="Arial"/>
          <w:sz w:val="22"/>
          <w:szCs w:val="22"/>
        </w:rPr>
      </w:pPr>
    </w:p>
    <w:p w14:paraId="63B751A8" w14:textId="77777777" w:rsidR="001A718B" w:rsidRDefault="001A718B">
      <w:pPr>
        <w:pStyle w:val="Ttulo2"/>
        <w:rPr>
          <w:rFonts w:ascii="Arial" w:eastAsia="Arial" w:hAnsi="Arial" w:cs="Arial"/>
          <w:sz w:val="22"/>
          <w:szCs w:val="22"/>
        </w:rPr>
      </w:pPr>
    </w:p>
    <w:p w14:paraId="0AC48170" w14:textId="77777777" w:rsidR="001A718B" w:rsidRDefault="001A718B">
      <w:pPr>
        <w:pStyle w:val="Ttulo2"/>
        <w:rPr>
          <w:rFonts w:ascii="Arial" w:eastAsia="Arial" w:hAnsi="Arial" w:cs="Arial"/>
          <w:sz w:val="22"/>
          <w:szCs w:val="22"/>
        </w:rPr>
      </w:pPr>
    </w:p>
    <w:p w14:paraId="2FA64C47" w14:textId="77777777" w:rsidR="001A718B" w:rsidRDefault="001A718B">
      <w:pPr>
        <w:pStyle w:val="Ttulo2"/>
        <w:rPr>
          <w:rFonts w:ascii="Arial" w:eastAsia="Arial" w:hAnsi="Arial" w:cs="Arial"/>
          <w:sz w:val="22"/>
          <w:szCs w:val="22"/>
        </w:rPr>
      </w:pPr>
    </w:p>
    <w:p w14:paraId="19C9082D" w14:textId="77777777" w:rsidR="001A718B" w:rsidRDefault="001A718B">
      <w:pPr>
        <w:pStyle w:val="Ttulo2"/>
        <w:rPr>
          <w:rFonts w:ascii="Arial" w:eastAsia="Arial" w:hAnsi="Arial" w:cs="Arial"/>
          <w:sz w:val="22"/>
          <w:szCs w:val="22"/>
        </w:rPr>
      </w:pPr>
    </w:p>
    <w:p w14:paraId="504B6BA8" w14:textId="77777777" w:rsidR="001A718B" w:rsidRDefault="001A718B">
      <w:pPr>
        <w:pStyle w:val="Ttulo2"/>
        <w:rPr>
          <w:rFonts w:ascii="Arial" w:eastAsia="Arial" w:hAnsi="Arial" w:cs="Arial"/>
          <w:sz w:val="22"/>
          <w:szCs w:val="22"/>
        </w:rPr>
      </w:pPr>
    </w:p>
    <w:p w14:paraId="786DE68B" w14:textId="77777777" w:rsidR="001A718B" w:rsidRDefault="001A718B">
      <w:pPr>
        <w:rPr>
          <w:rFonts w:ascii="Arial" w:eastAsia="Arial" w:hAnsi="Arial" w:cs="Arial"/>
        </w:rPr>
      </w:pPr>
    </w:p>
    <w:p w14:paraId="2B324C85" w14:textId="77777777" w:rsidR="001A718B" w:rsidRDefault="001A718B">
      <w:pPr>
        <w:rPr>
          <w:rFonts w:ascii="Arial" w:eastAsia="Arial" w:hAnsi="Arial" w:cs="Arial"/>
        </w:rPr>
      </w:pPr>
    </w:p>
    <w:p w14:paraId="43AE650E" w14:textId="77777777" w:rsidR="001A718B" w:rsidRDefault="001A718B">
      <w:pPr>
        <w:rPr>
          <w:rFonts w:ascii="Arial" w:eastAsia="Arial" w:hAnsi="Arial" w:cs="Arial"/>
        </w:rPr>
      </w:pPr>
    </w:p>
    <w:p w14:paraId="1467A2A7" w14:textId="77777777" w:rsidR="001A718B" w:rsidRDefault="001A718B">
      <w:pPr>
        <w:rPr>
          <w:rFonts w:ascii="Arial" w:eastAsia="Arial" w:hAnsi="Arial" w:cs="Arial"/>
        </w:rPr>
      </w:pPr>
    </w:p>
    <w:p w14:paraId="66D7AEF7" w14:textId="77777777" w:rsidR="001A718B" w:rsidRDefault="00000000">
      <w:pPr>
        <w:pStyle w:val="Ttulo2"/>
        <w:spacing w:line="360" w:lineRule="auto"/>
        <w:rPr>
          <w:rFonts w:ascii="Arial" w:eastAsia="Arial" w:hAnsi="Arial" w:cs="Arial"/>
          <w:sz w:val="22"/>
          <w:szCs w:val="22"/>
        </w:rPr>
      </w:pPr>
      <w:bookmarkStart w:id="0" w:name="_heading=h.k7qra8kgqpvb" w:colFirst="0" w:colLast="0"/>
      <w:bookmarkEnd w:id="0"/>
      <w:r>
        <w:rPr>
          <w:rFonts w:ascii="Arial" w:eastAsia="Arial" w:hAnsi="Arial" w:cs="Arial"/>
          <w:sz w:val="22"/>
          <w:szCs w:val="22"/>
        </w:rPr>
        <w:lastRenderedPageBreak/>
        <w:t>1. Introducción</w:t>
      </w:r>
    </w:p>
    <w:p w14:paraId="7B6032D0" w14:textId="77777777" w:rsidR="001A718B" w:rsidRDefault="00000000">
      <w:pPr>
        <w:spacing w:before="240" w:after="240" w:line="360" w:lineRule="auto"/>
        <w:rPr>
          <w:rFonts w:ascii="Arial" w:eastAsia="Arial" w:hAnsi="Arial" w:cs="Arial"/>
        </w:rPr>
      </w:pPr>
      <w:r>
        <w:rPr>
          <w:rFonts w:ascii="Arial" w:eastAsia="Arial" w:hAnsi="Arial" w:cs="Arial"/>
        </w:rPr>
        <w:t xml:space="preserve">El presente informe describe el proyecto APT titulado </w:t>
      </w:r>
      <w:r>
        <w:rPr>
          <w:rFonts w:ascii="Arial" w:eastAsia="Arial" w:hAnsi="Arial" w:cs="Arial"/>
          <w:b/>
          <w:bCs/>
        </w:rPr>
        <w:t>“Ticki-TI: Clasificador Inteligente de tickets de soporte TI”</w:t>
      </w:r>
      <w:r>
        <w:rPr>
          <w:rFonts w:ascii="Arial" w:eastAsia="Arial" w:hAnsi="Arial" w:cs="Arial"/>
        </w:rPr>
        <w:t>, desarrollado para Netmetrix, empresa de consultoría y servicios gestionados especializada en continuidad, observabilidad y operación de plataformas tecnológicas.</w:t>
      </w:r>
    </w:p>
    <w:p w14:paraId="348A43C8" w14:textId="77777777" w:rsidR="001A718B" w:rsidRDefault="00000000">
      <w:pPr>
        <w:spacing w:before="240" w:after="240" w:line="360" w:lineRule="auto"/>
        <w:rPr>
          <w:rFonts w:ascii="Arial" w:eastAsia="Arial" w:hAnsi="Arial" w:cs="Arial"/>
        </w:rPr>
      </w:pPr>
      <w:r>
        <w:rPr>
          <w:rFonts w:ascii="Arial" w:eastAsia="Arial" w:hAnsi="Arial" w:cs="Arial"/>
        </w:rPr>
        <w:t xml:space="preserve">La mesa de ayuda de Netmetrix, conformada por seis especialistas que gestionan aproximadamente 80 incidentes mensuales, enfrenta una ineficiencia operativa significativa: los requerimientos llegan a través de canales informales (WhatsApp, correos y llamadas), son ingresados manualmente y, en un alto porcentaje, presentan categorización y priorización erróneas. Esto genera rebotes entre técnicos, pérdida de tiempo en transcripción y </w:t>
      </w:r>
      <w:proofErr w:type="spellStart"/>
      <w:r>
        <w:rPr>
          <w:rFonts w:ascii="Arial" w:eastAsia="Arial" w:hAnsi="Arial" w:cs="Arial"/>
        </w:rPr>
        <w:t>re-investigación</w:t>
      </w:r>
      <w:proofErr w:type="spellEnd"/>
      <w:r>
        <w:rPr>
          <w:rFonts w:ascii="Arial" w:eastAsia="Arial" w:hAnsi="Arial" w:cs="Arial"/>
        </w:rPr>
        <w:t>, y riesgo de incumplimiento de la Ley Nº 21.719 sobre protección de datos personales.</w:t>
      </w:r>
    </w:p>
    <w:p w14:paraId="375730FD" w14:textId="77777777" w:rsidR="001A718B" w:rsidRDefault="00000000">
      <w:pPr>
        <w:spacing w:before="240" w:after="240" w:line="360" w:lineRule="auto"/>
        <w:rPr>
          <w:rFonts w:ascii="Arial" w:eastAsia="Arial" w:hAnsi="Arial" w:cs="Arial"/>
        </w:rPr>
      </w:pPr>
      <w:r>
        <w:rPr>
          <w:rFonts w:ascii="Arial" w:eastAsia="Arial" w:hAnsi="Arial" w:cs="Arial"/>
        </w:rPr>
        <w:t>El objetivo del proyecto es automatizar y optimizar este proceso mediante un sistema web interactivo desarrollado en Streamlit. La solución integra extracción de texto desde imágenes (OCR), anonimización automática de datos sensibles, clasificación predictiva mediante modelos de Procesamiento de Lenguaje Natural (NLP) y un esquema de validación humana obligatoria (</w:t>
      </w:r>
      <w:r>
        <w:rPr>
          <w:rFonts w:ascii="Arial" w:eastAsia="Arial" w:hAnsi="Arial" w:cs="Arial"/>
          <w:i/>
          <w:iCs/>
        </w:rPr>
        <w:t>Human-in-the-loop</w:t>
      </w:r>
      <w:r>
        <w:rPr>
          <w:rFonts w:ascii="Arial" w:eastAsia="Arial" w:hAnsi="Arial" w:cs="Arial"/>
        </w:rPr>
        <w:t>). De esta forma, se busca reducir la carga administrativa, mejorar la precisión de la derivación y la prioridad, y liberar a los técnicos para que se enfoquen en la resolución técnica de los incidentes.</w:t>
      </w:r>
    </w:p>
    <w:p w14:paraId="26FF31E1" w14:textId="77777777" w:rsidR="001A718B" w:rsidRDefault="001A718B">
      <w:pPr>
        <w:spacing w:line="360" w:lineRule="auto"/>
        <w:rPr>
          <w:rFonts w:ascii="Arial" w:eastAsia="Arial" w:hAnsi="Arial" w:cs="Arial"/>
        </w:rPr>
      </w:pPr>
    </w:p>
    <w:p w14:paraId="272941A8" w14:textId="77777777" w:rsidR="001A718B" w:rsidRDefault="001A718B">
      <w:pPr>
        <w:pStyle w:val="Ttulo2"/>
        <w:spacing w:line="360" w:lineRule="auto"/>
        <w:rPr>
          <w:rFonts w:ascii="Arial" w:eastAsia="Arial" w:hAnsi="Arial" w:cs="Arial"/>
          <w:sz w:val="22"/>
          <w:szCs w:val="22"/>
        </w:rPr>
      </w:pPr>
    </w:p>
    <w:p w14:paraId="74C8975B" w14:textId="77777777" w:rsidR="001A718B" w:rsidRDefault="00000000">
      <w:pPr>
        <w:spacing w:line="360" w:lineRule="auto"/>
        <w:rPr>
          <w:rFonts w:ascii="Arial" w:eastAsia="Arial" w:hAnsi="Arial" w:cs="Arial"/>
        </w:rPr>
      </w:pPr>
      <w:r>
        <w:br w:type="page"/>
      </w:r>
    </w:p>
    <w:p w14:paraId="4E636948" w14:textId="77777777" w:rsidR="001A718B" w:rsidRDefault="00000000">
      <w:pPr>
        <w:pStyle w:val="Ttulo2"/>
        <w:spacing w:line="360" w:lineRule="auto"/>
        <w:rPr>
          <w:rFonts w:ascii="Arial" w:eastAsia="Arial" w:hAnsi="Arial" w:cs="Arial"/>
          <w:sz w:val="22"/>
          <w:szCs w:val="22"/>
        </w:rPr>
      </w:pPr>
      <w:bookmarkStart w:id="1" w:name="_heading=h.m40e6y9urna0" w:colFirst="0" w:colLast="0"/>
      <w:bookmarkEnd w:id="1"/>
      <w:r>
        <w:rPr>
          <w:rFonts w:ascii="Arial" w:eastAsia="Arial" w:hAnsi="Arial" w:cs="Arial"/>
          <w:sz w:val="22"/>
          <w:szCs w:val="22"/>
        </w:rPr>
        <w:lastRenderedPageBreak/>
        <w:t>2. Descripción breve del proyecto y justificación de su relevancia</w:t>
      </w:r>
    </w:p>
    <w:p w14:paraId="56CAC64C" w14:textId="77777777" w:rsidR="001A718B" w:rsidRDefault="00000000">
      <w:pPr>
        <w:spacing w:before="240" w:after="240" w:line="360" w:lineRule="auto"/>
        <w:rPr>
          <w:rFonts w:ascii="Arial" w:eastAsia="Arial" w:hAnsi="Arial" w:cs="Arial"/>
        </w:rPr>
      </w:pPr>
      <w:r>
        <w:rPr>
          <w:rFonts w:ascii="Arial" w:eastAsia="Arial" w:hAnsi="Arial" w:cs="Arial"/>
        </w:rPr>
        <w:t>Ticki-TI consiste en una aplicación web que permite a los técnicos de soporte de Netmetrix cargar una o varias imágenes (capturas de pantalla, correos o mensajes de WhatsApp) que contienen la descripción del problema. El sistema ejecuta el siguiente flujo:</w:t>
      </w:r>
    </w:p>
    <w:p w14:paraId="3C2634F7" w14:textId="77777777" w:rsidR="001A718B" w:rsidRDefault="00000000">
      <w:pPr>
        <w:numPr>
          <w:ilvl w:val="0"/>
          <w:numId w:val="1"/>
        </w:numPr>
        <w:spacing w:before="240" w:after="0" w:line="360" w:lineRule="auto"/>
        <w:rPr>
          <w:rFonts w:ascii="Arial" w:eastAsia="Arial" w:hAnsi="Arial" w:cs="Arial"/>
        </w:rPr>
      </w:pPr>
      <w:r>
        <w:rPr>
          <w:rFonts w:ascii="Arial" w:eastAsia="Arial" w:hAnsi="Arial" w:cs="Arial"/>
        </w:rPr>
        <w:t>Extrae el texto mediante un motor OCR.</w:t>
      </w:r>
    </w:p>
    <w:p w14:paraId="20CABC07" w14:textId="77777777" w:rsidR="001A718B" w:rsidRDefault="00000000">
      <w:pPr>
        <w:numPr>
          <w:ilvl w:val="0"/>
          <w:numId w:val="1"/>
        </w:numPr>
        <w:spacing w:after="0" w:line="360" w:lineRule="auto"/>
        <w:rPr>
          <w:rFonts w:ascii="Arial" w:eastAsia="Arial" w:hAnsi="Arial" w:cs="Arial"/>
        </w:rPr>
      </w:pPr>
      <w:r>
        <w:rPr>
          <w:rFonts w:ascii="Arial" w:eastAsia="Arial" w:hAnsi="Arial" w:cs="Arial"/>
        </w:rPr>
        <w:t>Anonimiza automáticamente datos personales sensibles (nombres, RUT, correos, teléfonos) para cumplir con la Ley Nº 21.719.</w:t>
      </w:r>
    </w:p>
    <w:p w14:paraId="1C9C1949" w14:textId="77777777" w:rsidR="001A718B" w:rsidRDefault="00000000">
      <w:pPr>
        <w:numPr>
          <w:ilvl w:val="0"/>
          <w:numId w:val="1"/>
        </w:numPr>
        <w:spacing w:after="0" w:line="360" w:lineRule="auto"/>
        <w:rPr>
          <w:rFonts w:ascii="Arial" w:eastAsia="Arial" w:hAnsi="Arial" w:cs="Arial"/>
        </w:rPr>
      </w:pPr>
      <w:r>
        <w:rPr>
          <w:rFonts w:ascii="Arial" w:eastAsia="Arial" w:hAnsi="Arial" w:cs="Arial"/>
        </w:rPr>
        <w:t xml:space="preserve">Aplica un modelo de Machine Learning entrenado con el histórico de tickets (2025 – 31 de agosto de 2026) para predecir el </w:t>
      </w:r>
      <w:r>
        <w:rPr>
          <w:rFonts w:ascii="Arial" w:eastAsia="Arial" w:hAnsi="Arial" w:cs="Arial"/>
          <w:b/>
          <w:bCs/>
        </w:rPr>
        <w:t>área de derivación</w:t>
      </w:r>
      <w:r>
        <w:rPr>
          <w:rFonts w:ascii="Arial" w:eastAsia="Arial" w:hAnsi="Arial" w:cs="Arial"/>
        </w:rPr>
        <w:t xml:space="preserve"> y sugerir la </w:t>
      </w:r>
      <w:r>
        <w:rPr>
          <w:rFonts w:ascii="Arial" w:eastAsia="Arial" w:hAnsi="Arial" w:cs="Arial"/>
          <w:b/>
          <w:bCs/>
        </w:rPr>
        <w:t>prioridad operativa</w:t>
      </w:r>
      <w:r>
        <w:rPr>
          <w:rFonts w:ascii="Arial" w:eastAsia="Arial" w:hAnsi="Arial" w:cs="Arial"/>
        </w:rPr>
        <w:t xml:space="preserve"> (crítica, alta, media o baja).</w:t>
      </w:r>
    </w:p>
    <w:p w14:paraId="2B82B699" w14:textId="77777777" w:rsidR="001A718B" w:rsidRDefault="00000000">
      <w:pPr>
        <w:numPr>
          <w:ilvl w:val="0"/>
          <w:numId w:val="1"/>
        </w:numPr>
        <w:spacing w:after="0" w:line="360" w:lineRule="auto"/>
        <w:rPr>
          <w:rFonts w:ascii="Arial" w:eastAsia="Arial" w:hAnsi="Arial" w:cs="Arial"/>
        </w:rPr>
      </w:pPr>
      <w:r>
        <w:rPr>
          <w:rFonts w:ascii="Arial" w:eastAsia="Arial" w:hAnsi="Arial" w:cs="Arial"/>
        </w:rPr>
        <w:t>Presenta la sugerencia al técnico, quien puede aceptarla o corregirla (</w:t>
      </w:r>
      <w:r>
        <w:rPr>
          <w:rFonts w:ascii="Arial" w:eastAsia="Arial" w:hAnsi="Arial" w:cs="Arial"/>
          <w:i/>
          <w:iCs/>
        </w:rPr>
        <w:t>Human-in-the-loop</w:t>
      </w:r>
      <w:r>
        <w:rPr>
          <w:rFonts w:ascii="Arial" w:eastAsia="Arial" w:hAnsi="Arial" w:cs="Arial"/>
        </w:rPr>
        <w:t>).</w:t>
      </w:r>
    </w:p>
    <w:p w14:paraId="50A3E472" w14:textId="77777777" w:rsidR="001A718B" w:rsidRDefault="00000000">
      <w:pPr>
        <w:numPr>
          <w:ilvl w:val="0"/>
          <w:numId w:val="1"/>
        </w:numPr>
        <w:spacing w:after="240" w:line="360" w:lineRule="auto"/>
        <w:rPr>
          <w:rFonts w:ascii="Arial" w:eastAsia="Arial" w:hAnsi="Arial" w:cs="Arial"/>
        </w:rPr>
      </w:pPr>
      <w:r>
        <w:rPr>
          <w:rFonts w:ascii="Arial" w:eastAsia="Arial" w:hAnsi="Arial" w:cs="Arial"/>
        </w:rPr>
        <w:t>Exporta el ticket clasificado y auditable en formato Excel o imagen, registrando la identidad del técnico validador.</w:t>
      </w:r>
    </w:p>
    <w:p w14:paraId="3A7FD397" w14:textId="77777777" w:rsidR="001A718B" w:rsidRDefault="00000000">
      <w:pPr>
        <w:spacing w:before="240" w:after="240" w:line="360" w:lineRule="auto"/>
        <w:rPr>
          <w:rFonts w:ascii="Arial" w:eastAsia="Arial" w:hAnsi="Arial" w:cs="Arial"/>
        </w:rPr>
      </w:pPr>
      <w:r>
        <w:rPr>
          <w:rFonts w:ascii="Arial" w:eastAsia="Arial" w:hAnsi="Arial" w:cs="Arial"/>
        </w:rPr>
        <w:t>La relevancia del proyecto es alta tanto para Netmetrix como para el campo de la informática. Según el levantamiento realizado con el equipo de soporte, cada técnico invierte entre 6 y 10 minutos solo en transcribir datos por ticket, entre el 31 % y el 50 % de los incidentes ingresan mal categorizados, y cuando ocurre un “rebote” se pierden en promedio 36,6 minutos adicionales. Además, existe preocupación real por el manejo de información sensible de clientes.</w:t>
      </w:r>
    </w:p>
    <w:p w14:paraId="54E50A17" w14:textId="77777777" w:rsidR="001A718B" w:rsidRDefault="00000000">
      <w:pPr>
        <w:spacing w:before="240" w:after="240" w:line="360" w:lineRule="auto"/>
        <w:rPr>
          <w:rFonts w:ascii="Arial" w:eastAsia="Arial" w:hAnsi="Arial" w:cs="Arial"/>
        </w:rPr>
      </w:pPr>
      <w:r>
        <w:rPr>
          <w:rFonts w:ascii="Arial" w:eastAsia="Arial" w:hAnsi="Arial" w:cs="Arial"/>
        </w:rPr>
        <w:t>Ticki-TI ataca directamente estos problemas: reduce drásticamente el tiempo de ingreso, estandariza la clasificación desde el primer momento, mitiga el riesgo normativo y genera un ciclo de mejora continua del modelo a partir de las correcciones humanas. De esta forma, aporta valor operativo, de cumplimiento legal y de eficiencia a una empresa real, al tiempo que demuestra la aplicación integrada de desarrollo de software, ciencia de datos e inteligencia artificial.</w:t>
      </w:r>
    </w:p>
    <w:p w14:paraId="71C10412" w14:textId="77777777" w:rsidR="001A718B" w:rsidRDefault="001A718B">
      <w:pPr>
        <w:spacing w:after="240" w:line="360" w:lineRule="auto"/>
        <w:rPr>
          <w:rFonts w:ascii="Arial" w:eastAsia="Arial" w:hAnsi="Arial" w:cs="Arial"/>
        </w:rPr>
      </w:pPr>
    </w:p>
    <w:p w14:paraId="14C62013" w14:textId="77777777" w:rsidR="001A718B" w:rsidRDefault="001A718B">
      <w:pPr>
        <w:pStyle w:val="Ttulo2"/>
        <w:spacing w:line="360" w:lineRule="auto"/>
        <w:rPr>
          <w:rFonts w:ascii="Arial" w:eastAsia="Arial" w:hAnsi="Arial" w:cs="Arial"/>
          <w:sz w:val="22"/>
          <w:szCs w:val="22"/>
        </w:rPr>
      </w:pPr>
    </w:p>
    <w:p w14:paraId="0FC9445C" w14:textId="77777777" w:rsidR="001A718B" w:rsidRDefault="00000000">
      <w:pPr>
        <w:spacing w:line="360" w:lineRule="auto"/>
        <w:rPr>
          <w:rFonts w:ascii="Arial" w:eastAsia="Arial" w:hAnsi="Arial" w:cs="Arial"/>
        </w:rPr>
      </w:pPr>
      <w:r>
        <w:br w:type="page"/>
      </w:r>
    </w:p>
    <w:p w14:paraId="37502D87" w14:textId="77777777" w:rsidR="001A718B" w:rsidRDefault="00000000">
      <w:pPr>
        <w:pStyle w:val="Ttulo2"/>
        <w:spacing w:line="360" w:lineRule="auto"/>
        <w:rPr>
          <w:rFonts w:ascii="Arial" w:eastAsia="Arial" w:hAnsi="Arial" w:cs="Arial"/>
          <w:sz w:val="22"/>
          <w:szCs w:val="22"/>
        </w:rPr>
      </w:pPr>
      <w:bookmarkStart w:id="2" w:name="_heading=h.mke731m4l1ls" w:colFirst="0" w:colLast="0"/>
      <w:bookmarkEnd w:id="2"/>
      <w:r>
        <w:rPr>
          <w:rFonts w:ascii="Arial" w:eastAsia="Arial" w:hAnsi="Arial" w:cs="Arial"/>
          <w:sz w:val="22"/>
          <w:szCs w:val="22"/>
        </w:rPr>
        <w:lastRenderedPageBreak/>
        <w:t>3. Relación del proyecto APT con las competencias del perfil de egreso</w:t>
      </w:r>
    </w:p>
    <w:p w14:paraId="19EF5F0D" w14:textId="77777777" w:rsidR="001A718B" w:rsidRDefault="00000000">
      <w:pPr>
        <w:spacing w:before="240" w:after="240" w:line="360" w:lineRule="auto"/>
        <w:rPr>
          <w:rFonts w:ascii="Arial" w:eastAsia="Arial" w:hAnsi="Arial" w:cs="Arial"/>
        </w:rPr>
      </w:pPr>
      <w:r>
        <w:rPr>
          <w:rFonts w:ascii="Arial" w:eastAsia="Arial" w:hAnsi="Arial" w:cs="Arial"/>
        </w:rPr>
        <w:t>El proyecto moviliza de manera transversal las competencias centrales del perfil de egreso de Ingeniería en Informática:</w:t>
      </w:r>
    </w:p>
    <w:p w14:paraId="0F1E2262" w14:textId="77777777" w:rsidR="001A718B" w:rsidRDefault="00000000">
      <w:pPr>
        <w:numPr>
          <w:ilvl w:val="0"/>
          <w:numId w:val="3"/>
        </w:numPr>
        <w:spacing w:before="240" w:after="0" w:line="360" w:lineRule="auto"/>
        <w:rPr>
          <w:rFonts w:ascii="Arial" w:eastAsia="Arial" w:hAnsi="Arial" w:cs="Arial"/>
        </w:rPr>
      </w:pPr>
      <w:r>
        <w:rPr>
          <w:rFonts w:ascii="Arial" w:eastAsia="Arial" w:hAnsi="Arial" w:cs="Arial"/>
          <w:b/>
          <w:bCs/>
        </w:rPr>
        <w:t>Desarrollar una solución de software</w:t>
      </w:r>
      <w:r>
        <w:rPr>
          <w:rFonts w:ascii="Arial" w:eastAsia="Arial" w:hAnsi="Arial" w:cs="Arial"/>
        </w:rPr>
        <w:t xml:space="preserve"> utilizando técnicas que permitan sistematizar el proceso de desarrollo y mantenimiento. Se materializa en la construcción de la aplicación web con Streamlit, la integración del motor OCR, el sistema de autenticación y el flujo de exportación.</w:t>
      </w:r>
    </w:p>
    <w:p w14:paraId="1219C6F9" w14:textId="77777777" w:rsidR="001A718B" w:rsidRDefault="00000000">
      <w:pPr>
        <w:numPr>
          <w:ilvl w:val="0"/>
          <w:numId w:val="3"/>
        </w:numPr>
        <w:spacing w:after="0" w:line="360" w:lineRule="auto"/>
        <w:rPr>
          <w:rFonts w:ascii="Arial" w:eastAsia="Arial" w:hAnsi="Arial" w:cs="Arial"/>
        </w:rPr>
      </w:pPr>
      <w:r>
        <w:rPr>
          <w:rFonts w:ascii="Arial" w:eastAsia="Arial" w:hAnsi="Arial" w:cs="Arial"/>
          <w:b/>
          <w:bCs/>
        </w:rPr>
        <w:t>Construir modelos de datos</w:t>
      </w:r>
      <w:r>
        <w:rPr>
          <w:rFonts w:ascii="Arial" w:eastAsia="Arial" w:hAnsi="Arial" w:cs="Arial"/>
        </w:rPr>
        <w:t xml:space="preserve"> para soportar los requerimientos de la organización de acuerdo con un diseño definido y escalable. Se evidencia en el diseño del modelo relacional (</w:t>
      </w:r>
      <w:proofErr w:type="spellStart"/>
      <w:r>
        <w:rPr>
          <w:rFonts w:ascii="Arial" w:eastAsia="Arial" w:hAnsi="Arial" w:cs="Arial"/>
        </w:rPr>
        <w:t>Usuario_Tecnico</w:t>
      </w:r>
      <w:proofErr w:type="spellEnd"/>
      <w:r>
        <w:rPr>
          <w:rFonts w:ascii="Arial" w:eastAsia="Arial" w:hAnsi="Arial" w:cs="Arial"/>
        </w:rPr>
        <w:t xml:space="preserve">, </w:t>
      </w:r>
      <w:proofErr w:type="spellStart"/>
      <w:r>
        <w:rPr>
          <w:rFonts w:ascii="Arial" w:eastAsia="Arial" w:hAnsi="Arial" w:cs="Arial"/>
        </w:rPr>
        <w:t>Catalogo_Area</w:t>
      </w:r>
      <w:proofErr w:type="spellEnd"/>
      <w:r>
        <w:rPr>
          <w:rFonts w:ascii="Arial" w:eastAsia="Arial" w:hAnsi="Arial" w:cs="Arial"/>
        </w:rPr>
        <w:t xml:space="preserve">, </w:t>
      </w:r>
      <w:proofErr w:type="spellStart"/>
      <w:r>
        <w:rPr>
          <w:rFonts w:ascii="Arial" w:eastAsia="Arial" w:hAnsi="Arial" w:cs="Arial"/>
        </w:rPr>
        <w:t>Catalogo_Prioridad</w:t>
      </w:r>
      <w:proofErr w:type="spellEnd"/>
      <w:r>
        <w:rPr>
          <w:rFonts w:ascii="Arial" w:eastAsia="Arial" w:hAnsi="Arial" w:cs="Arial"/>
        </w:rPr>
        <w:t xml:space="preserve">, </w:t>
      </w:r>
      <w:proofErr w:type="spellStart"/>
      <w:r>
        <w:rPr>
          <w:rFonts w:ascii="Arial" w:eastAsia="Arial" w:hAnsi="Arial" w:cs="Arial"/>
        </w:rPr>
        <w:t>Ticket_Requerimiento</w:t>
      </w:r>
      <w:proofErr w:type="spellEnd"/>
      <w:r>
        <w:rPr>
          <w:rFonts w:ascii="Arial" w:eastAsia="Arial" w:hAnsi="Arial" w:cs="Arial"/>
        </w:rPr>
        <w:t xml:space="preserve">, </w:t>
      </w:r>
      <w:proofErr w:type="spellStart"/>
      <w:r>
        <w:rPr>
          <w:rFonts w:ascii="Arial" w:eastAsia="Arial" w:hAnsi="Arial" w:cs="Arial"/>
        </w:rPr>
        <w:t>Procesamiento_IA</w:t>
      </w:r>
      <w:proofErr w:type="spellEnd"/>
      <w:r>
        <w:rPr>
          <w:rFonts w:ascii="Arial" w:eastAsia="Arial" w:hAnsi="Arial" w:cs="Arial"/>
        </w:rPr>
        <w:t xml:space="preserve"> y </w:t>
      </w:r>
      <w:proofErr w:type="spellStart"/>
      <w:r>
        <w:rPr>
          <w:rFonts w:ascii="Arial" w:eastAsia="Arial" w:hAnsi="Arial" w:cs="Arial"/>
        </w:rPr>
        <w:t>Validacion_Humana</w:t>
      </w:r>
      <w:proofErr w:type="spellEnd"/>
      <w:r>
        <w:rPr>
          <w:rFonts w:ascii="Arial" w:eastAsia="Arial" w:hAnsi="Arial" w:cs="Arial"/>
        </w:rPr>
        <w:t>) orientado a auditoría y reentrenamiento.</w:t>
      </w:r>
    </w:p>
    <w:p w14:paraId="01F2E8DF" w14:textId="77777777" w:rsidR="001A718B" w:rsidRDefault="00000000">
      <w:pPr>
        <w:numPr>
          <w:ilvl w:val="0"/>
          <w:numId w:val="3"/>
        </w:numPr>
        <w:spacing w:after="0" w:line="360" w:lineRule="auto"/>
        <w:rPr>
          <w:rFonts w:ascii="Arial" w:eastAsia="Arial" w:hAnsi="Arial" w:cs="Arial"/>
        </w:rPr>
      </w:pPr>
      <w:r>
        <w:rPr>
          <w:rFonts w:ascii="Arial" w:eastAsia="Arial" w:hAnsi="Arial" w:cs="Arial"/>
          <w:b/>
          <w:bCs/>
        </w:rPr>
        <w:t>Preparar, explorar y transformar datos</w:t>
      </w:r>
      <w:r>
        <w:rPr>
          <w:rFonts w:ascii="Arial" w:eastAsia="Arial" w:hAnsi="Arial" w:cs="Arial"/>
        </w:rPr>
        <w:t>, aplicando criterios de calidad, trazabilidad, privacidad y prevención de fuga de información. Se aplica en la consolidación del histórico Excel, el etiquetado del área de derivación (columna inexistente en los datos originales), la anonimización y el preprocesamiento NLP con NLTK.</w:t>
      </w:r>
    </w:p>
    <w:p w14:paraId="5EDC5F25" w14:textId="77777777" w:rsidR="001A718B" w:rsidRDefault="00000000">
      <w:pPr>
        <w:numPr>
          <w:ilvl w:val="0"/>
          <w:numId w:val="3"/>
        </w:numPr>
        <w:spacing w:after="0" w:line="360" w:lineRule="auto"/>
        <w:rPr>
          <w:rFonts w:ascii="Arial" w:eastAsia="Arial" w:hAnsi="Arial" w:cs="Arial"/>
        </w:rPr>
      </w:pPr>
      <w:r>
        <w:rPr>
          <w:rFonts w:ascii="Arial" w:eastAsia="Arial" w:hAnsi="Arial" w:cs="Arial"/>
          <w:b/>
          <w:bCs/>
        </w:rPr>
        <w:t>Entrenar, comparar y evaluar modelos de machine learning</w:t>
      </w:r>
      <w:r>
        <w:rPr>
          <w:rFonts w:ascii="Arial" w:eastAsia="Arial" w:hAnsi="Arial" w:cs="Arial"/>
        </w:rPr>
        <w:t xml:space="preserve"> mediante métricas acordes al problema y a la distribución de las clases. Se desarrolla el clasificador multiclase de área y prioridad, evaluado con métricas por clase (precisión, </w:t>
      </w:r>
      <w:proofErr w:type="spellStart"/>
      <w:r>
        <w:rPr>
          <w:rFonts w:ascii="Arial" w:eastAsia="Arial" w:hAnsi="Arial" w:cs="Arial"/>
        </w:rPr>
        <w:t>recall</w:t>
      </w:r>
      <w:proofErr w:type="spellEnd"/>
      <w:r>
        <w:rPr>
          <w:rFonts w:ascii="Arial" w:eastAsia="Arial" w:hAnsi="Arial" w:cs="Arial"/>
        </w:rPr>
        <w:t>, F1-Score y matriz de confusión).</w:t>
      </w:r>
    </w:p>
    <w:p w14:paraId="473AE7C2" w14:textId="77777777" w:rsidR="001A718B" w:rsidRDefault="00000000">
      <w:pPr>
        <w:numPr>
          <w:ilvl w:val="0"/>
          <w:numId w:val="3"/>
        </w:numPr>
        <w:spacing w:after="0" w:line="360" w:lineRule="auto"/>
        <w:rPr>
          <w:rFonts w:ascii="Arial" w:eastAsia="Arial" w:hAnsi="Arial" w:cs="Arial"/>
        </w:rPr>
      </w:pPr>
      <w:r>
        <w:rPr>
          <w:rFonts w:ascii="Arial" w:eastAsia="Arial" w:hAnsi="Arial" w:cs="Arial"/>
          <w:b/>
          <w:bCs/>
        </w:rPr>
        <w:t>Realizar pruebas de certificación</w:t>
      </w:r>
      <w:r>
        <w:rPr>
          <w:rFonts w:ascii="Arial" w:eastAsia="Arial" w:hAnsi="Arial" w:cs="Arial"/>
        </w:rPr>
        <w:t xml:space="preserve"> tanto de los productos como de los procesos utilizando buenas prácticas de la industria. Incluye pruebas del modelo, pruebas de caja negra de la interfaz, validación del enmascaramiento de datos y pruebas de eficiencia operativa (</w:t>
      </w:r>
      <w:r>
        <w:rPr>
          <w:rFonts w:ascii="Arial" w:eastAsia="Arial" w:hAnsi="Arial" w:cs="Arial"/>
          <w:i/>
          <w:iCs/>
        </w:rPr>
        <w:t>Time-</w:t>
      </w:r>
      <w:proofErr w:type="spellStart"/>
      <w:r>
        <w:rPr>
          <w:rFonts w:ascii="Arial" w:eastAsia="Arial" w:hAnsi="Arial" w:cs="Arial"/>
          <w:i/>
          <w:iCs/>
        </w:rPr>
        <w:t>on</w:t>
      </w:r>
      <w:proofErr w:type="spellEnd"/>
      <w:r>
        <w:rPr>
          <w:rFonts w:ascii="Arial" w:eastAsia="Arial" w:hAnsi="Arial" w:cs="Arial"/>
          <w:i/>
          <w:iCs/>
        </w:rPr>
        <w:t>-</w:t>
      </w:r>
      <w:proofErr w:type="spellStart"/>
      <w:r>
        <w:rPr>
          <w:rFonts w:ascii="Arial" w:eastAsia="Arial" w:hAnsi="Arial" w:cs="Arial"/>
          <w:i/>
          <w:iCs/>
        </w:rPr>
        <w:t>Task</w:t>
      </w:r>
      <w:proofErr w:type="spellEnd"/>
      <w:r>
        <w:rPr>
          <w:rFonts w:ascii="Arial" w:eastAsia="Arial" w:hAnsi="Arial" w:cs="Arial"/>
        </w:rPr>
        <w:t>).</w:t>
      </w:r>
    </w:p>
    <w:p w14:paraId="39D9DBBD" w14:textId="77777777" w:rsidR="001A718B" w:rsidRDefault="00000000">
      <w:pPr>
        <w:numPr>
          <w:ilvl w:val="0"/>
          <w:numId w:val="3"/>
        </w:numPr>
        <w:spacing w:after="240" w:line="360" w:lineRule="auto"/>
        <w:rPr>
          <w:rFonts w:ascii="Arial" w:eastAsia="Arial" w:hAnsi="Arial" w:cs="Arial"/>
        </w:rPr>
      </w:pPr>
      <w:r>
        <w:rPr>
          <w:rFonts w:ascii="Arial" w:eastAsia="Arial" w:hAnsi="Arial" w:cs="Arial"/>
          <w:b/>
          <w:bCs/>
        </w:rPr>
        <w:t>Gestionar proyectos informáticos</w:t>
      </w:r>
      <w:r>
        <w:rPr>
          <w:rFonts w:ascii="Arial" w:eastAsia="Arial" w:hAnsi="Arial" w:cs="Arial"/>
        </w:rPr>
        <w:t>, ofreciendo alternativas para la toma de decisiones. Se concreta en la aplicación de Scrum + CRISP-DM, la planificación por sprints, la definición de roles y el control de riesgos.</w:t>
      </w:r>
    </w:p>
    <w:p w14:paraId="75CFA877" w14:textId="77777777" w:rsidR="001A718B" w:rsidRDefault="001A718B">
      <w:pPr>
        <w:pStyle w:val="Ttulo2"/>
        <w:spacing w:line="360" w:lineRule="auto"/>
        <w:rPr>
          <w:rFonts w:ascii="Arial" w:eastAsia="Arial" w:hAnsi="Arial" w:cs="Arial"/>
          <w:sz w:val="22"/>
          <w:szCs w:val="22"/>
        </w:rPr>
      </w:pPr>
    </w:p>
    <w:p w14:paraId="3A7ED005" w14:textId="77777777" w:rsidR="001A718B" w:rsidRDefault="00000000">
      <w:pPr>
        <w:spacing w:line="360" w:lineRule="auto"/>
        <w:rPr>
          <w:rFonts w:ascii="Arial" w:eastAsia="Arial" w:hAnsi="Arial" w:cs="Arial"/>
        </w:rPr>
      </w:pPr>
      <w:r>
        <w:br w:type="page"/>
      </w:r>
    </w:p>
    <w:p w14:paraId="2DFF3426" w14:textId="77777777" w:rsidR="001A718B" w:rsidRDefault="00000000">
      <w:pPr>
        <w:pStyle w:val="Ttulo2"/>
        <w:spacing w:line="360" w:lineRule="auto"/>
        <w:rPr>
          <w:rFonts w:ascii="Arial" w:eastAsia="Arial" w:hAnsi="Arial" w:cs="Arial"/>
          <w:sz w:val="22"/>
          <w:szCs w:val="22"/>
        </w:rPr>
      </w:pPr>
      <w:bookmarkStart w:id="3" w:name="_heading=h.soa9sadfe7b9" w:colFirst="0" w:colLast="0"/>
      <w:bookmarkEnd w:id="3"/>
      <w:r>
        <w:rPr>
          <w:rFonts w:ascii="Arial" w:eastAsia="Arial" w:hAnsi="Arial" w:cs="Arial"/>
          <w:sz w:val="22"/>
          <w:szCs w:val="22"/>
        </w:rPr>
        <w:lastRenderedPageBreak/>
        <w:t>4. Relación del proyecto APT con los intereses profesionales</w:t>
      </w:r>
    </w:p>
    <w:p w14:paraId="32805199" w14:textId="77777777" w:rsidR="001A718B" w:rsidRDefault="00000000">
      <w:pPr>
        <w:spacing w:before="240" w:after="240" w:line="360" w:lineRule="auto"/>
        <w:rPr>
          <w:rFonts w:ascii="Arial" w:eastAsia="Arial" w:hAnsi="Arial" w:cs="Arial"/>
        </w:rPr>
      </w:pPr>
      <w:r>
        <w:rPr>
          <w:rFonts w:ascii="Arial" w:eastAsia="Arial" w:hAnsi="Arial" w:cs="Arial"/>
        </w:rPr>
        <w:t>Como equipo de tres estudiantes de Ingeniería en Informática, nuestros intereses profesionales convergen en tres ejes: desarrollo de software, ciencia de datos e inteligencia artificial, y gestión de proyectos tecnológicos.</w:t>
      </w:r>
    </w:p>
    <w:p w14:paraId="7FC73278" w14:textId="77777777" w:rsidR="001A718B" w:rsidRDefault="00000000">
      <w:pPr>
        <w:spacing w:before="240" w:after="240" w:line="360" w:lineRule="auto"/>
        <w:rPr>
          <w:rFonts w:ascii="Arial" w:eastAsia="Arial" w:hAnsi="Arial" w:cs="Arial"/>
        </w:rPr>
      </w:pPr>
      <w:r>
        <w:rPr>
          <w:rFonts w:ascii="Arial" w:eastAsia="Arial" w:hAnsi="Arial" w:cs="Arial"/>
        </w:rPr>
        <w:t xml:space="preserve">Ticki-TI nos permite materializar estos intereses de forma integral. Por un lado, trabajamos con un problema de negocio real de Netmetrix, lo que nos obliga a traducir necesidades operativas en requerimientos técnicos medibles. Por otro lado, diseñamos una arquitectura completa que combina extracción de texto desde imágenes, procesamiento de lenguaje natural, anonimización ética de datos y una interfaz usable bajo el paradigma </w:t>
      </w:r>
      <w:r>
        <w:rPr>
          <w:rFonts w:ascii="Arial" w:eastAsia="Arial" w:hAnsi="Arial" w:cs="Arial"/>
          <w:i/>
          <w:iCs/>
        </w:rPr>
        <w:t>Human-in-the-loop</w:t>
      </w:r>
      <w:r>
        <w:rPr>
          <w:rFonts w:ascii="Arial" w:eastAsia="Arial" w:hAnsi="Arial" w:cs="Arial"/>
        </w:rPr>
        <w:t>.</w:t>
      </w:r>
    </w:p>
    <w:p w14:paraId="17E82845" w14:textId="77777777" w:rsidR="001A718B" w:rsidRDefault="00000000">
      <w:pPr>
        <w:spacing w:before="240" w:after="240" w:line="360" w:lineRule="auto"/>
        <w:rPr>
          <w:rFonts w:ascii="Arial" w:eastAsia="Arial" w:hAnsi="Arial" w:cs="Arial"/>
        </w:rPr>
      </w:pPr>
      <w:r>
        <w:rPr>
          <w:rFonts w:ascii="Arial" w:eastAsia="Arial" w:hAnsi="Arial" w:cs="Arial"/>
        </w:rPr>
        <w:t>El uso de Streamlit como framework de despliegue nos resulta especialmente atractivo, ya que permite construir aplicaciones de Machine Learning interactivas sin desconectarnos del ecosistema Python. Asimismo, el diseño del modelo de datos orientado a reentrenamiento y auditoría refleja nuestra convicción de que un sistema de IA debe ser transparente, controlable y mejorable en el tiempo.</w:t>
      </w:r>
    </w:p>
    <w:p w14:paraId="405DB084" w14:textId="77777777" w:rsidR="001A718B" w:rsidRDefault="00000000">
      <w:pPr>
        <w:spacing w:before="240" w:after="240" w:line="360" w:lineRule="auto"/>
        <w:rPr>
          <w:rFonts w:ascii="Arial" w:eastAsia="Arial" w:hAnsi="Arial" w:cs="Arial"/>
        </w:rPr>
      </w:pPr>
      <w:r>
        <w:rPr>
          <w:rFonts w:ascii="Arial" w:eastAsia="Arial" w:hAnsi="Arial" w:cs="Arial"/>
        </w:rPr>
        <w:t>Este proyecto nos otorga experiencia empírica resolviendo un cuello de botella organizacional real, equilibrando precisión algorítmica con usabilidad y cumplimiento normativo, y generando un portafolio técnico competitivo orientado a soluciones de valor para la industria.</w:t>
      </w:r>
    </w:p>
    <w:p w14:paraId="65497C70" w14:textId="77777777" w:rsidR="001A718B" w:rsidRDefault="001A718B">
      <w:pPr>
        <w:spacing w:line="360" w:lineRule="auto"/>
        <w:rPr>
          <w:rFonts w:ascii="Arial" w:eastAsia="Arial" w:hAnsi="Arial" w:cs="Arial"/>
        </w:rPr>
      </w:pPr>
    </w:p>
    <w:p w14:paraId="4F37AF46" w14:textId="77777777" w:rsidR="001A718B" w:rsidRDefault="001A718B">
      <w:pPr>
        <w:pStyle w:val="Ttulo2"/>
        <w:spacing w:line="360" w:lineRule="auto"/>
        <w:rPr>
          <w:rFonts w:ascii="Arial" w:eastAsia="Arial" w:hAnsi="Arial" w:cs="Arial"/>
          <w:sz w:val="22"/>
          <w:szCs w:val="22"/>
        </w:rPr>
      </w:pPr>
    </w:p>
    <w:p w14:paraId="264C016C" w14:textId="77777777" w:rsidR="001A718B" w:rsidRDefault="00000000">
      <w:pPr>
        <w:spacing w:line="360" w:lineRule="auto"/>
        <w:rPr>
          <w:rFonts w:ascii="Arial" w:eastAsia="Arial" w:hAnsi="Arial" w:cs="Arial"/>
        </w:rPr>
      </w:pPr>
      <w:r>
        <w:br w:type="page"/>
      </w:r>
    </w:p>
    <w:p w14:paraId="4CDF62C7" w14:textId="77777777" w:rsidR="001A718B" w:rsidRDefault="00000000">
      <w:pPr>
        <w:pStyle w:val="Ttulo2"/>
        <w:spacing w:line="360" w:lineRule="auto"/>
        <w:rPr>
          <w:rFonts w:ascii="Arial" w:eastAsia="Arial" w:hAnsi="Arial" w:cs="Arial"/>
          <w:sz w:val="22"/>
          <w:szCs w:val="22"/>
        </w:rPr>
      </w:pPr>
      <w:bookmarkStart w:id="4" w:name="_heading=h.siho93tqew77" w:colFirst="0" w:colLast="0"/>
      <w:bookmarkEnd w:id="4"/>
      <w:r>
        <w:rPr>
          <w:rFonts w:ascii="Arial" w:eastAsia="Arial" w:hAnsi="Arial" w:cs="Arial"/>
          <w:sz w:val="22"/>
          <w:szCs w:val="22"/>
        </w:rPr>
        <w:lastRenderedPageBreak/>
        <w:t>5. Argumento sobre la factibilidad del proyecto de la asignatura</w:t>
      </w:r>
    </w:p>
    <w:p w14:paraId="30DD3E44" w14:textId="77777777" w:rsidR="001A718B" w:rsidRDefault="00000000">
      <w:pPr>
        <w:spacing w:before="240" w:after="240" w:line="360" w:lineRule="auto"/>
        <w:rPr>
          <w:rFonts w:ascii="Arial" w:eastAsia="Arial" w:hAnsi="Arial" w:cs="Arial"/>
        </w:rPr>
      </w:pPr>
      <w:r>
        <w:rPr>
          <w:rFonts w:ascii="Arial" w:eastAsia="Arial" w:hAnsi="Arial" w:cs="Arial"/>
        </w:rPr>
        <w:t xml:space="preserve">El desarrollo de Ticki-TI es factible técnica, temporal y organizacionalmente dentro del marco de la asignatura </w:t>
      </w:r>
      <w:proofErr w:type="spellStart"/>
      <w:r>
        <w:rPr>
          <w:rFonts w:ascii="Arial" w:eastAsia="Arial" w:hAnsi="Arial" w:cs="Arial"/>
        </w:rPr>
        <w:t>Capstone</w:t>
      </w:r>
      <w:proofErr w:type="spellEnd"/>
      <w:r>
        <w:rPr>
          <w:rFonts w:ascii="Arial" w:eastAsia="Arial" w:hAnsi="Arial" w:cs="Arial"/>
        </w:rPr>
        <w:t>.</w:t>
      </w:r>
    </w:p>
    <w:p w14:paraId="32AA859B" w14:textId="77777777" w:rsidR="001A718B" w:rsidRDefault="00000000">
      <w:pPr>
        <w:spacing w:before="240" w:after="240" w:line="360" w:lineRule="auto"/>
        <w:rPr>
          <w:rFonts w:ascii="Arial" w:eastAsia="Arial" w:hAnsi="Arial" w:cs="Arial"/>
        </w:rPr>
      </w:pPr>
      <w:r>
        <w:rPr>
          <w:rFonts w:ascii="Arial" w:eastAsia="Arial" w:hAnsi="Arial" w:cs="Arial"/>
        </w:rPr>
        <w:t>Desde el punto de vista temporal, se cuenta con un semestre de aproximadamente 18 semanas (agosto a diciembre 2026), estructurado en hitos claros de evaluación. La planificación se organiza en seis sprints (Sprint 0 de definición + cinco sprints de desarrollo), con un total estimado de 109 puntos de esfuerzo, lo que permite un avance iterativo y controlado.</w:t>
      </w:r>
    </w:p>
    <w:p w14:paraId="52D4490C" w14:textId="77777777" w:rsidR="001A718B" w:rsidRDefault="00000000">
      <w:pPr>
        <w:spacing w:before="240" w:after="240" w:line="360" w:lineRule="auto"/>
        <w:rPr>
          <w:rFonts w:ascii="Arial" w:eastAsia="Arial" w:hAnsi="Arial" w:cs="Arial"/>
        </w:rPr>
      </w:pPr>
      <w:r>
        <w:rPr>
          <w:rFonts w:ascii="Arial" w:eastAsia="Arial" w:hAnsi="Arial" w:cs="Arial"/>
        </w:rPr>
        <w:t>En cuanto a los recursos, el proyecto depende de elementos accesibles:</w:t>
      </w:r>
    </w:p>
    <w:p w14:paraId="350344FA" w14:textId="77777777" w:rsidR="001A718B" w:rsidRDefault="00000000">
      <w:pPr>
        <w:numPr>
          <w:ilvl w:val="0"/>
          <w:numId w:val="2"/>
        </w:numPr>
        <w:spacing w:before="240" w:after="0" w:line="360" w:lineRule="auto"/>
        <w:rPr>
          <w:rFonts w:ascii="Arial" w:eastAsia="Arial" w:hAnsi="Arial" w:cs="Arial"/>
        </w:rPr>
      </w:pPr>
      <w:r>
        <w:rPr>
          <w:rFonts w:ascii="Arial" w:eastAsia="Arial" w:hAnsi="Arial" w:cs="Arial"/>
        </w:rPr>
        <w:t>Equipos de cómputo personales.</w:t>
      </w:r>
    </w:p>
    <w:p w14:paraId="5979E8B6" w14:textId="77777777" w:rsidR="001A718B" w:rsidRDefault="00000000">
      <w:pPr>
        <w:numPr>
          <w:ilvl w:val="0"/>
          <w:numId w:val="2"/>
        </w:numPr>
        <w:spacing w:after="0" w:line="360" w:lineRule="auto"/>
        <w:rPr>
          <w:rFonts w:ascii="Arial" w:eastAsia="Arial" w:hAnsi="Arial" w:cs="Arial"/>
        </w:rPr>
      </w:pPr>
      <w:r>
        <w:rPr>
          <w:rFonts w:ascii="Arial" w:eastAsia="Arial" w:hAnsi="Arial" w:cs="Arial"/>
        </w:rPr>
        <w:t>Librerías de código abierto (Streamlit, NLTK, herramientas de OCR y modelos de clasificación de texto).</w:t>
      </w:r>
    </w:p>
    <w:p w14:paraId="34E1694E" w14:textId="77777777" w:rsidR="001A718B" w:rsidRDefault="00000000">
      <w:pPr>
        <w:numPr>
          <w:ilvl w:val="0"/>
          <w:numId w:val="2"/>
        </w:numPr>
        <w:spacing w:after="240" w:line="360" w:lineRule="auto"/>
        <w:rPr>
          <w:rFonts w:ascii="Arial" w:eastAsia="Arial" w:hAnsi="Arial" w:cs="Arial"/>
        </w:rPr>
      </w:pPr>
      <w:r>
        <w:rPr>
          <w:rFonts w:ascii="Arial" w:eastAsia="Arial" w:hAnsi="Arial" w:cs="Arial"/>
        </w:rPr>
        <w:t>Exportación autorizada del historial de requerimientos de Netmetrix en formato Excel (2025 – 31 de agosto de 2026), que ya se encuentra disponible y contiene los campos de descripción y prioridad necesarios para el entrenamiento.</w:t>
      </w:r>
    </w:p>
    <w:p w14:paraId="4691B159" w14:textId="77777777" w:rsidR="001A718B" w:rsidRDefault="00000000">
      <w:pPr>
        <w:spacing w:before="240" w:after="240" w:line="360" w:lineRule="auto"/>
        <w:rPr>
          <w:rFonts w:ascii="Arial" w:eastAsia="Arial" w:hAnsi="Arial" w:cs="Arial"/>
        </w:rPr>
      </w:pPr>
      <w:r>
        <w:rPr>
          <w:rFonts w:ascii="Arial" w:eastAsia="Arial" w:hAnsi="Arial" w:cs="Arial"/>
        </w:rPr>
        <w:t>El principal desafío técnico —la ausencia de la columna “Área” en los datos históricos— se transforma en el valor agregado del proyecto: el equipo realizará el etiquetado asistido utilizando el catálogo interno de Netmetrix. Las áreas con frecuencia extremadamente baja serán fusionadas o excluidas del modelo inicial de forma justificada, garantizando representación estadística suficiente.</w:t>
      </w:r>
    </w:p>
    <w:p w14:paraId="5E4D7F44" w14:textId="77777777" w:rsidR="001A718B" w:rsidRDefault="00000000">
      <w:pPr>
        <w:spacing w:before="240" w:after="240" w:line="360" w:lineRule="auto"/>
        <w:rPr>
          <w:rFonts w:ascii="Arial" w:eastAsia="Arial" w:hAnsi="Arial" w:cs="Arial"/>
        </w:rPr>
      </w:pPr>
      <w:r>
        <w:rPr>
          <w:rFonts w:ascii="Arial" w:eastAsia="Arial" w:hAnsi="Arial" w:cs="Arial"/>
        </w:rPr>
        <w:t>Los riesgos identificados (calidad variable de las imágenes de entrada y cumplimiento estricto de la Ley Nº 21.719) cuentan con mitigaciones concretas: preprocesamiento de imágenes antes del OCR y un algoritmo de enmascaramiento basado en expresiones regulares y reconocimiento de entidades nombradas (NER) que actúa como filtro obligatorio.</w:t>
      </w:r>
    </w:p>
    <w:p w14:paraId="5E184F09" w14:textId="77777777" w:rsidR="001A718B" w:rsidRDefault="00000000">
      <w:pPr>
        <w:spacing w:before="240" w:after="240" w:line="360" w:lineRule="auto"/>
        <w:rPr>
          <w:rFonts w:ascii="Arial" w:eastAsia="Arial" w:hAnsi="Arial" w:cs="Arial"/>
        </w:rPr>
      </w:pPr>
      <w:r>
        <w:rPr>
          <w:rFonts w:ascii="Arial" w:eastAsia="Arial" w:hAnsi="Arial" w:cs="Arial"/>
        </w:rPr>
        <w:t>La distribución de roles (Ingeniero de Datos y ML, Desarrollador Backend y Seguridad, Desarrollador Frontend y Scrum Master) aprovecha las fortalezas complementarias del equipo de tres personas, asegurando cobertura completa del ciclo de desarrollo.</w:t>
      </w:r>
    </w:p>
    <w:p w14:paraId="659CE55B" w14:textId="77777777" w:rsidR="001A718B" w:rsidRDefault="001A718B">
      <w:pPr>
        <w:spacing w:line="360" w:lineRule="auto"/>
        <w:rPr>
          <w:rFonts w:ascii="Arial" w:eastAsia="Arial" w:hAnsi="Arial" w:cs="Arial"/>
        </w:rPr>
      </w:pPr>
    </w:p>
    <w:p w14:paraId="4F17D323" w14:textId="77777777" w:rsidR="001A718B" w:rsidRDefault="00000000">
      <w:pPr>
        <w:pStyle w:val="Ttulo2"/>
        <w:spacing w:line="360" w:lineRule="auto"/>
        <w:rPr>
          <w:rFonts w:ascii="Arial" w:eastAsia="Arial" w:hAnsi="Arial" w:cs="Arial"/>
          <w:sz w:val="22"/>
          <w:szCs w:val="22"/>
        </w:rPr>
      </w:pPr>
      <w:bookmarkStart w:id="5" w:name="_heading=h.jgzxtitk6l79" w:colFirst="0" w:colLast="0"/>
      <w:bookmarkEnd w:id="5"/>
      <w:r>
        <w:rPr>
          <w:rFonts w:ascii="Arial" w:eastAsia="Arial" w:hAnsi="Arial" w:cs="Arial"/>
          <w:sz w:val="22"/>
          <w:szCs w:val="22"/>
        </w:rPr>
        <w:lastRenderedPageBreak/>
        <w:t>6. Conclusión</w:t>
      </w:r>
    </w:p>
    <w:p w14:paraId="600BC1F3" w14:textId="77777777" w:rsidR="001A718B" w:rsidRDefault="00000000">
      <w:pPr>
        <w:spacing w:before="240" w:after="240" w:line="360" w:lineRule="auto"/>
        <w:rPr>
          <w:rFonts w:ascii="Arial" w:eastAsia="Arial" w:hAnsi="Arial" w:cs="Arial"/>
        </w:rPr>
      </w:pPr>
      <w:r>
        <w:rPr>
          <w:rFonts w:ascii="Arial" w:eastAsia="Arial" w:hAnsi="Arial" w:cs="Arial"/>
        </w:rPr>
        <w:t>Ticki-TI representa una solución integral y contextualizada a un problema real de ineficiencia operativa en la mesa de ayuda de Netmetrix. Al combinar extracción de texto desde imágenes (OCR), anonimización automática conforme a la Ley Nº 21.719, clasificación predictiva mediante NLP y un esquema de validación humana obligatoria, el sistema reduce la carga administrativa, mejora la precisión de la derivación y la prioridad, y genera trazabilidad auditable de cada gestión.</w:t>
      </w:r>
    </w:p>
    <w:p w14:paraId="3E1C781F" w14:textId="77777777" w:rsidR="001A718B" w:rsidRDefault="00000000">
      <w:pPr>
        <w:spacing w:before="240" w:after="240" w:line="360" w:lineRule="auto"/>
        <w:rPr>
          <w:rFonts w:ascii="Arial" w:eastAsia="Arial" w:hAnsi="Arial" w:cs="Arial"/>
        </w:rPr>
      </w:pPr>
      <w:r>
        <w:rPr>
          <w:rFonts w:ascii="Arial" w:eastAsia="Arial" w:hAnsi="Arial" w:cs="Arial"/>
        </w:rPr>
        <w:t>Metodológicamente, la adopción de un enfoque híbrido CRISP-DM + Scrum permite gobernar tanto el ciclo de vida de los datos y del modelo como el desarrollo iterativo de la interfaz web, asegurando entregas funcionales dentro de los plazos académicos.</w:t>
      </w:r>
    </w:p>
    <w:p w14:paraId="653905DE" w14:textId="77777777" w:rsidR="001A718B" w:rsidRDefault="00000000">
      <w:pPr>
        <w:spacing w:before="240" w:after="240" w:line="360" w:lineRule="auto"/>
        <w:rPr>
          <w:rFonts w:ascii="Arial" w:eastAsia="Arial" w:hAnsi="Arial" w:cs="Arial"/>
        </w:rPr>
      </w:pPr>
      <w:r>
        <w:rPr>
          <w:rFonts w:ascii="Arial" w:eastAsia="Arial" w:hAnsi="Arial" w:cs="Arial"/>
        </w:rPr>
        <w:t>Desde la perspectiva formativa, el proyecto consolida de manera transversal las competencias del perfil de egreso: desarrollo de software, construcción de modelos de datos, ciencia de datos e inteligencia artificial, pruebas de certificación y gestión de proyectos informáticos. De esta forma, Ticki-TI no solo aporta valor concreto a Netmetrix, sino que constituye una demostración tangible de la capacidad del equipo para transformar un problema organizacional en una solución tecnológica completa, ética y orientada a resultados.</w:t>
      </w:r>
    </w:p>
    <w:p w14:paraId="57A2EFDC" w14:textId="77777777" w:rsidR="001A718B" w:rsidRDefault="001A718B">
      <w:pPr>
        <w:spacing w:before="200" w:after="0" w:line="360" w:lineRule="auto"/>
        <w:rPr>
          <w:rFonts w:ascii="Arial" w:eastAsia="Arial" w:hAnsi="Arial" w:cs="Arial"/>
        </w:rPr>
      </w:pPr>
    </w:p>
    <w:p w14:paraId="20D8BF70" w14:textId="77777777" w:rsidR="001A718B" w:rsidRDefault="00000000">
      <w:pPr>
        <w:spacing w:line="360" w:lineRule="auto"/>
        <w:rPr>
          <w:rFonts w:ascii="Arial" w:eastAsia="Arial" w:hAnsi="Arial" w:cs="Arial"/>
        </w:rPr>
      </w:pPr>
      <w:r>
        <w:br w:type="page"/>
      </w:r>
    </w:p>
    <w:p w14:paraId="3634F079" w14:textId="77777777" w:rsidR="001A718B" w:rsidRDefault="00000000">
      <w:pPr>
        <w:pStyle w:val="Ttulo2"/>
        <w:spacing w:line="360" w:lineRule="auto"/>
        <w:rPr>
          <w:rFonts w:ascii="Arial" w:eastAsia="Arial" w:hAnsi="Arial" w:cs="Arial"/>
          <w:sz w:val="22"/>
          <w:szCs w:val="22"/>
        </w:rPr>
      </w:pPr>
      <w:bookmarkStart w:id="6" w:name="_heading=h.5136rhcqaogk" w:colFirst="0" w:colLast="0"/>
      <w:bookmarkEnd w:id="6"/>
      <w:r>
        <w:rPr>
          <w:rFonts w:ascii="Arial" w:eastAsia="Arial" w:hAnsi="Arial" w:cs="Arial"/>
          <w:sz w:val="22"/>
          <w:szCs w:val="22"/>
        </w:rPr>
        <w:lastRenderedPageBreak/>
        <w:t>7. Reflexión</w:t>
      </w:r>
    </w:p>
    <w:p w14:paraId="27FA220F" w14:textId="77777777" w:rsidR="001A718B" w:rsidRDefault="00000000">
      <w:pPr>
        <w:spacing w:before="240" w:after="240" w:line="360" w:lineRule="auto"/>
        <w:rPr>
          <w:rFonts w:ascii="Arial" w:eastAsia="Arial" w:hAnsi="Arial" w:cs="Arial"/>
        </w:rPr>
      </w:pPr>
      <w:r>
        <w:rPr>
          <w:rFonts w:ascii="Arial" w:eastAsia="Arial" w:hAnsi="Arial" w:cs="Arial"/>
        </w:rPr>
        <w:t>El proceso de definición y estructuración de Ticki-TI ha sido una experiencia formativa de alto valor para el equipo. Nos obligó a salir de la abstracción académica y a dialogar con una problemática real de una empresa de servicios TI, dimensionando tiempos, fricciones operativas, riesgos normativos y expectativas de los usuarios finales.</w:t>
      </w:r>
    </w:p>
    <w:p w14:paraId="41F95398" w14:textId="77777777" w:rsidR="001A718B" w:rsidRDefault="00000000">
      <w:pPr>
        <w:spacing w:before="240" w:after="240" w:line="360" w:lineRule="auto"/>
        <w:rPr>
          <w:rFonts w:ascii="Arial" w:eastAsia="Arial" w:hAnsi="Arial" w:cs="Arial"/>
        </w:rPr>
      </w:pPr>
      <w:r>
        <w:rPr>
          <w:rFonts w:ascii="Arial" w:eastAsia="Arial" w:hAnsi="Arial" w:cs="Arial"/>
        </w:rPr>
        <w:t xml:space="preserve">Durante esta etapa comprendimos con mayor profundidad la importancia del tratamiento ético de los datos —especialmente frente a la nueva Ley Nº 21.719— y la necesidad de mantener al ser humano en el centro de las decisiones algorítmicas a través del </w:t>
      </w:r>
      <w:r>
        <w:rPr>
          <w:rFonts w:ascii="Arial" w:eastAsia="Arial" w:hAnsi="Arial" w:cs="Arial"/>
          <w:i/>
          <w:iCs/>
        </w:rPr>
        <w:t>Human-in-the-loop</w:t>
      </w:r>
      <w:r>
        <w:rPr>
          <w:rFonts w:ascii="Arial" w:eastAsia="Arial" w:hAnsi="Arial" w:cs="Arial"/>
        </w:rPr>
        <w:t>. También valoramos la utilidad de combinar metodologías de ciencia de datos (CRISP-DM) con marcos ágiles de desarrollo (Scrum) para enfrentar la incertidumbre inherente a los proyectos de Machine Learning.</w:t>
      </w:r>
    </w:p>
    <w:p w14:paraId="1508C643" w14:textId="77777777" w:rsidR="001A718B" w:rsidRDefault="00000000">
      <w:pPr>
        <w:spacing w:before="240" w:after="240" w:line="360" w:lineRule="auto"/>
        <w:rPr>
          <w:rFonts w:ascii="Arial" w:eastAsia="Arial" w:hAnsi="Arial" w:cs="Arial"/>
        </w:rPr>
      </w:pPr>
      <w:r>
        <w:rPr>
          <w:rFonts w:ascii="Arial" w:eastAsia="Arial" w:hAnsi="Arial" w:cs="Arial"/>
        </w:rPr>
        <w:t>Como equipo, este trabajo nos ha permitido alinear nuestros intereses en programación, ciencia de datos e inteligencia artificial con un propósito concreto: construir una herramienta que realmente facilite el trabajo de los técnicos de soporte. Nos sentimos organizados, con roles claros, un plan realista y una motivación compartida para enfrentar con rigor y compromiso la fase de desarrollo e implementación del sistema.</w:t>
      </w:r>
    </w:p>
    <w:p w14:paraId="0CAABC3A" w14:textId="77777777" w:rsidR="001A718B" w:rsidRDefault="001A718B"/>
    <w:sectPr w:rsidR="001A718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E0C743A-E811-4BA4-80A8-55893292F001}"/>
    <w:embedBold r:id="rId2" w:fontKey="{18DE1368-7735-4EF7-BAFE-B4D2EAAF7D6A}"/>
    <w:embedItalic r:id="rId3" w:fontKey="{39EEA367-D663-44D7-970A-794A3F4B9482}"/>
    <w:embedBoldItalic r:id="rId4" w:fontKey="{3FC97F00-2CC4-4FC5-AB02-90F3EC61FB9B}"/>
  </w:font>
  <w:font w:name="Calibri">
    <w:panose1 w:val="020F0502020204030204"/>
    <w:charset w:val="00"/>
    <w:family w:val="swiss"/>
    <w:pitch w:val="variable"/>
    <w:sig w:usb0="E4002EFF" w:usb1="C200247B" w:usb2="00000009" w:usb3="00000000" w:csb0="000001FF" w:csb1="00000000"/>
    <w:embedRegular r:id="rId5" w:fontKey="{B43A9A16-15F6-4834-BD02-DCFCDB2052A7}"/>
    <w:embedBold r:id="rId6" w:fontKey="{7679B5FC-C131-42C9-979D-D4A608653228}"/>
    <w:embedItalic r:id="rId7" w:fontKey="{C9CB6A80-F1F1-4D7E-AA38-A5F72DF035E2}"/>
    <w:embedBoldItalic r:id="rId8" w:fontKey="{64B27A11-F846-4947-BFDD-E5FFC7966EAD}"/>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575E"/>
    <w:multiLevelType w:val="multilevel"/>
    <w:tmpl w:val="EF3C8C6A"/>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DB6E22"/>
    <w:multiLevelType w:val="multilevel"/>
    <w:tmpl w:val="B69C16F4"/>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2FF5828"/>
    <w:multiLevelType w:val="multilevel"/>
    <w:tmpl w:val="CC6C0914"/>
    <w:lvl w:ilvl="0">
      <w:start w:val="1"/>
      <w:numFmt w:val="decimal"/>
      <w:pStyle w:val="Listaconvietas"/>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31610AE"/>
    <w:multiLevelType w:val="multilevel"/>
    <w:tmpl w:val="154C68FC"/>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547579">
    <w:abstractNumId w:val="2"/>
  </w:num>
  <w:num w:numId="2" w16cid:durableId="601375518">
    <w:abstractNumId w:val="3"/>
  </w:num>
  <w:num w:numId="3" w16cid:durableId="676083574">
    <w:abstractNumId w:val="0"/>
  </w:num>
  <w:num w:numId="4" w16cid:durableId="107625270">
    <w:abstractNumId w:val="1"/>
  </w:num>
  <w:num w:numId="5" w16cid:durableId="1063483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9240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18B"/>
    <w:rsid w:val="001A718B"/>
    <w:rsid w:val="00451B11"/>
    <w:rsid w:val="008311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C097"/>
  <w15:docId w15:val="{EDA903E7-E72E-4C85-A4E4-F42AC987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uiPriority w:val="39"/>
    <w:unhideWhenUsed/>
    <w:rsid w:val="2B99713C"/>
    <w:pPr>
      <w:spacing w:after="100"/>
    </w:pPr>
  </w:style>
  <w:style w:type="character" w:styleId="Hipervnculo">
    <w:name w:val="Hyperlink"/>
    <w:basedOn w:val="Fuentedeprrafopredeter"/>
    <w:uiPriority w:val="99"/>
    <w:unhideWhenUsed/>
    <w:rsid w:val="2B99713C"/>
    <w:rPr>
      <w:color w:val="0000FF"/>
      <w:u w:val="single"/>
    </w:rPr>
  </w:style>
  <w:style w:type="paragraph" w:styleId="TDC2">
    <w:name w:val="toc 2"/>
    <w:basedOn w:val="Normal"/>
    <w:next w:val="Normal"/>
    <w:uiPriority w:val="39"/>
    <w:unhideWhenUsed/>
    <w:rsid w:val="2B99713C"/>
    <w:pPr>
      <w:spacing w:after="100"/>
      <w:ind w:left="220"/>
    </w:p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SCOw+bbYJje0nPcCDxGdYK2YQ==">CgMxLjAyDmguazdxcmE4a2dxcHZiMg5oLm00MGU2eTl1cm5hMDIOaC5ta2U3MzFtNGwxbHMyDmguc29hOXNhZGZlN2I5Mg5oLnNpaG85M3RxZXc3NzIOaC5qZ3p4dGl0azZsNzkyDmguNTEzNnJoY3Fhb2drOAByITFMYnV4ejNOZmI0Z0xCbnBoYk5WMXMxd2Y1VHdqZUNjaQ==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1861</Words>
  <Characters>10241</Characters>
  <Application>Microsoft Office Word</Application>
  <DocSecurity>0</DocSecurity>
  <Lines>85</Lines>
  <Paragraphs>24</Paragraphs>
  <ScaleCrop>false</ScaleCrop>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Michel Kevin Lacourt Herrera</cp:lastModifiedBy>
  <cp:revision>2</cp:revision>
  <dcterms:created xsi:type="dcterms:W3CDTF">2013-12-23T23:15:00Z</dcterms:created>
  <dcterms:modified xsi:type="dcterms:W3CDTF">2026-09-05T02:10:00Z</dcterms:modified>
</cp:coreProperties>
</file>