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3877D" w14:textId="77777777" w:rsidR="00086720" w:rsidRDefault="00086720" w:rsidP="008B16BB">
      <w:bookmarkStart w:id="0" w:name="_Toc459888455"/>
      <w:bookmarkStart w:id="1" w:name="_GoBack"/>
      <w:bookmarkEnd w:id="1"/>
    </w:p>
    <w:bookmarkEnd w:id="0"/>
    <w:p w14:paraId="1BC18ECB" w14:textId="22AC86BF" w:rsidR="002D23D4" w:rsidRPr="00F44808" w:rsidRDefault="002D23D4" w:rsidP="002D23D4">
      <w:pPr>
        <w:pStyle w:val="TtuloApartado1sinnivel"/>
        <w:jc w:val="both"/>
        <w:rPr>
          <w:rFonts w:cs="Calibri"/>
        </w:rPr>
      </w:pPr>
      <w:r w:rsidRPr="00F44808">
        <w:rPr>
          <w:rFonts w:cs="Calibri"/>
        </w:rPr>
        <w:t xml:space="preserve">Actividad: </w:t>
      </w:r>
      <w:r w:rsidR="000F4397">
        <w:rPr>
          <w:rFonts w:cs="Calibri"/>
        </w:rPr>
        <w:t>Análisis exploratorio de datos</w:t>
      </w:r>
      <w:r w:rsidR="00E75C69">
        <w:rPr>
          <w:rFonts w:cs="Calibri"/>
        </w:rPr>
        <w:t xml:space="preserve"> y tratamiento de series temporales.</w:t>
      </w:r>
    </w:p>
    <w:p w14:paraId="6B8FC70D" w14:textId="77777777" w:rsidR="002D23D4" w:rsidRPr="00F44808" w:rsidRDefault="002D23D4" w:rsidP="002D23D4">
      <w:pPr>
        <w:rPr>
          <w:rFonts w:cs="Calibri"/>
        </w:rPr>
      </w:pPr>
    </w:p>
    <w:p w14:paraId="6725808E" w14:textId="3696C760" w:rsidR="00BF06B0" w:rsidRDefault="00BF06B0" w:rsidP="00F6719A">
      <w:r>
        <w:t>La base de datos Avocado prices (</w:t>
      </w:r>
      <w:hyperlink r:id="rId11" w:history="1">
        <w:r w:rsidRPr="00A139C5">
          <w:rPr>
            <w:rStyle w:val="Hipervnculo"/>
            <w:sz w:val="24"/>
          </w:rPr>
          <w:t>https://www.kaggle.com/timmate/avocado-prices-2020</w:t>
        </w:r>
      </w:hyperlink>
      <w:r>
        <w:t>) contiene datos del precio de distintos tipos de aguacate y del mercado donde se vende en Estados Unidos. Más concretamente, esta base está compuesta por un total de 13 variables:</w:t>
      </w:r>
    </w:p>
    <w:p w14:paraId="34CD7396" w14:textId="1859E822" w:rsidR="00BF06B0" w:rsidRDefault="00BF06B0" w:rsidP="00BF06B0">
      <w:pPr>
        <w:pStyle w:val="Prrafodelista"/>
        <w:numPr>
          <w:ilvl w:val="0"/>
          <w:numId w:val="27"/>
        </w:numPr>
      </w:pPr>
      <w:r>
        <w:t>Fecha (date). En frecuencia semanal desde inicios de 2015.</w:t>
      </w:r>
    </w:p>
    <w:p w14:paraId="3376B0BA" w14:textId="7363EDFF" w:rsidR="00BF06B0" w:rsidRDefault="00BF06B0" w:rsidP="00BF06B0">
      <w:pPr>
        <w:pStyle w:val="Prrafodelista"/>
        <w:numPr>
          <w:ilvl w:val="0"/>
          <w:numId w:val="27"/>
        </w:numPr>
      </w:pPr>
      <w:r>
        <w:t>Precio por unidad (average_price).</w:t>
      </w:r>
    </w:p>
    <w:p w14:paraId="2CBB00E7" w14:textId="433EC6F0" w:rsidR="00BF06B0" w:rsidRDefault="00BF06B0" w:rsidP="00BF06B0">
      <w:pPr>
        <w:pStyle w:val="Prrafodelista"/>
        <w:numPr>
          <w:ilvl w:val="0"/>
          <w:numId w:val="27"/>
        </w:numPr>
      </w:pPr>
      <w:r>
        <w:t>Volumen de ventas (total_volume).</w:t>
      </w:r>
    </w:p>
    <w:p w14:paraId="646D8B73" w14:textId="5BAE3337" w:rsidR="00BF06B0" w:rsidRDefault="00BF06B0" w:rsidP="00BF06B0">
      <w:pPr>
        <w:pStyle w:val="Prrafodelista"/>
        <w:numPr>
          <w:ilvl w:val="0"/>
          <w:numId w:val="27"/>
        </w:numPr>
      </w:pPr>
      <w:r>
        <w:t>Código de producto (4046,42254770).</w:t>
      </w:r>
    </w:p>
    <w:p w14:paraId="44EFAE41" w14:textId="0C074ADF" w:rsidR="00BF06B0" w:rsidRPr="00BF06B0" w:rsidRDefault="00BF06B0" w:rsidP="00BF06B0">
      <w:pPr>
        <w:pStyle w:val="Prrafodelista"/>
        <w:numPr>
          <w:ilvl w:val="0"/>
          <w:numId w:val="27"/>
        </w:numPr>
        <w:rPr>
          <w:lang w:val="en-US"/>
        </w:rPr>
      </w:pPr>
      <w:r w:rsidRPr="00BF06B0">
        <w:rPr>
          <w:lang w:val="en-US"/>
        </w:rPr>
        <w:t>Formato de ventas (total_bags, small_bags,large_bags,xlarge_bags).</w:t>
      </w:r>
    </w:p>
    <w:p w14:paraId="7C283B7A" w14:textId="74254207" w:rsidR="00BF06B0" w:rsidRDefault="00BF06B0" w:rsidP="00BF06B0">
      <w:pPr>
        <w:pStyle w:val="Prrafodelista"/>
        <w:numPr>
          <w:ilvl w:val="0"/>
          <w:numId w:val="27"/>
        </w:numPr>
      </w:pPr>
      <w:r w:rsidRPr="00BF06B0">
        <w:t>Tipo, orgánico o conventional (type</w:t>
      </w:r>
      <w:r>
        <w:t>)</w:t>
      </w:r>
    </w:p>
    <w:p w14:paraId="5462F3CA" w14:textId="72F83AAF" w:rsidR="00BF06B0" w:rsidRDefault="00BF06B0" w:rsidP="00BF06B0">
      <w:pPr>
        <w:pStyle w:val="Prrafodelista"/>
        <w:numPr>
          <w:ilvl w:val="0"/>
          <w:numId w:val="27"/>
        </w:numPr>
      </w:pPr>
      <w:r>
        <w:t>Año (year)</w:t>
      </w:r>
    </w:p>
    <w:p w14:paraId="37F03081" w14:textId="04306E46" w:rsidR="00BF06B0" w:rsidRPr="00BF06B0" w:rsidRDefault="00BF06B0" w:rsidP="00BF06B0">
      <w:pPr>
        <w:pStyle w:val="Prrafodelista"/>
        <w:numPr>
          <w:ilvl w:val="0"/>
          <w:numId w:val="27"/>
        </w:numPr>
      </w:pPr>
      <w:r>
        <w:t>Lugar de ventas (geography)</w:t>
      </w:r>
    </w:p>
    <w:p w14:paraId="265DF4E3" w14:textId="77777777" w:rsidR="00BF06B0" w:rsidRPr="00BF06B0" w:rsidRDefault="00BF06B0" w:rsidP="00F6719A"/>
    <w:p w14:paraId="58E6288D" w14:textId="77777777" w:rsidR="00157D18" w:rsidRDefault="00F6719A" w:rsidP="00157D18">
      <w:r w:rsidRPr="00D26DBD">
        <w:t>En un intento de aplicar las nuevas técnicas o herramientas anal</w:t>
      </w:r>
      <w:r>
        <w:t>íticas</w:t>
      </w:r>
      <w:r w:rsidRPr="00D26DBD">
        <w:t xml:space="preserve"> frente a la analítica tradicional de negocios, nos ha encargado</w:t>
      </w:r>
      <w:r>
        <w:t xml:space="preserve"> </w:t>
      </w:r>
      <w:r w:rsidR="00BF06B0">
        <w:t xml:space="preserve">realizar un pequeño análisis de dicha base de datos, así como la realización de una serie de ejercicios para </w:t>
      </w:r>
      <w:r w:rsidR="00157D18">
        <w:t>explorar la información existente en este conjunto de datos:</w:t>
      </w:r>
    </w:p>
    <w:p w14:paraId="159B63CF" w14:textId="77777777" w:rsidR="00157D18" w:rsidRDefault="00157D18" w:rsidP="00157D18"/>
    <w:p w14:paraId="72AE1CBD" w14:textId="12B3CAA5" w:rsidR="00384AC7" w:rsidRDefault="00D45A59" w:rsidP="00157D18">
      <w:pPr>
        <w:pStyle w:val="Prrafodelista"/>
        <w:numPr>
          <w:ilvl w:val="0"/>
          <w:numId w:val="25"/>
        </w:numPr>
        <w:rPr>
          <w:rFonts w:cs="Calibri"/>
        </w:rPr>
      </w:pPr>
      <w:r>
        <w:rPr>
          <w:rFonts w:cs="Calibri"/>
        </w:rPr>
        <w:t xml:space="preserve">¿De qué tipo de variables </w:t>
      </w:r>
      <w:r w:rsidR="003977FF">
        <w:rPr>
          <w:rFonts w:cs="Calibri"/>
        </w:rPr>
        <w:t>se compone mi base de datos?</w:t>
      </w:r>
      <w:r w:rsidR="00330C6A">
        <w:rPr>
          <w:rFonts w:cs="Calibri"/>
        </w:rPr>
        <w:t xml:space="preserve"> </w:t>
      </w:r>
      <w:r w:rsidR="00E75C69" w:rsidRPr="00330C6A">
        <w:rPr>
          <w:rFonts w:cs="Calibri"/>
        </w:rPr>
        <w:t xml:space="preserve">Realice un análisis exploratorio de las variables </w:t>
      </w:r>
      <w:r w:rsidR="00330C6A">
        <w:rPr>
          <w:rFonts w:cs="Calibri"/>
        </w:rPr>
        <w:t xml:space="preserve">numéricas </w:t>
      </w:r>
      <w:r w:rsidR="00E75C69" w:rsidRPr="00330C6A">
        <w:rPr>
          <w:rFonts w:cs="Calibri"/>
        </w:rPr>
        <w:t>(media, varianza, diagrama de cajas,</w:t>
      </w:r>
      <w:r w:rsidR="00157D18">
        <w:rPr>
          <w:rFonts w:cs="Calibri"/>
        </w:rPr>
        <w:t xml:space="preserve"> </w:t>
      </w:r>
      <w:r w:rsidR="00E75C69" w:rsidRPr="00330C6A">
        <w:rPr>
          <w:rFonts w:cs="Calibri"/>
        </w:rPr>
        <w:t>etc</w:t>
      </w:r>
      <w:r w:rsidR="00157D18">
        <w:rPr>
          <w:rFonts w:cs="Calibri"/>
        </w:rPr>
        <w:t xml:space="preserve">) </w:t>
      </w:r>
      <w:r w:rsidR="007A0290" w:rsidRPr="00330C6A">
        <w:rPr>
          <w:rFonts w:cs="Calibri"/>
        </w:rPr>
        <w:t>¿Qué conclusiones se pueden extraer de la muestra de datos?</w:t>
      </w:r>
    </w:p>
    <w:p w14:paraId="64EE97DE" w14:textId="23565A18" w:rsidR="00330C6A" w:rsidRPr="00330C6A" w:rsidRDefault="00330C6A" w:rsidP="00330C6A">
      <w:pPr>
        <w:pStyle w:val="Prrafodelista"/>
        <w:numPr>
          <w:ilvl w:val="0"/>
          <w:numId w:val="25"/>
        </w:numPr>
        <w:rPr>
          <w:rFonts w:cs="Calibri"/>
        </w:rPr>
      </w:pPr>
      <w:r>
        <w:rPr>
          <w:rFonts w:cs="Calibri"/>
        </w:rPr>
        <w:t xml:space="preserve">Extraiga de la base de datos </w:t>
      </w:r>
      <w:r w:rsidR="00157D18">
        <w:rPr>
          <w:rFonts w:cs="Calibri"/>
        </w:rPr>
        <w:t>el precio de venta</w:t>
      </w:r>
      <w:r w:rsidR="006E305C">
        <w:rPr>
          <w:rFonts w:cs="Calibri"/>
        </w:rPr>
        <w:t xml:space="preserve"> (la variable)</w:t>
      </w:r>
      <w:r w:rsidR="00157D18">
        <w:rPr>
          <w:rFonts w:cs="Calibri"/>
        </w:rPr>
        <w:t xml:space="preserve"> de los aguacates orgánicos vendidos en Albany</w:t>
      </w:r>
      <w:r w:rsidR="006E305C">
        <w:rPr>
          <w:rFonts w:cs="Calibri"/>
        </w:rPr>
        <w:t xml:space="preserve"> y de Boston.</w:t>
      </w:r>
    </w:p>
    <w:p w14:paraId="38062D24" w14:textId="77777777" w:rsidR="00AD4859" w:rsidRDefault="00AD4859" w:rsidP="00AD4859">
      <w:pPr>
        <w:pStyle w:val="Prrafodelista"/>
        <w:ind w:left="284"/>
        <w:rPr>
          <w:rFonts w:cs="Calibri"/>
        </w:rPr>
      </w:pPr>
    </w:p>
    <w:p w14:paraId="6906D142" w14:textId="232E2128" w:rsidR="00F6719A" w:rsidRDefault="003977FF" w:rsidP="00F6719A">
      <w:pPr>
        <w:pStyle w:val="Prrafodelista"/>
        <w:numPr>
          <w:ilvl w:val="0"/>
          <w:numId w:val="25"/>
        </w:numPr>
        <w:rPr>
          <w:rFonts w:cs="Calibri"/>
        </w:rPr>
      </w:pPr>
      <w:r w:rsidRPr="003977FF">
        <w:rPr>
          <w:rFonts w:cs="Calibri"/>
        </w:rPr>
        <w:lastRenderedPageBreak/>
        <w:t xml:space="preserve">Como paso previo al </w:t>
      </w:r>
      <w:r w:rsidR="00F30C57">
        <w:rPr>
          <w:rFonts w:cs="Calibri"/>
        </w:rPr>
        <w:t xml:space="preserve">modelado, calcule la </w:t>
      </w:r>
      <w:r w:rsidR="00E75C69">
        <w:rPr>
          <w:rFonts w:cs="Calibri"/>
        </w:rPr>
        <w:t xml:space="preserve">covarianza y la </w:t>
      </w:r>
      <w:r w:rsidR="00F30C57">
        <w:rPr>
          <w:rFonts w:cs="Calibri"/>
        </w:rPr>
        <w:t xml:space="preserve">matriz de correlación de </w:t>
      </w:r>
      <w:r w:rsidR="00157D18">
        <w:rPr>
          <w:rFonts w:cs="Calibri"/>
        </w:rPr>
        <w:t>del precio de los aguacates orgánicos, convencionales y su volumen de ventas</w:t>
      </w:r>
      <w:r w:rsidR="00F30C57">
        <w:rPr>
          <w:rFonts w:cs="Calibri"/>
        </w:rPr>
        <w:t>. ¿Qué conclusiones se pueden extraer?</w:t>
      </w:r>
    </w:p>
    <w:p w14:paraId="03BF5151" w14:textId="77777777" w:rsidR="00AD4859" w:rsidRPr="003977FF" w:rsidRDefault="00AD4859" w:rsidP="00AD4859">
      <w:pPr>
        <w:pStyle w:val="Prrafodelista"/>
        <w:ind w:left="284"/>
        <w:rPr>
          <w:rFonts w:cs="Calibri"/>
        </w:rPr>
      </w:pPr>
    </w:p>
    <w:p w14:paraId="4596C005" w14:textId="206C9386" w:rsidR="00AD4859" w:rsidRDefault="00E75C69" w:rsidP="00AD4859">
      <w:pPr>
        <w:pStyle w:val="Prrafodelista"/>
        <w:numPr>
          <w:ilvl w:val="0"/>
          <w:numId w:val="25"/>
        </w:numPr>
      </w:pPr>
      <w:r>
        <w:t xml:space="preserve">Determine la posible relación existente entre </w:t>
      </w:r>
      <w:r w:rsidR="00157D18">
        <w:t>dichos precios y su volumen de ventas</w:t>
      </w:r>
      <w:r>
        <w:t>. S</w:t>
      </w:r>
      <w:r w:rsidR="00157D18">
        <w:t>i</w:t>
      </w:r>
      <w:r>
        <w:t xml:space="preserve"> tomáramos logaritmos, ¿Cómo sería dicha relación?</w:t>
      </w:r>
    </w:p>
    <w:p w14:paraId="15A423F6" w14:textId="77777777" w:rsidR="0071586B" w:rsidRDefault="0071586B" w:rsidP="0071586B">
      <w:pPr>
        <w:pStyle w:val="Prrafodelista"/>
      </w:pPr>
    </w:p>
    <w:p w14:paraId="10EE00DF" w14:textId="0161CB31" w:rsidR="0071586B" w:rsidRPr="00157D18" w:rsidRDefault="00E75C69" w:rsidP="00157D18">
      <w:pPr>
        <w:pStyle w:val="Prrafodelista"/>
        <w:numPr>
          <w:ilvl w:val="0"/>
          <w:numId w:val="25"/>
        </w:numPr>
        <w:rPr>
          <w:rFonts w:cs="Calibri"/>
        </w:rPr>
      </w:pPr>
      <w:r>
        <w:t xml:space="preserve">Realice una predicción de </w:t>
      </w:r>
      <w:r w:rsidR="00157D18">
        <w:rPr>
          <w:rFonts w:cs="Calibri"/>
        </w:rPr>
        <w:t xml:space="preserve">precio de venta de los aguacates orgánicos vendidos en Albany </w:t>
      </w:r>
      <w:r>
        <w:t xml:space="preserve">a </w:t>
      </w:r>
      <w:r w:rsidR="00157D18">
        <w:t xml:space="preserve"> 3</w:t>
      </w:r>
      <w:r>
        <w:t xml:space="preserve"> meses. </w:t>
      </w:r>
    </w:p>
    <w:p w14:paraId="2242F8C7" w14:textId="4F961295" w:rsidR="003D56E0" w:rsidRDefault="003D56E0" w:rsidP="003D56E0">
      <w:pPr>
        <w:rPr>
          <w:rFonts w:cs="Calibri"/>
        </w:rPr>
      </w:pPr>
    </w:p>
    <w:p w14:paraId="4B53C322" w14:textId="77777777" w:rsidR="00DF0DC0" w:rsidRDefault="00DF0DC0" w:rsidP="003D56E0">
      <w:pPr>
        <w:rPr>
          <w:rFonts w:cs="Calibri"/>
        </w:rPr>
      </w:pPr>
    </w:p>
    <w:p w14:paraId="29B0F89C" w14:textId="77777777" w:rsidR="003D56E0" w:rsidRDefault="003D56E0" w:rsidP="003D56E0"/>
    <w:p w14:paraId="4758E769" w14:textId="77777777" w:rsidR="002D23D4" w:rsidRPr="00E35FFB" w:rsidRDefault="002D23D4" w:rsidP="002D23D4">
      <w:pPr>
        <w:rPr>
          <w:b/>
        </w:rPr>
      </w:pPr>
      <w:r w:rsidRPr="00E35FFB">
        <w:rPr>
          <w:b/>
        </w:rPr>
        <w:t xml:space="preserve">Rúbrica: </w:t>
      </w:r>
    </w:p>
    <w:p w14:paraId="38B28328" w14:textId="77777777" w:rsidR="002D23D4" w:rsidRDefault="002D23D4" w:rsidP="002D23D4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122"/>
        <w:gridCol w:w="3363"/>
        <w:gridCol w:w="1963"/>
        <w:gridCol w:w="762"/>
      </w:tblGrid>
      <w:tr w:rsidR="002D23D4" w:rsidRPr="00CD1440" w14:paraId="71291CD8" w14:textId="77777777" w:rsidTr="00CE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335E7178" w14:textId="3EE24025" w:rsidR="002D23D4" w:rsidRPr="003079CE" w:rsidRDefault="002D23D4" w:rsidP="00CE0E39">
            <w:pPr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36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933DD90" w14:textId="77777777" w:rsidR="002D23D4" w:rsidRPr="003079CE" w:rsidRDefault="002D23D4" w:rsidP="00CE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196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5C7B666" w14:textId="77777777" w:rsidR="002D23D4" w:rsidRPr="003079CE" w:rsidRDefault="002D23D4" w:rsidP="00CE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 xml:space="preserve">Puntuación máxima  </w:t>
            </w:r>
          </w:p>
          <w:p w14:paraId="39AD6622" w14:textId="77777777" w:rsidR="002D23D4" w:rsidRPr="003079CE" w:rsidRDefault="002D23D4" w:rsidP="00CE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(puntos)</w:t>
            </w:r>
          </w:p>
        </w:tc>
        <w:tc>
          <w:tcPr>
            <w:tcW w:w="76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C340296" w14:textId="77777777" w:rsidR="002D23D4" w:rsidRPr="003079CE" w:rsidRDefault="002D23D4" w:rsidP="00CE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Peso</w:t>
            </w:r>
          </w:p>
          <w:p w14:paraId="02542557" w14:textId="77777777" w:rsidR="002D23D4" w:rsidRPr="003079CE" w:rsidRDefault="002D23D4" w:rsidP="00CE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%</w:t>
            </w:r>
          </w:p>
        </w:tc>
      </w:tr>
      <w:tr w:rsidR="002D23D4" w:rsidRPr="00CD1440" w14:paraId="71896C6A" w14:textId="77777777" w:rsidTr="00CE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1448B0C" w14:textId="77777777" w:rsidR="002D23D4" w:rsidRPr="00CD1440" w:rsidRDefault="002D23D4" w:rsidP="00CE0E39">
            <w:pPr>
              <w:rPr>
                <w:rFonts w:cs="Calibri"/>
                <w:b w:val="0"/>
                <w:sz w:val="18"/>
                <w:szCs w:val="18"/>
              </w:rPr>
            </w:pPr>
            <w:r w:rsidRPr="00CD1440">
              <w:rPr>
                <w:rFonts w:cs="Calibri"/>
                <w:b w:val="0"/>
                <w:bCs w:val="0"/>
                <w:sz w:val="18"/>
                <w:szCs w:val="18"/>
              </w:rPr>
              <w:t>Criterio 1</w:t>
            </w:r>
          </w:p>
        </w:tc>
        <w:tc>
          <w:tcPr>
            <w:tcW w:w="336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D973096" w14:textId="25BC4F2B" w:rsidR="002D23D4" w:rsidRPr="00CD1440" w:rsidRDefault="00C81877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Es capaz de identificar los distintos tipos de variables.</w:t>
            </w:r>
            <w:r w:rsidR="00330C6A">
              <w:rPr>
                <w:rFonts w:cs="Calibri"/>
                <w:sz w:val="18"/>
                <w:szCs w:val="18"/>
              </w:rPr>
              <w:t xml:space="preserve"> Aporta conclusiones válidas de los estadísticos descriptivos.</w:t>
            </w:r>
          </w:p>
        </w:tc>
        <w:tc>
          <w:tcPr>
            <w:tcW w:w="196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2FD38B" w14:textId="51B4A66A" w:rsidR="002D23D4" w:rsidRPr="00CD1440" w:rsidRDefault="00346C65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762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1D3484D" w14:textId="5D2D180A" w:rsidR="002D23D4" w:rsidRPr="00CD1440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CD1440">
              <w:rPr>
                <w:rFonts w:cs="Calibri"/>
                <w:sz w:val="18"/>
                <w:szCs w:val="18"/>
              </w:rPr>
              <w:t xml:space="preserve"> </w:t>
            </w:r>
            <w:r w:rsidR="00C81877" w:rsidRPr="00CD1440">
              <w:rPr>
                <w:rFonts w:cs="Calibri"/>
                <w:sz w:val="18"/>
                <w:szCs w:val="18"/>
              </w:rPr>
              <w:t>20%</w:t>
            </w:r>
          </w:p>
        </w:tc>
      </w:tr>
      <w:tr w:rsidR="002D23D4" w:rsidRPr="00CD1440" w14:paraId="7A950635" w14:textId="77777777" w:rsidTr="00CE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11126C" w14:textId="77777777" w:rsidR="002D23D4" w:rsidRPr="00CD1440" w:rsidRDefault="002D23D4" w:rsidP="00CE0E39">
            <w:pPr>
              <w:rPr>
                <w:rFonts w:cs="Calibri"/>
                <w:b w:val="0"/>
                <w:sz w:val="18"/>
                <w:szCs w:val="18"/>
              </w:rPr>
            </w:pPr>
            <w:r w:rsidRPr="00CD1440">
              <w:rPr>
                <w:rFonts w:cs="Calibri"/>
                <w:b w:val="0"/>
                <w:bCs w:val="0"/>
                <w:sz w:val="18"/>
                <w:szCs w:val="18"/>
              </w:rPr>
              <w:t>Criterio 2</w:t>
            </w:r>
          </w:p>
        </w:tc>
        <w:tc>
          <w:tcPr>
            <w:tcW w:w="33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9FC9312" w14:textId="60D8AEFB" w:rsidR="002D23D4" w:rsidRPr="00CD1440" w:rsidRDefault="006E305C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Es capaz de crear submuestras.</w:t>
            </w:r>
          </w:p>
        </w:tc>
        <w:tc>
          <w:tcPr>
            <w:tcW w:w="19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A31194" w14:textId="28BDF419" w:rsidR="002D23D4" w:rsidRPr="00CD1440" w:rsidRDefault="00C81877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  <w:p w14:paraId="1FE60DCB" w14:textId="77777777" w:rsidR="002D23D4" w:rsidRPr="00CD1440" w:rsidRDefault="002D23D4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ABF2F8" w14:textId="6C82B6ED" w:rsidR="002D23D4" w:rsidRPr="00CD1440" w:rsidRDefault="00C81877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CD1440">
              <w:rPr>
                <w:rFonts w:cs="Calibri"/>
                <w:sz w:val="18"/>
                <w:szCs w:val="18"/>
              </w:rPr>
              <w:t>20%</w:t>
            </w:r>
          </w:p>
        </w:tc>
      </w:tr>
      <w:tr w:rsidR="004F5CC3" w:rsidRPr="00CD1440" w14:paraId="6E313072" w14:textId="77777777" w:rsidTr="00CE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A60555F" w14:textId="6AC6AF83" w:rsidR="004F5CC3" w:rsidRPr="00CD1440" w:rsidRDefault="004F5CC3" w:rsidP="004F5CC3">
            <w:pPr>
              <w:rPr>
                <w:rFonts w:cs="Calibri"/>
                <w:b w:val="0"/>
                <w:sz w:val="18"/>
                <w:szCs w:val="18"/>
              </w:rPr>
            </w:pPr>
            <w:r w:rsidRPr="00CD1440">
              <w:rPr>
                <w:rFonts w:cs="Calibri"/>
                <w:b w:val="0"/>
                <w:bCs w:val="0"/>
                <w:sz w:val="18"/>
                <w:szCs w:val="18"/>
              </w:rPr>
              <w:t xml:space="preserve">Criterio </w:t>
            </w:r>
            <w:r>
              <w:rPr>
                <w:rFonts w:cs="Calibri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33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CB7D3E9" w14:textId="2F3C7714" w:rsidR="004F5CC3" w:rsidRPr="00CD1440" w:rsidRDefault="004F5CC3" w:rsidP="004F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Aporta conclusiones razonables, aunque no haya obtenido la matriz de correlación correcta.</w:t>
            </w:r>
          </w:p>
        </w:tc>
        <w:tc>
          <w:tcPr>
            <w:tcW w:w="19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49668A" w14:textId="77777777" w:rsidR="004F5CC3" w:rsidRPr="00CD1440" w:rsidRDefault="004F5CC3" w:rsidP="004F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CD1440"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1EF8E41" w14:textId="77777777" w:rsidR="004F5CC3" w:rsidRPr="00CD1440" w:rsidRDefault="004F5CC3" w:rsidP="004F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CD1440">
              <w:rPr>
                <w:rFonts w:cs="Calibri"/>
                <w:sz w:val="18"/>
                <w:szCs w:val="18"/>
              </w:rPr>
              <w:t>20%</w:t>
            </w:r>
          </w:p>
        </w:tc>
      </w:tr>
      <w:tr w:rsidR="004F5CC3" w:rsidRPr="00C81877" w14:paraId="5D25F930" w14:textId="77777777" w:rsidTr="00B1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FD0376E" w14:textId="65D26BB2" w:rsidR="004F5CC3" w:rsidRPr="00C81877" w:rsidRDefault="004F5CC3" w:rsidP="004F5CC3">
            <w:pPr>
              <w:rPr>
                <w:rFonts w:cs="Calibri"/>
                <w:b w:val="0"/>
                <w:bCs w:val="0"/>
                <w:sz w:val="18"/>
                <w:szCs w:val="18"/>
              </w:rPr>
            </w:pPr>
            <w:r w:rsidRPr="00C81877">
              <w:rPr>
                <w:rFonts w:cs="Calibri"/>
                <w:b w:val="0"/>
                <w:bCs w:val="0"/>
                <w:sz w:val="18"/>
                <w:szCs w:val="18"/>
              </w:rPr>
              <w:t>Criterio 4</w:t>
            </w:r>
          </w:p>
        </w:tc>
        <w:tc>
          <w:tcPr>
            <w:tcW w:w="33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1EB458F" w14:textId="0DFAD2C1" w:rsidR="004F5CC3" w:rsidRPr="00CD1440" w:rsidRDefault="004F5CC3" w:rsidP="004F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Es capaz de </w:t>
            </w:r>
            <w:r w:rsidR="00E75C69">
              <w:rPr>
                <w:rFonts w:cs="Calibri"/>
                <w:sz w:val="18"/>
                <w:szCs w:val="18"/>
              </w:rPr>
              <w:t>realizar un análisis de regresión y extraer información de dicho análisis</w:t>
            </w:r>
            <w:r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9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D86D8C" w14:textId="329CAEF0" w:rsidR="004F5CC3" w:rsidRPr="00CD1440" w:rsidRDefault="004F5CC3" w:rsidP="004F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1EEF4B3C" w14:textId="2A469B6C" w:rsidR="004F5CC3" w:rsidRPr="00CD1440" w:rsidRDefault="004F5CC3" w:rsidP="004F5C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20</w:t>
            </w:r>
            <w:r w:rsidRPr="003D1BB9">
              <w:rPr>
                <w:rFonts w:cs="Calibri"/>
                <w:sz w:val="18"/>
                <w:szCs w:val="18"/>
              </w:rPr>
              <w:t>%</w:t>
            </w:r>
          </w:p>
        </w:tc>
      </w:tr>
      <w:tr w:rsidR="004F5CC3" w:rsidRPr="00C81877" w14:paraId="1BF5B7F4" w14:textId="77777777" w:rsidTr="00B1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1C87A3" w14:textId="775B2E9C" w:rsidR="004F5CC3" w:rsidRPr="00CD1440" w:rsidRDefault="004F5CC3" w:rsidP="004F5CC3">
            <w:pPr>
              <w:rPr>
                <w:rFonts w:cs="Calibri"/>
                <w:b w:val="0"/>
                <w:sz w:val="18"/>
                <w:szCs w:val="18"/>
              </w:rPr>
            </w:pPr>
            <w:r w:rsidRPr="00CD1440">
              <w:rPr>
                <w:rFonts w:cs="Calibri"/>
                <w:b w:val="0"/>
                <w:bCs w:val="0"/>
                <w:sz w:val="18"/>
                <w:szCs w:val="18"/>
              </w:rPr>
              <w:t xml:space="preserve">Criterio </w:t>
            </w:r>
            <w:r>
              <w:rPr>
                <w:rFonts w:cs="Calibri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33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18C6CBB" w14:textId="11FE7330" w:rsidR="004F5CC3" w:rsidRPr="00CD1440" w:rsidRDefault="004F5CC3" w:rsidP="004F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Es capaz de</w:t>
            </w:r>
            <w:r w:rsidR="00E75C69">
              <w:rPr>
                <w:rFonts w:cs="Calibri"/>
                <w:sz w:val="18"/>
                <w:szCs w:val="18"/>
              </w:rPr>
              <w:t xml:space="preserve"> realizar una predicción de una variable</w:t>
            </w:r>
            <w:r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9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3406CB" w14:textId="4CA94836" w:rsidR="004F5CC3" w:rsidRPr="00CD1440" w:rsidRDefault="004F5CC3" w:rsidP="004F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0DF570D1" w14:textId="458A48A0" w:rsidR="004F5CC3" w:rsidRPr="00CD1440" w:rsidRDefault="004F5CC3" w:rsidP="004F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3D1BB9">
              <w:rPr>
                <w:rFonts w:cs="Calibri"/>
                <w:sz w:val="18"/>
                <w:szCs w:val="18"/>
              </w:rPr>
              <w:t>20%</w:t>
            </w:r>
          </w:p>
        </w:tc>
      </w:tr>
      <w:tr w:rsidR="004F5CC3" w:rsidRPr="00CD1440" w14:paraId="41A36C2E" w14:textId="77777777" w:rsidTr="00CE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</w:tcBorders>
            <w:shd w:val="clear" w:color="auto" w:fill="auto"/>
          </w:tcPr>
          <w:p w14:paraId="3C9EBDB1" w14:textId="77777777" w:rsidR="004F5CC3" w:rsidRPr="00CD1440" w:rsidRDefault="004F5CC3" w:rsidP="004F5CC3">
            <w:pPr>
              <w:rPr>
                <w:rFonts w:cs="Calibri"/>
                <w:b w:val="0"/>
                <w:bCs w:val="0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363" w:type="dxa"/>
            <w:tcBorders>
              <w:top w:val="single" w:sz="4" w:space="0" w:color="0098CD"/>
            </w:tcBorders>
            <w:shd w:val="clear" w:color="auto" w:fill="auto"/>
          </w:tcPr>
          <w:p w14:paraId="30E01607" w14:textId="77777777" w:rsidR="004F5CC3" w:rsidRPr="00CD1440" w:rsidRDefault="004F5CC3" w:rsidP="004F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196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FB9E582" w14:textId="77777777" w:rsidR="004F5CC3" w:rsidRPr="00CD1440" w:rsidRDefault="004F5CC3" w:rsidP="004F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18"/>
                <w:szCs w:val="18"/>
              </w:rPr>
            </w:pPr>
            <w:r w:rsidRPr="00CD1440">
              <w:rPr>
                <w:rFonts w:cs="Calibri"/>
                <w:b/>
                <w:sz w:val="18"/>
                <w:szCs w:val="18"/>
              </w:rPr>
              <w:t>10</w:t>
            </w: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9A67356" w14:textId="77777777" w:rsidR="004F5CC3" w:rsidRPr="00CD1440" w:rsidRDefault="004F5CC3" w:rsidP="004F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18"/>
                <w:szCs w:val="18"/>
              </w:rPr>
            </w:pPr>
            <w:r w:rsidRPr="00CD1440">
              <w:rPr>
                <w:rFonts w:cs="Calibri"/>
                <w:b/>
                <w:sz w:val="18"/>
                <w:szCs w:val="18"/>
              </w:rPr>
              <w:t>100 %</w:t>
            </w:r>
          </w:p>
        </w:tc>
      </w:tr>
    </w:tbl>
    <w:p w14:paraId="3579F48F" w14:textId="77777777" w:rsidR="00BF4B49" w:rsidRPr="00A90972" w:rsidRDefault="00BF4B49" w:rsidP="002D23D4">
      <w:pPr>
        <w:pStyle w:val="TtuloApartado1sinnivel"/>
        <w:rPr>
          <w:rFonts w:cs="UnitOT-Light"/>
        </w:rPr>
      </w:pPr>
    </w:p>
    <w:sectPr w:rsidR="00BF4B49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80123" w14:textId="77777777" w:rsidR="002614EC" w:rsidRDefault="002614EC" w:rsidP="00C50246">
      <w:pPr>
        <w:spacing w:line="240" w:lineRule="auto"/>
      </w:pPr>
      <w:r>
        <w:separator/>
      </w:r>
    </w:p>
  </w:endnote>
  <w:endnote w:type="continuationSeparator" w:id="0">
    <w:p w14:paraId="291BC4AE" w14:textId="77777777" w:rsidR="002614EC" w:rsidRDefault="002614E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2DE1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AC15BD1" wp14:editId="36EC0AE3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C34FDC" w14:textId="14E3B1CE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E39A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15BD1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5AC34FDC" w14:textId="14E3B1CE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E39A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86A7584" wp14:editId="472B14A1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2D4B3E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86A7584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F2D4B3E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ABAF931" w14:textId="6063E50F" w:rsidR="0041334B" w:rsidRPr="00656B43" w:rsidRDefault="00A03383" w:rsidP="00B96994">
    <w:pPr>
      <w:pStyle w:val="PiedepginaSecciones"/>
      <w:rPr>
        <w:color w:val="777777"/>
      </w:rPr>
    </w:pPr>
    <w:r>
      <w:t xml:space="preserve">Tema </w:t>
    </w:r>
    <w:r w:rsidR="007F4AA8">
      <w:t>2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D997B" w14:textId="77777777" w:rsidR="002614EC" w:rsidRDefault="002614EC" w:rsidP="00C50246">
      <w:pPr>
        <w:spacing w:line="240" w:lineRule="auto"/>
      </w:pPr>
      <w:r>
        <w:separator/>
      </w:r>
    </w:p>
  </w:footnote>
  <w:footnote w:type="continuationSeparator" w:id="0">
    <w:p w14:paraId="2FC003D8" w14:textId="77777777" w:rsidR="002614EC" w:rsidRDefault="002614E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0763F8D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914C66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D0B21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F0290B5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F51D059" w14:textId="77777777" w:rsidTr="001924C8">
      <w:trPr>
        <w:trHeight w:val="342"/>
      </w:trPr>
      <w:tc>
        <w:tcPr>
          <w:tcW w:w="2552" w:type="dxa"/>
          <w:vMerge w:val="restart"/>
        </w:tcPr>
        <w:p w14:paraId="3370EF39" w14:textId="77777777" w:rsidR="00A90972" w:rsidRPr="00472B27" w:rsidRDefault="002D23D4" w:rsidP="00C65063">
          <w:pPr>
            <w:pStyle w:val="Textocajaactividades"/>
          </w:pPr>
          <w:r>
            <w:t>Análisis de Datos Masivos para el Negocio</w:t>
          </w:r>
        </w:p>
      </w:tc>
      <w:tc>
        <w:tcPr>
          <w:tcW w:w="3827" w:type="dxa"/>
        </w:tcPr>
        <w:p w14:paraId="0E961FD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3051706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23BF041C" w14:textId="77777777" w:rsidTr="001924C8">
      <w:trPr>
        <w:trHeight w:val="342"/>
      </w:trPr>
      <w:tc>
        <w:tcPr>
          <w:tcW w:w="2552" w:type="dxa"/>
          <w:vMerge/>
        </w:tcPr>
        <w:p w14:paraId="40B2B143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2472365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E259B2E" w14:textId="77777777" w:rsidR="00A90972" w:rsidRDefault="00A90972" w:rsidP="00A90972">
          <w:pPr>
            <w:pStyle w:val="Encabezado"/>
          </w:pPr>
        </w:p>
      </w:tc>
    </w:tr>
  </w:tbl>
  <w:p w14:paraId="720D7C30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A18260C"/>
    <w:multiLevelType w:val="hybridMultilevel"/>
    <w:tmpl w:val="95D0FB10"/>
    <w:lvl w:ilvl="0" w:tplc="0E868FB6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1F2FFC"/>
    <w:multiLevelType w:val="hybridMultilevel"/>
    <w:tmpl w:val="1F489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B166114"/>
    <w:multiLevelType w:val="hybridMultilevel"/>
    <w:tmpl w:val="933E40B6"/>
    <w:lvl w:ilvl="0" w:tplc="08C4CC1A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D8777C7"/>
    <w:multiLevelType w:val="hybridMultilevel"/>
    <w:tmpl w:val="A9F23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4"/>
  </w:num>
  <w:num w:numId="4">
    <w:abstractNumId w:val="16"/>
  </w:num>
  <w:num w:numId="5">
    <w:abstractNumId w:val="7"/>
  </w:num>
  <w:num w:numId="6">
    <w:abstractNumId w:val="3"/>
  </w:num>
  <w:num w:numId="7">
    <w:abstractNumId w:val="20"/>
  </w:num>
  <w:num w:numId="8">
    <w:abstractNumId w:val="6"/>
  </w:num>
  <w:num w:numId="9">
    <w:abstractNumId w:val="22"/>
  </w:num>
  <w:num w:numId="10">
    <w:abstractNumId w:val="1"/>
  </w:num>
  <w:num w:numId="11">
    <w:abstractNumId w:val="26"/>
  </w:num>
  <w:num w:numId="12">
    <w:abstractNumId w:val="2"/>
  </w:num>
  <w:num w:numId="13">
    <w:abstractNumId w:val="12"/>
  </w:num>
  <w:num w:numId="14">
    <w:abstractNumId w:val="14"/>
  </w:num>
  <w:num w:numId="15">
    <w:abstractNumId w:val="21"/>
  </w:num>
  <w:num w:numId="16">
    <w:abstractNumId w:val="19"/>
  </w:num>
  <w:num w:numId="17">
    <w:abstractNumId w:val="13"/>
  </w:num>
  <w:num w:numId="18">
    <w:abstractNumId w:val="23"/>
  </w:num>
  <w:num w:numId="19">
    <w:abstractNumId w:val="4"/>
  </w:num>
  <w:num w:numId="20">
    <w:abstractNumId w:val="10"/>
  </w:num>
  <w:num w:numId="21">
    <w:abstractNumId w:val="18"/>
  </w:num>
  <w:num w:numId="22">
    <w:abstractNumId w:val="9"/>
  </w:num>
  <w:num w:numId="23">
    <w:abstractNumId w:val="5"/>
  </w:num>
  <w:num w:numId="24">
    <w:abstractNumId w:val="8"/>
  </w:num>
  <w:num w:numId="25">
    <w:abstractNumId w:val="17"/>
  </w:num>
  <w:num w:numId="26">
    <w:abstractNumId w:val="11"/>
  </w:num>
  <w:num w:numId="27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0D87"/>
    <w:rsid w:val="0001542A"/>
    <w:rsid w:val="00016003"/>
    <w:rsid w:val="00031C55"/>
    <w:rsid w:val="00040A5B"/>
    <w:rsid w:val="000458EE"/>
    <w:rsid w:val="0005157B"/>
    <w:rsid w:val="0005178B"/>
    <w:rsid w:val="00054229"/>
    <w:rsid w:val="0005550C"/>
    <w:rsid w:val="00055C12"/>
    <w:rsid w:val="00056A2A"/>
    <w:rsid w:val="0005762B"/>
    <w:rsid w:val="00072F5A"/>
    <w:rsid w:val="00076A78"/>
    <w:rsid w:val="00086720"/>
    <w:rsid w:val="00087952"/>
    <w:rsid w:val="0009320A"/>
    <w:rsid w:val="000957C1"/>
    <w:rsid w:val="000967AE"/>
    <w:rsid w:val="000A331B"/>
    <w:rsid w:val="000A78DB"/>
    <w:rsid w:val="000B6364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397"/>
    <w:rsid w:val="000F518E"/>
    <w:rsid w:val="000F5592"/>
    <w:rsid w:val="000F7E60"/>
    <w:rsid w:val="00112B38"/>
    <w:rsid w:val="00137CF9"/>
    <w:rsid w:val="00157D18"/>
    <w:rsid w:val="00161226"/>
    <w:rsid w:val="00163FBB"/>
    <w:rsid w:val="001658DF"/>
    <w:rsid w:val="00171834"/>
    <w:rsid w:val="001763A3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4EC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4F2E"/>
    <w:rsid w:val="002C64FB"/>
    <w:rsid w:val="002D23D4"/>
    <w:rsid w:val="002D3237"/>
    <w:rsid w:val="002E198B"/>
    <w:rsid w:val="002E6FCB"/>
    <w:rsid w:val="002E769A"/>
    <w:rsid w:val="00302FF8"/>
    <w:rsid w:val="003117D6"/>
    <w:rsid w:val="00320378"/>
    <w:rsid w:val="003224A0"/>
    <w:rsid w:val="00323EF0"/>
    <w:rsid w:val="00327C72"/>
    <w:rsid w:val="00330C6A"/>
    <w:rsid w:val="00330DE5"/>
    <w:rsid w:val="003369FB"/>
    <w:rsid w:val="00340E19"/>
    <w:rsid w:val="0034363F"/>
    <w:rsid w:val="00346C65"/>
    <w:rsid w:val="00351EC2"/>
    <w:rsid w:val="00361683"/>
    <w:rsid w:val="00363DED"/>
    <w:rsid w:val="00380C78"/>
    <w:rsid w:val="00384AC7"/>
    <w:rsid w:val="0038659D"/>
    <w:rsid w:val="00394A34"/>
    <w:rsid w:val="003977FF"/>
    <w:rsid w:val="003A10AB"/>
    <w:rsid w:val="003C2275"/>
    <w:rsid w:val="003C4D34"/>
    <w:rsid w:val="003D0269"/>
    <w:rsid w:val="003D141E"/>
    <w:rsid w:val="003D16DC"/>
    <w:rsid w:val="003D56E0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453D"/>
    <w:rsid w:val="004A1A48"/>
    <w:rsid w:val="004B7249"/>
    <w:rsid w:val="004D4F93"/>
    <w:rsid w:val="004E1547"/>
    <w:rsid w:val="004E5487"/>
    <w:rsid w:val="004F1492"/>
    <w:rsid w:val="004F5CC3"/>
    <w:rsid w:val="004F5D83"/>
    <w:rsid w:val="004F6924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61A0"/>
    <w:rsid w:val="00575580"/>
    <w:rsid w:val="0058112D"/>
    <w:rsid w:val="005A0654"/>
    <w:rsid w:val="005B4BDC"/>
    <w:rsid w:val="005C1D3F"/>
    <w:rsid w:val="005D0D43"/>
    <w:rsid w:val="005E0B6D"/>
    <w:rsid w:val="005E6742"/>
    <w:rsid w:val="005F240A"/>
    <w:rsid w:val="005F2851"/>
    <w:rsid w:val="00611689"/>
    <w:rsid w:val="00613085"/>
    <w:rsid w:val="00613DB8"/>
    <w:rsid w:val="00616ACB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738C6"/>
    <w:rsid w:val="006825B0"/>
    <w:rsid w:val="006A210E"/>
    <w:rsid w:val="006B683F"/>
    <w:rsid w:val="006C52A0"/>
    <w:rsid w:val="006C595D"/>
    <w:rsid w:val="006C7BB7"/>
    <w:rsid w:val="006D1870"/>
    <w:rsid w:val="006E305C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851"/>
    <w:rsid w:val="0071586B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0290"/>
    <w:rsid w:val="007A34FD"/>
    <w:rsid w:val="007B15E7"/>
    <w:rsid w:val="007B5F9F"/>
    <w:rsid w:val="007C0189"/>
    <w:rsid w:val="007C1E0E"/>
    <w:rsid w:val="007C2659"/>
    <w:rsid w:val="007D00F6"/>
    <w:rsid w:val="007D1B3E"/>
    <w:rsid w:val="007D1E15"/>
    <w:rsid w:val="007D7193"/>
    <w:rsid w:val="007E4840"/>
    <w:rsid w:val="007E5D27"/>
    <w:rsid w:val="007F4AA8"/>
    <w:rsid w:val="007F691E"/>
    <w:rsid w:val="00802889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2A73"/>
    <w:rsid w:val="00866EC2"/>
    <w:rsid w:val="008745E4"/>
    <w:rsid w:val="008807AF"/>
    <w:rsid w:val="0088459B"/>
    <w:rsid w:val="008A4832"/>
    <w:rsid w:val="008B16BB"/>
    <w:rsid w:val="008B6154"/>
    <w:rsid w:val="008C09DB"/>
    <w:rsid w:val="008D2E81"/>
    <w:rsid w:val="008E1670"/>
    <w:rsid w:val="008F0709"/>
    <w:rsid w:val="008F1E4C"/>
    <w:rsid w:val="00917348"/>
    <w:rsid w:val="0092427B"/>
    <w:rsid w:val="00935FD2"/>
    <w:rsid w:val="009400C5"/>
    <w:rsid w:val="009434C7"/>
    <w:rsid w:val="009435B5"/>
    <w:rsid w:val="009531EC"/>
    <w:rsid w:val="0095328C"/>
    <w:rsid w:val="009546DA"/>
    <w:rsid w:val="009563DF"/>
    <w:rsid w:val="00962EC2"/>
    <w:rsid w:val="00976D1B"/>
    <w:rsid w:val="0098228A"/>
    <w:rsid w:val="009848BD"/>
    <w:rsid w:val="009869BE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7514"/>
    <w:rsid w:val="009D10D7"/>
    <w:rsid w:val="009D6F1F"/>
    <w:rsid w:val="009E76FD"/>
    <w:rsid w:val="009F18E9"/>
    <w:rsid w:val="009F7B85"/>
    <w:rsid w:val="00A03383"/>
    <w:rsid w:val="00A13A0E"/>
    <w:rsid w:val="00A17600"/>
    <w:rsid w:val="00A20F71"/>
    <w:rsid w:val="00A22168"/>
    <w:rsid w:val="00A4761C"/>
    <w:rsid w:val="00A52549"/>
    <w:rsid w:val="00A60E8D"/>
    <w:rsid w:val="00A67DBC"/>
    <w:rsid w:val="00A71D6D"/>
    <w:rsid w:val="00A76AA2"/>
    <w:rsid w:val="00A76D45"/>
    <w:rsid w:val="00A90972"/>
    <w:rsid w:val="00A9140C"/>
    <w:rsid w:val="00AB2DE2"/>
    <w:rsid w:val="00AD4859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57F5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F36"/>
    <w:rsid w:val="00BC2EB1"/>
    <w:rsid w:val="00BE65ED"/>
    <w:rsid w:val="00BF06B0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1195"/>
    <w:rsid w:val="00C446B8"/>
    <w:rsid w:val="00C4595C"/>
    <w:rsid w:val="00C50246"/>
    <w:rsid w:val="00C65063"/>
    <w:rsid w:val="00C67873"/>
    <w:rsid w:val="00C81877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5A59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C7D95"/>
    <w:rsid w:val="00DD0B32"/>
    <w:rsid w:val="00DD2649"/>
    <w:rsid w:val="00DE4822"/>
    <w:rsid w:val="00DF0BC0"/>
    <w:rsid w:val="00DF0DC0"/>
    <w:rsid w:val="00DF5736"/>
    <w:rsid w:val="00DF784B"/>
    <w:rsid w:val="00E144E3"/>
    <w:rsid w:val="00E15589"/>
    <w:rsid w:val="00E170B6"/>
    <w:rsid w:val="00E20732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5C69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551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0C57"/>
    <w:rsid w:val="00F403FC"/>
    <w:rsid w:val="00F4274A"/>
    <w:rsid w:val="00F46137"/>
    <w:rsid w:val="00F5055C"/>
    <w:rsid w:val="00F617AA"/>
    <w:rsid w:val="00F63170"/>
    <w:rsid w:val="00F65B6D"/>
    <w:rsid w:val="00F6719A"/>
    <w:rsid w:val="00F719D6"/>
    <w:rsid w:val="00F736A2"/>
    <w:rsid w:val="00F77A3B"/>
    <w:rsid w:val="00F90CB7"/>
    <w:rsid w:val="00F96E27"/>
    <w:rsid w:val="00FA3226"/>
    <w:rsid w:val="00FA5FF9"/>
    <w:rsid w:val="00FB0A6F"/>
    <w:rsid w:val="00FC582A"/>
    <w:rsid w:val="00FD1A84"/>
    <w:rsid w:val="00FD6625"/>
    <w:rsid w:val="00FD7A4E"/>
    <w:rsid w:val="00FE39A1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63438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2D23D4"/>
    <w:rPr>
      <w:sz w:val="16"/>
      <w:szCs w:val="16"/>
    </w:rPr>
  </w:style>
  <w:style w:type="table" w:customStyle="1" w:styleId="Tabladecuadrcula5oscura-nfasis51">
    <w:name w:val="Tabla de cuadrícula 5 oscura - Énfasis 51"/>
    <w:basedOn w:val="Tablanormal"/>
    <w:uiPriority w:val="50"/>
    <w:rsid w:val="002D23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F0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timmate/avocado-prices-202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9" ma:contentTypeDescription="Crear nuevo documento." ma:contentTypeScope="" ma:versionID="eff634db0449f911e9d0c47556d02f1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293b8efccdd8e6af4494d88459d36ec0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CE36E6-4A17-41A2-B716-D072B6B16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93CAA-6561-41BD-AFFF-99C53362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Mireia Gonzalez Gubia</cp:lastModifiedBy>
  <cp:revision>2</cp:revision>
  <cp:lastPrinted>2017-09-08T09:41:00Z</cp:lastPrinted>
  <dcterms:created xsi:type="dcterms:W3CDTF">2021-10-21T08:19:00Z</dcterms:created>
  <dcterms:modified xsi:type="dcterms:W3CDTF">2021-10-21T08:19:00Z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