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64F27" w:rsidP="0EAEFBAB" w:rsidRDefault="00D64F27" w14:paraId="52B8D345" wp14:textId="77777777" wp14:noSpellErr="1">
      <w:pPr>
        <w:spacing w:line="360" w:lineRule="auto"/>
        <w:jc w:val="center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Introducción</w:t>
      </w:r>
    </w:p>
    <w:p xmlns:wp14="http://schemas.microsoft.com/office/word/2010/wordml" w:rsidR="007E0D7C" w:rsidP="005D521A" w:rsidRDefault="00D64F27" w14:paraId="647A8775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este trabajo buscamos dar a conocer lo que son l</w:t>
      </w:r>
      <w:r w:rsidR="007E0D7C">
        <w:rPr>
          <w:rFonts w:ascii="Arial" w:hAnsi="Arial" w:cs="Arial"/>
          <w:color w:val="000000" w:themeColor="text1"/>
          <w:sz w:val="24"/>
          <w:szCs w:val="24"/>
        </w:rPr>
        <w:t>as fuentes de información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nos ayudan a </w:t>
      </w:r>
      <w:r w:rsidR="007B46CC">
        <w:rPr>
          <w:rFonts w:ascii="Arial" w:hAnsi="Arial" w:cs="Arial"/>
          <w:color w:val="000000" w:themeColor="text1"/>
          <w:sz w:val="24"/>
          <w:szCs w:val="24"/>
        </w:rPr>
        <w:t>darle un sentido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B46CC">
        <w:rPr>
          <w:rFonts w:ascii="Arial" w:hAnsi="Arial" w:cs="Arial"/>
          <w:color w:val="000000" w:themeColor="text1"/>
          <w:sz w:val="24"/>
          <w:szCs w:val="24"/>
        </w:rPr>
        <w:t>a nuestra investigación. Las fuentes de información</w:t>
      </w:r>
      <w:r w:rsidR="007E0D7C">
        <w:rPr>
          <w:rFonts w:ascii="Arial" w:hAnsi="Arial" w:cs="Arial"/>
          <w:color w:val="000000" w:themeColor="text1"/>
          <w:sz w:val="24"/>
          <w:szCs w:val="24"/>
        </w:rPr>
        <w:t xml:space="preserve"> son todos aquellos libros, rev</w:t>
      </w:r>
      <w:r w:rsidR="007B46CC">
        <w:rPr>
          <w:rFonts w:ascii="Arial" w:hAnsi="Arial" w:cs="Arial"/>
          <w:color w:val="000000" w:themeColor="text1"/>
          <w:sz w:val="24"/>
          <w:szCs w:val="24"/>
        </w:rPr>
        <w:t>istas, escritos, entrevistas, re</w:t>
      </w:r>
      <w:r w:rsidR="007E0D7C">
        <w:rPr>
          <w:rFonts w:ascii="Arial" w:hAnsi="Arial" w:cs="Arial"/>
          <w:color w:val="000000" w:themeColor="text1"/>
          <w:sz w:val="24"/>
          <w:szCs w:val="24"/>
        </w:rPr>
        <w:t xml:space="preserve">dacciones que nos dan datos sobre un tema en particular, esto con el objetivo de que con la información que contienen podamos llevar a cabo, (después de una recopilación de datos sobre tema) la creación de nuestro marco teórico. </w:t>
      </w:r>
    </w:p>
    <w:p xmlns:wp14="http://schemas.microsoft.com/office/word/2010/wordml" w:rsidR="00D64F27" w:rsidP="005D521A" w:rsidRDefault="00C25BB2" w14:paraId="16999AE4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Grande (1995) dice, que la información primaria es la que no existe antes de desarrollar una investigación y se crea específicamente para ella, a través de observaciones, entrevistas, encuestas o experimentos, mientras que la información secundaria es la que ya tenemos disponible antes de que haya necesidad de contar con ella para llevar a cabo la investigación que se requiere (Grande, 1995)</w:t>
      </w:r>
    </w:p>
    <w:p xmlns:wp14="http://schemas.microsoft.com/office/word/2010/wordml" w:rsidR="007E0D7C" w:rsidP="005D521A" w:rsidRDefault="007E0D7C" w14:paraId="1643B238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10290A" w:rsidP="0EAEFBAB" w:rsidRDefault="00B138AE" w14:paraId="2CC1B009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2.4.3.2 Fuentes de Información</w:t>
      </w:r>
    </w:p>
    <w:p xmlns:wp14="http://schemas.microsoft.com/office/word/2010/wordml" w:rsidRPr="005D521A" w:rsidR="003D4380" w:rsidP="0EAEFBAB" w:rsidRDefault="00B138AE" w14:paraId="79EB8AFE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  <w:t>¿Qué son?</w:t>
      </w:r>
      <w:r w:rsidRPr="0EAEFBAB" w:rsidR="00FE2D0A">
        <w:rPr>
          <w:rFonts w:ascii="Arial" w:hAnsi="Arial" w:cs="Arial"/>
          <w:b w:val="1"/>
          <w:bCs w:val="1"/>
          <w:color w:val="000000" w:themeColor="text1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5D521A" w:rsidR="00B138AE" w:rsidP="005D521A" w:rsidRDefault="00FE2D0A" w14:paraId="51DD99E1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denominan </w:t>
      </w:r>
      <w:r w:rsidRPr="005D521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fuentes de información</w:t>
      </w:r>
      <w:r w:rsidRPr="005D52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 diversos tipos de documentos que contienen datos útiles para satisfacer una demanda de </w:t>
      </w:r>
      <w:r w:rsidRPr="005D521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información</w:t>
      </w:r>
      <w:r w:rsidRPr="005D52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 conocimiento</w:t>
      </w:r>
    </w:p>
    <w:p xmlns:wp14="http://schemas.microsoft.com/office/word/2010/wordml" w:rsidRPr="005D521A" w:rsidR="00B138AE" w:rsidP="0EAEFBAB" w:rsidRDefault="00B138AE" w14:paraId="04B2866A" wp14:textId="77777777" wp14:noSpellErr="1">
      <w:pPr>
        <w:spacing w:line="360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Tipos</w:t>
      </w:r>
    </w:p>
    <w:p xmlns:wp14="http://schemas.microsoft.com/office/word/2010/wordml" w:rsidRPr="005D521A" w:rsidR="00FE2D0A" w:rsidP="005D521A" w:rsidRDefault="00FE2D0A" w14:paraId="2287DBF5" wp14:textId="77777777"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s-MX"/>
        </w:rPr>
      </w:pPr>
      <w:r w:rsidRPr="005D521A">
        <w:rPr>
          <w:rFonts w:ascii="Arial" w:hAnsi="Arial" w:eastAsia="Times New Roman" w:cs="Arial"/>
          <w:color w:val="000000" w:themeColor="text1"/>
          <w:sz w:val="24"/>
          <w:szCs w:val="24"/>
          <w:lang w:val="es-ES_tradnl" w:eastAsia="es-MX"/>
        </w:rPr>
        <w:t>Según el nivel de información que proporcionan las fuentes de información pueden ser primarias o secundarias.</w:t>
      </w:r>
    </w:p>
    <w:p xmlns:wp14="http://schemas.microsoft.com/office/word/2010/wordml" w:rsidRPr="005D521A" w:rsidR="00FE2D0A" w:rsidP="005D521A" w:rsidRDefault="00FE2D0A" w14:paraId="5E3B9A49" wp14:textId="77777777"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s-MX"/>
        </w:rPr>
      </w:pPr>
      <w:r w:rsidRPr="005D521A">
        <w:rPr>
          <w:rFonts w:ascii="Arial" w:hAnsi="Arial" w:eastAsia="Times New Roman" w:cs="Arial"/>
          <w:bCs/>
          <w:color w:val="000000" w:themeColor="text1"/>
          <w:sz w:val="24"/>
          <w:szCs w:val="24"/>
          <w:lang w:val="es-ES_tradnl" w:eastAsia="es-MX"/>
        </w:rPr>
        <w:t>Las fuentes primarias </w:t>
      </w:r>
      <w:r w:rsidRPr="005D521A">
        <w:rPr>
          <w:rFonts w:ascii="Arial" w:hAnsi="Arial" w:eastAsia="Times New Roman" w:cs="Arial"/>
          <w:color w:val="000000" w:themeColor="text1"/>
          <w:sz w:val="24"/>
          <w:szCs w:val="24"/>
          <w:lang w:val="es-ES_tradnl" w:eastAsia="es-MX"/>
        </w:rPr>
        <w:t>contienen información nueva y original, resultado de un trabajo intelectual.</w:t>
      </w:r>
    </w:p>
    <w:p xmlns:wp14="http://schemas.microsoft.com/office/word/2010/wordml" w:rsidRPr="005D521A" w:rsidR="00FE2D0A" w:rsidP="005D521A" w:rsidRDefault="00FE2D0A" w14:paraId="311685BC" wp14:textId="77777777"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s-MX"/>
        </w:rPr>
      </w:pPr>
      <w:r w:rsidRPr="005D521A">
        <w:rPr>
          <w:rFonts w:ascii="Arial" w:hAnsi="Arial" w:eastAsia="Times New Roman" w:cs="Arial"/>
          <w:color w:val="000000" w:themeColor="text1"/>
          <w:sz w:val="24"/>
          <w:szCs w:val="24"/>
          <w:lang w:val="es-ES_tradnl" w:eastAsia="es-MX"/>
        </w:rPr>
        <w:t>Son documentos primarios: libros, revistas científicas y de entretenimiento, periódicos, diarios, documentos oficiales de instituciones públicas, informes técnicos y de investigación de instituciones públicas o privadas, patentes, normas técnicas.</w:t>
      </w:r>
    </w:p>
    <w:p xmlns:wp14="http://schemas.microsoft.com/office/word/2010/wordml" w:rsidRPr="005D521A" w:rsidR="00FE2D0A" w:rsidP="005D521A" w:rsidRDefault="00FE2D0A" w14:paraId="0C38EA65" wp14:textId="77777777"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s-MX"/>
        </w:rPr>
      </w:pPr>
      <w:r w:rsidRPr="005D521A">
        <w:rPr>
          <w:rFonts w:ascii="Arial" w:hAnsi="Arial" w:eastAsia="Times New Roman" w:cs="Arial"/>
          <w:bCs/>
          <w:color w:val="000000" w:themeColor="text1"/>
          <w:sz w:val="24"/>
          <w:szCs w:val="24"/>
          <w:lang w:val="es-ES_tradnl" w:eastAsia="es-MX"/>
        </w:rPr>
        <w:lastRenderedPageBreak/>
        <w:t>Las fuentes secundarias</w:t>
      </w:r>
      <w:r w:rsidRPr="005D521A">
        <w:rPr>
          <w:rFonts w:ascii="Arial" w:hAnsi="Arial" w:eastAsia="Times New Roman" w:cs="Arial"/>
          <w:color w:val="000000" w:themeColor="text1"/>
          <w:sz w:val="24"/>
          <w:szCs w:val="24"/>
          <w:lang w:val="es-ES_tradnl" w:eastAsia="es-MX"/>
        </w:rPr>
        <w:t> contienen información organizada, elaborada, producto de análisis, extracción o reorganización que refiere a documentos primarios originales.</w:t>
      </w:r>
    </w:p>
    <w:p xmlns:wp14="http://schemas.microsoft.com/office/word/2010/wordml" w:rsidRPr="005D521A" w:rsidR="00FE2D0A" w:rsidP="005D521A" w:rsidRDefault="00FE2D0A" w14:paraId="1D63E93F" wp14:textId="77777777"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s-MX"/>
        </w:rPr>
      </w:pPr>
      <w:r w:rsidRPr="005D521A">
        <w:rPr>
          <w:rFonts w:ascii="Arial" w:hAnsi="Arial" w:eastAsia="Times New Roman" w:cs="Arial"/>
          <w:color w:val="000000" w:themeColor="text1"/>
          <w:sz w:val="24"/>
          <w:szCs w:val="24"/>
          <w:lang w:val="es-ES_tradnl" w:eastAsia="es-MX"/>
        </w:rPr>
        <w:t>Son fuentes secundarias: enciclopedias, antologías, directorios, libros o artículos que interpretan otros trabajos o investigaciones.</w:t>
      </w:r>
    </w:p>
    <w:p xmlns:wp14="http://schemas.microsoft.com/office/word/2010/wordml" w:rsidRPr="005D521A" w:rsidR="00B138AE" w:rsidP="0EAEFBAB" w:rsidRDefault="00803EF3" w14:paraId="6600F514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¿Para que</w:t>
      </w: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las utilizamos?</w:t>
      </w:r>
    </w:p>
    <w:p xmlns:wp14="http://schemas.microsoft.com/office/word/2010/wordml" w:rsidRPr="005D521A" w:rsidR="00803EF3" w:rsidP="005D521A" w:rsidRDefault="00803EF3" w14:paraId="5EC5811B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ind w:left="0"/>
        <w:rPr>
          <w:rFonts w:ascii="Arial" w:hAnsi="Arial" w:cs="Arial"/>
          <w:color w:val="000000" w:themeColor="text1"/>
        </w:rPr>
      </w:pPr>
      <w:r w:rsidRPr="005D521A">
        <w:rPr>
          <w:rFonts w:ascii="Arial" w:hAnsi="Arial" w:cs="Arial"/>
          <w:color w:val="000000" w:themeColor="text1"/>
        </w:rPr>
        <w:t>Localizar y obtener un documento del que se conoce el autor y el título</w:t>
      </w:r>
    </w:p>
    <w:p xmlns:wp14="http://schemas.microsoft.com/office/word/2010/wordml" w:rsidRPr="005D521A" w:rsidR="00803EF3" w:rsidP="005D521A" w:rsidRDefault="00803EF3" w14:paraId="392EC16B" wp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ind w:left="0"/>
        <w:rPr>
          <w:rFonts w:ascii="Arial" w:hAnsi="Arial" w:cs="Arial"/>
          <w:color w:val="000000" w:themeColor="text1"/>
        </w:rPr>
      </w:pPr>
      <w:r w:rsidRPr="005D521A">
        <w:rPr>
          <w:rFonts w:ascii="Arial" w:hAnsi="Arial" w:cs="Arial"/>
          <w:color w:val="000000" w:themeColor="text1"/>
        </w:rPr>
        <w:t>Localizar los documentos relativos a un tema en particular</w:t>
      </w:r>
    </w:p>
    <w:p xmlns:wp14="http://schemas.microsoft.com/office/word/2010/wordml" w:rsidRPr="005D521A" w:rsidR="00803EF3" w:rsidP="005D521A" w:rsidRDefault="00803EF3" w14:paraId="7B11A628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B138AE" w:rsidP="0EAEFBAB" w:rsidRDefault="00B138AE" w14:paraId="32658C98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¿Dónde podemos encontrarlas?</w:t>
      </w:r>
    </w:p>
    <w:p xmlns:wp14="http://schemas.microsoft.com/office/word/2010/wordml" w:rsidRPr="005D521A" w:rsidR="003D4380" w:rsidP="005D521A" w:rsidRDefault="003D4380" w14:paraId="2267936C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D521A">
        <w:rPr>
          <w:rFonts w:ascii="Arial" w:hAnsi="Arial" w:cs="Arial"/>
          <w:color w:val="000000" w:themeColor="text1"/>
          <w:sz w:val="24"/>
          <w:szCs w:val="24"/>
        </w:rPr>
        <w:t>Monografias</w:t>
      </w:r>
      <w:proofErr w:type="spellEnd"/>
      <w:r w:rsidRPr="005D521A">
        <w:rPr>
          <w:rFonts w:ascii="Arial" w:hAnsi="Arial" w:cs="Arial"/>
          <w:color w:val="000000" w:themeColor="text1"/>
          <w:sz w:val="24"/>
          <w:szCs w:val="24"/>
        </w:rPr>
        <w:t xml:space="preserve"> o libros </w:t>
      </w:r>
      <w:proofErr w:type="spellStart"/>
      <w:proofErr w:type="gramStart"/>
      <w:r w:rsidRPr="005D521A">
        <w:rPr>
          <w:rFonts w:ascii="Arial" w:hAnsi="Arial" w:cs="Arial"/>
          <w:color w:val="000000" w:themeColor="text1"/>
          <w:sz w:val="24"/>
          <w:szCs w:val="24"/>
        </w:rPr>
        <w:t>electrónicos,revistas</w:t>
      </w:r>
      <w:proofErr w:type="gramEnd"/>
      <w:r w:rsidRPr="005D521A">
        <w:rPr>
          <w:rFonts w:ascii="Arial" w:hAnsi="Arial" w:cs="Arial"/>
          <w:color w:val="000000" w:themeColor="text1"/>
          <w:sz w:val="24"/>
          <w:szCs w:val="24"/>
        </w:rPr>
        <w:t>,obras</w:t>
      </w:r>
      <w:proofErr w:type="spellEnd"/>
      <w:r w:rsidRPr="005D521A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5D521A">
        <w:rPr>
          <w:rFonts w:ascii="Arial" w:hAnsi="Arial" w:cs="Arial"/>
          <w:color w:val="000000" w:themeColor="text1"/>
          <w:sz w:val="24"/>
          <w:szCs w:val="24"/>
        </w:rPr>
        <w:t>referencia,enciclopedias,diccionarios</w:t>
      </w:r>
      <w:proofErr w:type="spellEnd"/>
      <w:r w:rsidRPr="005D52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D521A">
        <w:rPr>
          <w:rFonts w:ascii="Arial" w:hAnsi="Arial" w:cs="Arial"/>
          <w:color w:val="000000" w:themeColor="text1"/>
          <w:sz w:val="24"/>
          <w:szCs w:val="24"/>
        </w:rPr>
        <w:t>especializados,directorios,repertorios</w:t>
      </w:r>
      <w:proofErr w:type="spellEnd"/>
      <w:r w:rsidRPr="005D52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D521A">
        <w:rPr>
          <w:rFonts w:ascii="Arial" w:hAnsi="Arial" w:cs="Arial"/>
          <w:color w:val="000000" w:themeColor="text1"/>
          <w:sz w:val="24"/>
          <w:szCs w:val="24"/>
        </w:rPr>
        <w:t>biográficos,estadísticas</w:t>
      </w:r>
      <w:proofErr w:type="spellEnd"/>
      <w:r w:rsidRPr="005D521A">
        <w:rPr>
          <w:rFonts w:ascii="Arial" w:hAnsi="Arial" w:cs="Arial"/>
          <w:color w:val="000000" w:themeColor="text1"/>
          <w:sz w:val="24"/>
          <w:szCs w:val="24"/>
        </w:rPr>
        <w:t>.</w:t>
      </w:r>
    </w:p>
    <w:p xmlns:wp14="http://schemas.microsoft.com/office/word/2010/wordml" w:rsidRPr="005D521A" w:rsidR="00803EF3" w:rsidP="0EAEFBAB" w:rsidRDefault="00B138AE" w14:paraId="1BFEC433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¿Por qué son importantes?</w:t>
      </w:r>
    </w:p>
    <w:p xmlns:wp14="http://schemas.microsoft.com/office/word/2010/wordml" w:rsidRPr="005D521A" w:rsidR="0099693C" w:rsidP="005D521A" w:rsidRDefault="00803EF3" w14:paraId="6B21CCB2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Porque son esenciales para la difusión del uso de la comunicación a través del ordenador y de flujos de información a través de Internet, adquiere una importancia estratégica decisiva en las sociedades desarrolladas. Esta importancia será cada vez mayor para dar forma a la cultura futura y aumentará la ventaja estructural de las elites que han determinado su formato.</w:t>
      </w:r>
    </w:p>
    <w:p xmlns:wp14="http://schemas.microsoft.com/office/word/2010/wordml" w:rsidRPr="005D521A" w:rsidR="00B138AE" w:rsidP="0EAEFBAB" w:rsidRDefault="00B138AE" w14:paraId="0DA5F862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2.4.3.3 Primarias y secundarias del sector turístico</w:t>
      </w:r>
    </w:p>
    <w:p xmlns:wp14="http://schemas.microsoft.com/office/word/2010/wordml" w:rsidRPr="005D521A" w:rsidR="00B138AE" w:rsidP="0EAEFBAB" w:rsidRDefault="00B138AE" w14:paraId="4D9D62F9" wp14:textId="77777777" wp14:noSpellErr="1">
      <w:pPr>
        <w:spacing w:line="360" w:lineRule="auto"/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¿Cuáles son?</w:t>
      </w:r>
    </w:p>
    <w:p xmlns:wp14="http://schemas.microsoft.com/office/word/2010/wordml" w:rsidR="005D521A" w:rsidP="005D521A" w:rsidRDefault="005D521A" w14:paraId="4933C20F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Fuentes primarias: -Sistema de Estadísticas del Turismo (SET)</w:t>
      </w:r>
    </w:p>
    <w:p xmlns:wp14="http://schemas.microsoft.com/office/word/2010/wordml" w:rsidR="005D521A" w:rsidP="005D521A" w:rsidRDefault="00FB70CC" w14:paraId="012D966D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 la parte del </w:t>
      </w:r>
      <w:r w:rsidRPr="00FB70CC">
        <w:rPr>
          <w:rFonts w:ascii="Arial" w:hAnsi="Arial" w:cs="Arial"/>
          <w:color w:val="000000" w:themeColor="text1"/>
          <w:sz w:val="24"/>
          <w:szCs w:val="24"/>
        </w:rPr>
        <w:t xml:space="preserve">Sistema Nacional de Estadísticas (SNE) que proporciona información fiable, coherente y adecuada sobre aquellos aspectos socioeconómicos relacionados con el turismo que se encuentran dentro de todas las estadísticas económicas y sociales relacionadas con otros campos, y a </w:t>
      </w:r>
      <w:r>
        <w:rPr>
          <w:rFonts w:ascii="Arial" w:hAnsi="Arial" w:cs="Arial"/>
          <w:color w:val="000000" w:themeColor="text1"/>
          <w:sz w:val="24"/>
          <w:szCs w:val="24"/>
        </w:rPr>
        <w:t>distintos niveles territoriales, sean nacionales o internacionales.</w:t>
      </w:r>
    </w:p>
    <w:p xmlns:wp14="http://schemas.microsoft.com/office/word/2010/wordml" w:rsidR="00FB70CC" w:rsidP="005D521A" w:rsidRDefault="00FB70CC" w14:paraId="17D8C765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B138AE" w:rsidP="0EAEFBAB" w:rsidRDefault="00B138AE" w14:paraId="037D814C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¿Dónde las encontramos?</w:t>
      </w:r>
    </w:p>
    <w:p w:rsidR="0EAEFBAB" w:rsidP="0EAEFBAB" w:rsidRDefault="0EAEFBAB" w14:noSpellErr="1" w14:paraId="15C24688" w14:textId="10F69BCC">
      <w:pPr>
        <w:spacing w:line="360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</w:pP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Monografías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 o libros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electrónicos,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revistas, obras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 de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referencia,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en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ciclopedias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, diccionarios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especializados,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directorios, r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epertorios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biográficos, estadísticas</w:t>
      </w:r>
      <w:r w:rsidRPr="0EAEFBAB" w:rsidR="0EAEFB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MX"/>
        </w:rPr>
        <w:t>.</w:t>
      </w:r>
    </w:p>
    <w:p xmlns:wp14="http://schemas.microsoft.com/office/word/2010/wordml" w:rsidRPr="005D521A" w:rsidR="00B138AE" w:rsidP="0EAEFBAB" w:rsidRDefault="00B138AE" w14:paraId="094EADA5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¿Por qué son importantes?</w:t>
      </w:r>
    </w:p>
    <w:p xmlns:wp14="http://schemas.microsoft.com/office/word/2010/wordml" w:rsidRPr="005D521A" w:rsidR="00642901" w:rsidP="005D521A" w:rsidRDefault="00FB70CC" w14:paraId="232DFC27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Son importantes puesto que nos posibilitan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 xml:space="preserve"> una toma de decisiones más adecuada por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parte de los distintos agentes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>sociales. Si bien es cierto que se dan muchas circ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unstancias en gestión pública y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>privada en las que la toma de decisiones no pued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esperar los resultados de una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>investigación rigurosa, no es menos cierto que sól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un flujo amplio y continuo de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>información estadística periódica permite ir 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nformando un conocimiento de la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 xml:space="preserve">realidad, una opinión sobre lo que ocurre 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 porqué y, lo que no es menos </w:t>
      </w:r>
      <w:r w:rsidRPr="005D521A" w:rsidR="00642901">
        <w:rPr>
          <w:rFonts w:ascii="Arial" w:hAnsi="Arial" w:cs="Arial"/>
          <w:color w:val="000000" w:themeColor="text1"/>
          <w:sz w:val="24"/>
          <w:szCs w:val="24"/>
        </w:rPr>
        <w:t>importante, una forma de apoyar, justificar y contrastar las medidas a adoptar.</w:t>
      </w:r>
    </w:p>
    <w:p xmlns:wp14="http://schemas.microsoft.com/office/word/2010/wordml" w:rsidRPr="005D521A" w:rsidR="00642901" w:rsidP="005D521A" w:rsidRDefault="00642901" w14:paraId="5550126D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Servir a las comparaciones internacionales que, en muchos casos, tienen carácter</w:t>
      </w:r>
    </w:p>
    <w:p xmlns:wp14="http://schemas.microsoft.com/office/word/2010/wordml" w:rsidRPr="005D521A" w:rsidR="00642901" w:rsidP="005D521A" w:rsidRDefault="00642901" w14:paraId="67053351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normativo exigiendo su obligado cumplimiento.</w:t>
      </w:r>
    </w:p>
    <w:p xmlns:wp14="http://schemas.microsoft.com/office/word/2010/wordml" w:rsidRPr="005D521A" w:rsidR="00642901" w:rsidP="005D521A" w:rsidRDefault="00642901" w14:paraId="3571F724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Permitir la investigación en sus distintos ámbitos.</w:t>
      </w:r>
    </w:p>
    <w:p xmlns:wp14="http://schemas.microsoft.com/office/word/2010/wordml" w:rsidRPr="005D521A" w:rsidR="00B138AE" w:rsidP="0EAEFBAB" w:rsidRDefault="00B138AE" w14:paraId="04D4BE72" wp14:textId="77777777" wp14:noSpellErr="1">
      <w:pPr>
        <w:spacing w:line="360" w:lineRule="auto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2.4.3.4 Conceptos y variables turísticas</w:t>
      </w:r>
    </w:p>
    <w:p w:rsidR="0EAEFBAB" w:rsidP="0EAEFBAB" w:rsidRDefault="0EAEFBAB" w14:noSpellErr="1" w14:paraId="1767FF91" w14:textId="48B57ED7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EAEFBAB" w:rsidR="0EAEFB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Concepto estadístico de turismo </w:t>
      </w:r>
    </w:p>
    <w:p w:rsidR="0EAEFBAB" w:rsidP="0EAEFBAB" w:rsidRDefault="0EAEFBAB" w14:noSpellErr="1" w14:paraId="5C3040A6" w14:textId="194EEC74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De acuerdo con las citadas recomendaciones, el turismo comprende todas aquellas actividades que realizan las personas durante sus viajes y estancias en lugares distintos al de su entorno habitual, por un periodo de tiempo consecutivo inferior a un año natural, con fines de ocio, por negocios y otros motivos (OMT,1998).</w:t>
      </w:r>
    </w:p>
    <w:p w:rsidR="0EAEFBAB" w:rsidP="0EAEFBAB" w:rsidRDefault="0EAEFBAB" w14:noSpellErr="1" w14:paraId="7CECEBFB" w14:textId="1933FD2A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Elementos de la actividad turística: los actores</w:t>
      </w: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</w:p>
    <w:p w:rsidR="0EAEFBAB" w:rsidP="0EAEFBAB" w:rsidRDefault="0EAEFBAB" w14:paraId="257124E6" w14:textId="7D9EC716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La definición de turismo anteriormente expuesta condiciona ciertos aspectos de la actividad turística como ¿cuáles son los agentes implicados en la propia actividad </w:t>
      </w:r>
      <w:proofErr w:type="gramStart"/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turística?.</w:t>
      </w:r>
      <w:proofErr w:type="gramEnd"/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</w:p>
    <w:p w:rsidR="0EAEFBAB" w:rsidP="0EAEFBAB" w:rsidRDefault="0EAEFBAB" w14:noSpellErr="1" w14:paraId="33039BD6" w14:textId="4E0D52A0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Estos agentes son:</w:t>
      </w:r>
    </w:p>
    <w:p w:rsidR="0EAEFBAB" w:rsidP="0EAEFBAB" w:rsidRDefault="0EAEFBAB" w14:noSpellErr="1" w14:paraId="6AE9E264" w14:textId="6C41C5F6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-Los actores o unidades básicas de la experiencia turística </w:t>
      </w:r>
    </w:p>
    <w:p w:rsidR="0EAEFBAB" w:rsidP="0EAEFBAB" w:rsidRDefault="0EAEFBAB" w14:noSpellErr="1" w14:paraId="2BDB2A8B" w14:textId="2CC35714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-Los elementos geográficos del turismo que generan los flujos turísticos</w:t>
      </w:r>
    </w:p>
    <w:p w:rsidR="0EAEFBAB" w:rsidP="0EAEFBAB" w:rsidRDefault="0EAEFBAB" w14:noSpellErr="1" w14:paraId="1F440E74" w14:textId="0E5F314A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-El mercado turístico</w:t>
      </w:r>
    </w:p>
    <w:p w:rsidR="0EAEFBAB" w:rsidP="0EAEFBAB" w:rsidRDefault="0EAEFBAB" w14:noSpellErr="1" w14:paraId="11C2BAC7" w14:textId="2F37CC4F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EAEFBAB" w:rsidR="0EAEFB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Formas y categorías básicas del turismo</w:t>
      </w:r>
    </w:p>
    <w:p w:rsidR="0EAEFBAB" w:rsidP="0EAEFBAB" w:rsidRDefault="0EAEFBAB" w14:paraId="7994DCD5" w14:textId="4CB7095A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El turismo puede clasificarse atendiendo al origen del visitante y respecto a una determinada región (país) donde se produce el fenómeno turístico, de varias formas: </w:t>
      </w:r>
    </w:p>
    <w:p w:rsidR="0EAEFBAB" w:rsidP="0EAEFBAB" w:rsidRDefault="0EAEFBAB" w14:noSpellErr="1" w14:paraId="7529C9E3" w14:textId="6DCF41AA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-Turismo </w:t>
      </w:r>
      <w:proofErr w:type="gramStart"/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domestico</w:t>
      </w:r>
      <w:proofErr w:type="gramEnd"/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o interno: es el realizado por los residentes de una región (país) dentro de la misma. </w:t>
      </w:r>
    </w:p>
    <w:p w:rsidR="0EAEFBAB" w:rsidP="0EAEFBAB" w:rsidRDefault="0EAEFBAB" w14:noSpellErr="1" w14:paraId="323B8755" w14:textId="40EFDA96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-Turismo emisor: es el realizado por los residentes de una determinada región (o país) que viajan fuera de ella. </w:t>
      </w:r>
    </w:p>
    <w:p w:rsidR="0EAEFBAB" w:rsidP="0EAEFBAB" w:rsidRDefault="0EAEFBAB" w14:noSpellErr="1" w14:paraId="00E1AE2B" w14:textId="5051C690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-Turismo receptor: es el realizado por los residentes de otras regiones (países) que viajan dentro de la región (país).</w:t>
      </w:r>
    </w:p>
    <w:p w:rsidR="0EAEFBAB" w:rsidP="0EAEFBAB" w:rsidRDefault="0EAEFBAB" w14:paraId="6B08D0E0" w14:textId="439DB98D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0EAEFBAB" w:rsidR="0EAEFB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Elementos geográficos del turismo </w:t>
      </w:r>
    </w:p>
    <w:p w:rsidR="0EAEFBAB" w:rsidP="0EAEFBAB" w:rsidRDefault="0EAEFBAB" w14:noSpellErr="1" w14:paraId="232089C7" w14:textId="71D13F43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Entendemos por corriente o flujo turístico al movimiento o desplazamiento de personas desde un origen o núcleo emisor a un destino o núcleo receptor. Definiéndose la zona de tránsito como aquella en la que se produce exclusivamente la itinerancia.                                                                                      </w:t>
      </w: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Estos son: </w:t>
      </w:r>
    </w:p>
    <w:p w:rsidR="0EAEFBAB" w:rsidP="0EAEFBAB" w:rsidRDefault="0EAEFBAB" w14:noSpellErr="1" w14:paraId="7A2CDC9F" w14:textId="35CCA175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-La región de origen del turismo: es el lugar geográfico donde se genera la demanda turística </w:t>
      </w:r>
    </w:p>
    <w:p w:rsidR="0EAEFBAB" w:rsidP="0EAEFBAB" w:rsidRDefault="0EAEFBAB" w14:noSpellErr="1" w14:paraId="5F25AC2E" w14:textId="5CF1D7EF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>-La región de destino turístico: es el lugar donde se genera la oferta o el producto turístico</w:t>
      </w:r>
    </w:p>
    <w:p w:rsidR="0EAEFBAB" w:rsidP="0EAEFBAB" w:rsidRDefault="0EAEFBAB" w14:noSpellErr="1" w14:paraId="1F6181CF" w14:textId="6492DE68">
      <w:pPr>
        <w:pStyle w:val="Normal"/>
        <w:spacing w:line="360" w:lineRule="auto"/>
      </w:pPr>
      <w:r w:rsidRPr="0EAEFBAB" w:rsidR="0EAEFBAB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-La zona de tránsito o lugar de conexión e itinerancia entre el origen y destino turístico </w:t>
      </w:r>
    </w:p>
    <w:p xmlns:wp14="http://schemas.microsoft.com/office/word/2010/wordml" w:rsidR="007B46CC" w:rsidP="0EAEFBAB" w:rsidRDefault="007B46CC" w14:paraId="66953B26" wp14:textId="77777777" wp14:noSpellErr="1">
      <w:pPr>
        <w:spacing w:line="360" w:lineRule="auto"/>
        <w:jc w:val="center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EAEFBAB" w:rsidR="0EAEFBAB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Conclusión</w:t>
      </w:r>
    </w:p>
    <w:p xmlns:wp14="http://schemas.microsoft.com/office/word/2010/wordml" w:rsidRPr="007B46CC" w:rsidR="007B46CC" w:rsidP="007B46CC" w:rsidRDefault="007B46CC" w14:paraId="315851C2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Durante el transcurso de la realización de este trabajo, usamos fuentes de información secundaria, que según </w:t>
      </w:r>
      <w:r w:rsidRPr="007B46CC">
        <w:rPr>
          <w:rFonts w:ascii="Arial" w:hAnsi="Arial" w:cs="Arial"/>
          <w:color w:val="000000" w:themeColor="text1"/>
          <w:sz w:val="24"/>
          <w:szCs w:val="24"/>
        </w:rPr>
        <w:t>Grande (1995)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toda aquella que ya existe, toda aquella que podemos tomar como recurso para crear nuestros trabajos y dar validez a lo que presentamos en este escrito, por eso son importantes estos tipos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de información, puesto que nos ayudan a hacer más fáciles las tareas de búsqueda de datos que presentaremos en nuestros trabajos, simplificándolas y resumiéndolas para hacerlas más fáciles de usar.</w:t>
      </w:r>
      <w:bookmarkStart w:name="_GoBack" w:id="0"/>
      <w:bookmarkEnd w:id="0"/>
    </w:p>
    <w:p xmlns:wp14="http://schemas.microsoft.com/office/word/2010/wordml" w:rsidRPr="005D521A" w:rsidR="00FE2D0A" w:rsidP="005D521A" w:rsidRDefault="00FE2D0A" w14:paraId="60E643BA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FE2D0A" w:rsidP="005D521A" w:rsidRDefault="00FE2D0A" w14:paraId="28F15382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FE2D0A" w:rsidP="005D521A" w:rsidRDefault="00FE2D0A" w14:paraId="414D7976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FE2D0A" w:rsidP="005D521A" w:rsidRDefault="00FE2D0A" w14:paraId="205451ED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FE2D0A" w:rsidP="005D521A" w:rsidRDefault="00FE2D0A" w14:paraId="1BB00790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="00C25BB2" w:rsidP="005D521A" w:rsidRDefault="00C25BB2" w14:paraId="144D29D2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Introducción: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1792245416"/>
          <w:citation/>
        </w:sdtPr>
        <w:sdtContent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CITATION Ild95 \l 2058 </w:instrText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r w:rsidRPr="00C25BB2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(Ildefonso Grande Esteban, 1995)</w:t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sdtContent>
      </w:sdt>
    </w:p>
    <w:p xmlns:wp14="http://schemas.microsoft.com/office/word/2010/wordml" w:rsidRPr="005D521A" w:rsidR="00FE2D0A" w:rsidP="005D521A" w:rsidRDefault="00D375C0" w14:paraId="736DC48A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2.4.3.2</w:t>
      </w:r>
    </w:p>
    <w:p xmlns:wp14="http://schemas.microsoft.com/office/word/2010/wordml" w:rsidRPr="005D521A" w:rsidR="00FE2D0A" w:rsidP="005D521A" w:rsidRDefault="00D375C0" w14:paraId="2ABCF5B1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2</w:t>
      </w:r>
      <w:r w:rsidRPr="005D521A" w:rsidR="00FE2D0A">
        <w:rPr>
          <w:rFonts w:ascii="Arial" w:hAnsi="Arial" w:cs="Arial"/>
          <w:color w:val="000000" w:themeColor="text1"/>
          <w:sz w:val="24"/>
          <w:szCs w:val="24"/>
        </w:rPr>
        <w:t xml:space="preserve">REFERENCIAS 1P </w:t>
      </w:r>
      <w:r w:rsidRPr="005D521A" w:rsidR="00FE2D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www3.uah.es/bibliotecaformacion/BPOL/FUENTESDEINFORMACION/index.html</w:t>
      </w:r>
    </w:p>
    <w:p xmlns:wp14="http://schemas.microsoft.com/office/word/2010/wordml" w:rsidRPr="005D521A" w:rsidR="00FE2D0A" w:rsidP="005D521A" w:rsidRDefault="00D375C0" w14:paraId="06E94B9D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REFERENCIA 2P</w:t>
      </w:r>
    </w:p>
    <w:p xmlns:wp14="http://schemas.microsoft.com/office/word/2010/wordml" w:rsidRPr="005D521A" w:rsidR="00D375C0" w:rsidP="005D521A" w:rsidRDefault="007B46CC" w14:paraId="5710735F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history="1" r:id="rId6">
        <w:r w:rsidRPr="005D521A" w:rsidR="003D4380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http://www3.uah.es/bibliotecaformacion/BPOL/FUENTESDEINFORMACION/tipos_de_fuentes_de_informacin.html</w:t>
        </w:r>
      </w:hyperlink>
    </w:p>
    <w:p xmlns:wp14="http://schemas.microsoft.com/office/word/2010/wordml" w:rsidRPr="005D521A" w:rsidR="003D4380" w:rsidP="005D521A" w:rsidRDefault="003D4380" w14:paraId="3738F262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xmlns:wp14="http://schemas.microsoft.com/office/word/2010/wordml" w:rsidRPr="005D521A" w:rsidR="003D4380" w:rsidP="005D521A" w:rsidRDefault="003D4380" w14:paraId="44B6EFA7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>referencia p4</w:t>
      </w:r>
    </w:p>
    <w:p xmlns:wp14="http://schemas.microsoft.com/office/word/2010/wordml" w:rsidRPr="005D521A" w:rsidR="003D4380" w:rsidP="005D521A" w:rsidRDefault="007B46CC" w14:paraId="1D3854B3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history="1" r:id="rId7">
        <w:r w:rsidRPr="005D521A" w:rsidR="00803EF3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https://www.ugr.es/~anamaria/fuentesws/Intro-FI.htm</w:t>
        </w:r>
      </w:hyperlink>
    </w:p>
    <w:p xmlns:wp14="http://schemas.microsoft.com/office/word/2010/wordml" w:rsidRPr="005D521A" w:rsidR="00803EF3" w:rsidP="005D521A" w:rsidRDefault="00803EF3" w14:paraId="6332314A" wp14:textId="7777777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D521A">
        <w:rPr>
          <w:rFonts w:ascii="Arial" w:hAnsi="Arial" w:cs="Arial"/>
          <w:color w:val="000000" w:themeColor="text1"/>
          <w:sz w:val="24"/>
          <w:szCs w:val="24"/>
        </w:rPr>
        <w:t xml:space="preserve">referencia de las demás preguntas </w:t>
      </w:r>
    </w:p>
    <w:p xmlns:wp14="http://schemas.microsoft.com/office/word/2010/wordml" w:rsidRPr="005D521A" w:rsidR="00803EF3" w:rsidP="005D521A" w:rsidRDefault="007B46CC" w14:paraId="109594EC" wp14:textId="77777777">
      <w:pPr>
        <w:spacing w:line="360" w:lineRule="auto"/>
        <w:rPr>
          <w:rFonts w:ascii="Arial" w:hAnsi="Arial" w:cs="Arial"/>
          <w:sz w:val="24"/>
          <w:szCs w:val="24"/>
        </w:rPr>
      </w:pPr>
      <w:hyperlink w:history="1" r:id="rId8">
        <w:r w:rsidRPr="005D521A" w:rsidR="00803EF3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https://www.ugr.es/~anamaria/fuentesws/Intro-FI.htm</w:t>
        </w:r>
      </w:hyperlink>
      <w:r w:rsidRPr="005D521A" w:rsidR="00803EF3">
        <w:rPr>
          <w:rFonts w:ascii="Arial" w:hAnsi="Arial" w:cs="Arial"/>
          <w:sz w:val="24"/>
          <w:szCs w:val="24"/>
        </w:rPr>
        <w:t xml:space="preserve"> </w:t>
      </w:r>
    </w:p>
    <w:sectPr w:rsidRPr="005D521A" w:rsidR="00803EF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DD0"/>
    <w:multiLevelType w:val="multilevel"/>
    <w:tmpl w:val="4C9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AE"/>
    <w:rsid w:val="0010290A"/>
    <w:rsid w:val="001F746D"/>
    <w:rsid w:val="003D4380"/>
    <w:rsid w:val="005D521A"/>
    <w:rsid w:val="00642901"/>
    <w:rsid w:val="007B46CC"/>
    <w:rsid w:val="007E0D7C"/>
    <w:rsid w:val="00803EF3"/>
    <w:rsid w:val="0099693C"/>
    <w:rsid w:val="00A17230"/>
    <w:rsid w:val="00B138AE"/>
    <w:rsid w:val="00B6092B"/>
    <w:rsid w:val="00B8494A"/>
    <w:rsid w:val="00C25BB2"/>
    <w:rsid w:val="00D375C0"/>
    <w:rsid w:val="00D64F27"/>
    <w:rsid w:val="00EA13E9"/>
    <w:rsid w:val="00FB70CC"/>
    <w:rsid w:val="00FE2D0A"/>
    <w:rsid w:val="0EAEF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FC0"/>
  <w15:chartTrackingRefBased/>
  <w15:docId w15:val="{D80FA91E-269C-4B22-A48C-B0543DDE5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2D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FE2D0A"/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D43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3E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gr.es/~anamaria/fuentesws/Intro-FI.htm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ugr.es/~anamaria/fuentesws/Intro-FI.ht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3.uah.es/bibliotecaformacion/BPOL/FUENTESDEINFORMACION/tipos_de_fuentes_de_informacin.html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5899dc6ea0f42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8595-e406-4756-bf8f-ec06c83972d9}"/>
      </w:docPartPr>
      <w:docPartBody>
        <w:p w14:paraId="06A2B3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Ild95</b:Tag>
    <b:SourceType>Book</b:SourceType>
    <b:Guid>{D00BE7E9-B068-498B-AC88-A2F5091FF666}</b:Guid>
    <b:Title>Fundamentos y técnicas de investigación comercial</b:Title>
    <b:Year>1995</b:Year>
    <b:Author>
      <b:Author>
        <b:NameList>
          <b:Person>
            <b:Last>Ildefonso Grande Esteban</b:Last>
            <b:First>Elena</b:First>
            <b:Middle>Abascal</b:Middle>
          </b:Person>
        </b:NameList>
      </b:Author>
    </b:Author>
    <b:Publisher>ESIC</b:Publisher>
    <b:RefOrder>1</b:RefOrder>
  </b:Source>
</b:Sources>
</file>

<file path=customXml/itemProps1.xml><?xml version="1.0" encoding="utf-8"?>
<ds:datastoreItem xmlns:ds="http://schemas.openxmlformats.org/officeDocument/2006/customXml" ds:itemID="{725F9C13-6884-4D1C-AA75-11FADF9D92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 Cordova Hernandez</dc:creator>
  <keywords/>
  <dc:description/>
  <lastModifiedBy>Michel Cordova Hernandez</lastModifiedBy>
  <revision>13</revision>
  <dcterms:created xsi:type="dcterms:W3CDTF">2017-10-15T21:44:58.4676293Z</dcterms:created>
  <dcterms:modified xsi:type="dcterms:W3CDTF">2017-10-15T22:36:16.1690438Z</dcterms:modified>
</coreProperties>
</file>