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F2FCA" w14:textId="64B503A7" w:rsidR="00C05EF2" w:rsidRDefault="00C05EF2"/>
    <w:p w14:paraId="0F0F4FC1" w14:textId="50C8E917" w:rsidR="004468AF" w:rsidRDefault="00FD06BC">
      <w:r>
        <w:rPr>
          <w:noProof/>
        </w:rPr>
        <w:drawing>
          <wp:inline distT="0" distB="0" distL="0" distR="0" wp14:anchorId="46A2FFBB" wp14:editId="2DD1EA12">
            <wp:extent cx="5391150" cy="2695575"/>
            <wp:effectExtent l="0" t="0" r="0" b="9525"/>
            <wp:docPr id="8309131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01748" w14:textId="77777777" w:rsidR="004468AF" w:rsidRDefault="004468AF"/>
    <w:p w14:paraId="57BAB87F" w14:textId="77777777" w:rsidR="00FD06BC" w:rsidRPr="00FD06BC" w:rsidRDefault="00FD06BC" w:rsidP="00FD06BC">
      <w:pPr>
        <w:rPr>
          <w:b/>
          <w:bCs/>
        </w:rPr>
      </w:pPr>
      <w:r w:rsidRPr="00FD06BC">
        <w:rPr>
          <w:b/>
          <w:bCs/>
        </w:rPr>
        <w:t>1. Estimativa da Concentração Inibitória Mínima (CIM)</w:t>
      </w:r>
    </w:p>
    <w:p w14:paraId="3144C2F8" w14:textId="77777777" w:rsidR="00FD06BC" w:rsidRPr="00FD06BC" w:rsidRDefault="00FD06BC" w:rsidP="00FD06BC">
      <w:r w:rsidRPr="00FD06BC">
        <w:t xml:space="preserve">A </w:t>
      </w:r>
      <w:hyperlink r:id="rId6" w:tgtFrame="_blank" w:history="1">
        <w:r w:rsidRPr="00FD06BC">
          <w:rPr>
            <w:rStyle w:val="Hyperlink"/>
          </w:rPr>
          <w:t>Concentração Inibitória Mínima (CIM)</w:t>
        </w:r>
      </w:hyperlink>
      <w:r w:rsidRPr="00FD06BC">
        <w:t xml:space="preserve"> corresponde à menor concentração de um agente capaz de inibir visualmente o crescimento de um microrganismo.</w:t>
      </w:r>
    </w:p>
    <w:p w14:paraId="35F86DF9" w14:textId="77777777" w:rsidR="00FD06BC" w:rsidRPr="00FD06BC" w:rsidRDefault="00FD06BC" w:rsidP="00FD06BC">
      <w:pPr>
        <w:numPr>
          <w:ilvl w:val="0"/>
          <w:numId w:val="2"/>
        </w:numPr>
      </w:pPr>
      <w:r w:rsidRPr="00FD06BC">
        <w:rPr>
          <w:b/>
          <w:bCs/>
        </w:rPr>
        <w:t>Do Extrato/Óleo (EAO)</w:t>
      </w:r>
      <w:r w:rsidRPr="00FD06BC">
        <w:t xml:space="preserve">: O EAO não atingiu a CIM verdadeira nas doses testadas. Para ser considerada a CIM, a linha deveria ter se mantido estática e zerada (como a </w:t>
      </w:r>
      <w:proofErr w:type="spellStart"/>
      <w:r w:rsidRPr="00FD06BC">
        <w:t>Nistatina</w:t>
      </w:r>
      <w:proofErr w:type="spellEnd"/>
      <w:r w:rsidRPr="00FD06BC">
        <w:t xml:space="preserve">). No entanto, o EAO 1000_4X (maior dose) mostra um forte efeito inibitório parcial até T8. Isso indica que a CIM real do EAO está em uma </w:t>
      </w:r>
      <w:r w:rsidRPr="00FD06BC">
        <w:rPr>
          <w:b/>
          <w:bCs/>
        </w:rPr>
        <w:t>concentração superior a 1000 (4X)</w:t>
      </w:r>
      <w:r w:rsidRPr="00FD06BC">
        <w:t>.</w:t>
      </w:r>
    </w:p>
    <w:p w14:paraId="169FC70C" w14:textId="77777777" w:rsidR="00FD06BC" w:rsidRPr="00FD06BC" w:rsidRDefault="00FD06BC" w:rsidP="00FD06BC">
      <w:pPr>
        <w:numPr>
          <w:ilvl w:val="0"/>
          <w:numId w:val="2"/>
        </w:numPr>
      </w:pPr>
      <w:r w:rsidRPr="00FD06BC">
        <w:rPr>
          <w:b/>
          <w:bCs/>
        </w:rPr>
        <w:t xml:space="preserve">Da </w:t>
      </w:r>
      <w:proofErr w:type="spellStart"/>
      <w:r w:rsidRPr="00FD06BC">
        <w:rPr>
          <w:b/>
          <w:bCs/>
        </w:rPr>
        <w:t>Nistatina</w:t>
      </w:r>
      <w:proofErr w:type="spellEnd"/>
      <w:r w:rsidRPr="00FD06BC">
        <w:t xml:space="preserve">: A CIM da </w:t>
      </w:r>
      <w:proofErr w:type="spellStart"/>
      <w:r w:rsidRPr="00FD06BC">
        <w:t>Nistatina</w:t>
      </w:r>
      <w:proofErr w:type="spellEnd"/>
      <w:r w:rsidRPr="00FD06BC">
        <w:t xml:space="preserve"> é </w:t>
      </w:r>
      <w:r w:rsidRPr="00FD06BC">
        <w:rPr>
          <w:b/>
          <w:bCs/>
        </w:rPr>
        <w:t>igual ou menor que a dose 1X (Nistatina_4_1X)</w:t>
      </w:r>
      <w:r w:rsidRPr="00FD06BC">
        <w:t xml:space="preserve">. Como todas as curvas de </w:t>
      </w:r>
      <w:proofErr w:type="spellStart"/>
      <w:r w:rsidRPr="00FD06BC">
        <w:t>Nistatina</w:t>
      </w:r>
      <w:proofErr w:type="spellEnd"/>
      <w:r w:rsidRPr="00FD06BC">
        <w:t xml:space="preserve"> (1X, 2X, 4X) sobrepõem-se no eixo zero, a menor dose testada já foi completamente suficiente para suprimir o crescimento microbiano.</w:t>
      </w:r>
    </w:p>
    <w:p w14:paraId="0AA3C5D2" w14:textId="77777777" w:rsidR="00FD06BC" w:rsidRPr="00FD06BC" w:rsidRDefault="00FD06BC" w:rsidP="00FD06BC">
      <w:pPr>
        <w:rPr>
          <w:b/>
          <w:bCs/>
        </w:rPr>
      </w:pPr>
      <w:r w:rsidRPr="00FD06BC">
        <w:rPr>
          <w:b/>
          <w:bCs/>
        </w:rPr>
        <w:t>2. Discussão do Mecanismo de Ação Biológico</w:t>
      </w:r>
    </w:p>
    <w:p w14:paraId="47E8AE14" w14:textId="77777777" w:rsidR="00FD06BC" w:rsidRPr="00FD06BC" w:rsidRDefault="00FD06BC" w:rsidP="00FD06BC">
      <w:r w:rsidRPr="00FD06BC">
        <w:t>O comportamento das curvas ao longo do tempo revela o provável comportamento biológico de cada composto:</w:t>
      </w:r>
    </w:p>
    <w:p w14:paraId="446B1639" w14:textId="77777777" w:rsidR="00FD06BC" w:rsidRPr="00FD06BC" w:rsidRDefault="00FD06BC" w:rsidP="00FD06BC">
      <w:pPr>
        <w:numPr>
          <w:ilvl w:val="0"/>
          <w:numId w:val="3"/>
        </w:numPr>
      </w:pPr>
      <w:r w:rsidRPr="00FD06BC">
        <w:rPr>
          <w:b/>
          <w:bCs/>
        </w:rPr>
        <w:t xml:space="preserve">Efeito </w:t>
      </w:r>
      <w:proofErr w:type="spellStart"/>
      <w:r w:rsidRPr="00FD06BC">
        <w:rPr>
          <w:b/>
          <w:bCs/>
        </w:rPr>
        <w:t>Fungistático</w:t>
      </w:r>
      <w:proofErr w:type="spellEnd"/>
      <w:r w:rsidRPr="00FD06BC">
        <w:rPr>
          <w:b/>
          <w:bCs/>
        </w:rPr>
        <w:t>/Bacteriostático Temporário (EAO)</w:t>
      </w:r>
      <w:r w:rsidRPr="00FD06BC">
        <w:t xml:space="preserve">: As curvas do EAO 500 (2X) e EAO 1000 (4X) mostram um atraso evidente no início da fase logarítmica (fase de crescimento rápido). O EAO consegue segurar a replicação nas primeiras 4 a 8 horas. Contudo, após T8, ocorre o fenômeno de </w:t>
      </w:r>
      <w:proofErr w:type="spellStart"/>
      <w:r w:rsidRPr="00FD06BC">
        <w:rPr>
          <w:i/>
          <w:iCs/>
        </w:rPr>
        <w:t>regrowth</w:t>
      </w:r>
      <w:proofErr w:type="spellEnd"/>
      <w:r w:rsidRPr="00FD06BC">
        <w:t xml:space="preserve"> (retomada do crescimento). Isso sugere que o EAO atua retardando o metabolismo ou que o composto ativo sofreu degradação biológica/física no meio de cultura após esse período.</w:t>
      </w:r>
    </w:p>
    <w:p w14:paraId="5B406431" w14:textId="77777777" w:rsidR="00FD06BC" w:rsidRPr="00FD06BC" w:rsidRDefault="00FD06BC" w:rsidP="00FD06BC">
      <w:pPr>
        <w:numPr>
          <w:ilvl w:val="0"/>
          <w:numId w:val="3"/>
        </w:numPr>
      </w:pPr>
      <w:r w:rsidRPr="00FD06BC">
        <w:rPr>
          <w:b/>
          <w:bCs/>
        </w:rPr>
        <w:lastRenderedPageBreak/>
        <w:t>Efeito Fungicida/Bactericida Total (</w:t>
      </w:r>
      <w:proofErr w:type="spellStart"/>
      <w:r w:rsidRPr="00FD06BC">
        <w:rPr>
          <w:b/>
          <w:bCs/>
        </w:rPr>
        <w:t>Nistatina</w:t>
      </w:r>
      <w:proofErr w:type="spellEnd"/>
      <w:r w:rsidRPr="00FD06BC">
        <w:rPr>
          <w:b/>
          <w:bCs/>
        </w:rPr>
        <w:t>)</w:t>
      </w:r>
      <w:r w:rsidRPr="00FD06BC">
        <w:t xml:space="preserve">: A linha reta cravada no zero do início ao fim confirma a letalidade do tratamento de referência. A </w:t>
      </w:r>
      <w:proofErr w:type="spellStart"/>
      <w:r w:rsidRPr="00FD06BC">
        <w:t>Nistatina</w:t>
      </w:r>
      <w:proofErr w:type="spellEnd"/>
      <w:r w:rsidRPr="00FD06BC">
        <w:t xml:space="preserve"> atua de forma imediata e permanente, destruindo a viabilidade celular (por exemplo, alterando a permeabilidade da membrana) e impedindo qualquer recuperação microbiológica até T24.</w:t>
      </w:r>
    </w:p>
    <w:p w14:paraId="5050A3AF" w14:textId="77777777" w:rsidR="00FD06BC" w:rsidRPr="00FD06BC" w:rsidRDefault="00FD06BC" w:rsidP="00FD06BC">
      <w:pPr>
        <w:rPr>
          <w:b/>
          <w:bCs/>
        </w:rPr>
      </w:pPr>
      <w:r w:rsidRPr="00FD06BC">
        <w:rPr>
          <w:b/>
          <w:bCs/>
        </w:rPr>
        <w:t>3. Impacto do Limite de Contagem nos Resultados</w:t>
      </w:r>
    </w:p>
    <w:p w14:paraId="40A46264" w14:textId="77777777" w:rsidR="00FD06BC" w:rsidRPr="00FD06BC" w:rsidRDefault="00FD06BC" w:rsidP="00FD06BC">
      <w:r w:rsidRPr="00FD06BC">
        <w:t>A linha tracejada vermelha representa o "Limite de Contagem (Incontáveis)", geralmente fixada em placas de cultivo onde o número de colônias satura visualmente o método físico (</w:t>
      </w:r>
      <w:proofErr w:type="spellStart"/>
      <w:r w:rsidRPr="00FD06BC">
        <w:t>ex</w:t>
      </w:r>
      <w:proofErr w:type="spellEnd"/>
      <w:r w:rsidRPr="00FD06BC">
        <w:t>: acima de 250 ou 300 UFC/</w:t>
      </w:r>
      <w:proofErr w:type="spellStart"/>
      <w:r w:rsidRPr="00FD06BC">
        <w:t>mL</w:t>
      </w:r>
      <w:proofErr w:type="spellEnd"/>
      <w:r w:rsidRPr="00FD06BC">
        <w:t>).</w:t>
      </w:r>
    </w:p>
    <w:p w14:paraId="7D5F6CCB" w14:textId="77777777" w:rsidR="00FD06BC" w:rsidRPr="00FD06BC" w:rsidRDefault="00FD06BC" w:rsidP="00FD06BC">
      <w:pPr>
        <w:numPr>
          <w:ilvl w:val="0"/>
          <w:numId w:val="4"/>
        </w:numPr>
      </w:pPr>
      <w:r w:rsidRPr="00FD06BC">
        <w:rPr>
          <w:b/>
          <w:bCs/>
        </w:rPr>
        <w:t>Mascaramento do Efeito Residual</w:t>
      </w:r>
      <w:r w:rsidRPr="00FD06BC">
        <w:t xml:space="preserve">: O fato de os grupos EAO (1X, 2X e 4X) convergirem exatamente no mesmo ponto que os controles em T24 </w:t>
      </w:r>
      <w:r w:rsidRPr="00FD06BC">
        <w:rPr>
          <w:b/>
          <w:bCs/>
        </w:rPr>
        <w:t>não significa que eles perderam 100% do efeito</w:t>
      </w:r>
      <w:r w:rsidRPr="00FD06BC">
        <w:t>.</w:t>
      </w:r>
    </w:p>
    <w:p w14:paraId="50DD991D" w14:textId="77777777" w:rsidR="00FD06BC" w:rsidRPr="00FD06BC" w:rsidRDefault="00FD06BC" w:rsidP="00FD06BC">
      <w:pPr>
        <w:numPr>
          <w:ilvl w:val="0"/>
          <w:numId w:val="4"/>
        </w:numPr>
      </w:pPr>
      <w:r w:rsidRPr="00FD06BC">
        <w:rPr>
          <w:b/>
          <w:bCs/>
        </w:rPr>
        <w:t>Saturação Estatística</w:t>
      </w:r>
      <w:r w:rsidRPr="00FD06BC">
        <w:t>: Como o método de leitura saturou, o controle pode estar numericamente em 1.000 UFC/</w:t>
      </w:r>
      <w:proofErr w:type="spellStart"/>
      <w:r w:rsidRPr="00FD06BC">
        <w:t>mL</w:t>
      </w:r>
      <w:proofErr w:type="spellEnd"/>
      <w:r w:rsidRPr="00FD06BC">
        <w:t xml:space="preserve"> e o EAO 1000_4X pode estar em 260 UFC/</w:t>
      </w:r>
      <w:proofErr w:type="spellStart"/>
      <w:r w:rsidRPr="00FD06BC">
        <w:t>mL</w:t>
      </w:r>
      <w:proofErr w:type="spellEnd"/>
      <w:r w:rsidRPr="00FD06BC">
        <w:t>, mas ambos aparecem estagnados na linha de "250". Portanto, o limite de contagem impede a avaliação real da eficácia dos extratos no ponto final de 24 horas, subestimando as diferenças reais entre os tratamentos.</w:t>
      </w:r>
    </w:p>
    <w:p w14:paraId="0A430AF3" w14:textId="77777777" w:rsidR="004468AF" w:rsidRDefault="004468AF"/>
    <w:p w14:paraId="4A7393DA" w14:textId="77777777" w:rsidR="004468AF" w:rsidRDefault="004468AF"/>
    <w:p w14:paraId="2582234C" w14:textId="14EB35FA" w:rsidR="004468AF" w:rsidRDefault="004468AF"/>
    <w:p w14:paraId="2BC5E214" w14:textId="77777777" w:rsidR="004468AF" w:rsidRDefault="004468AF"/>
    <w:p w14:paraId="5AAF0D9B" w14:textId="77777777" w:rsidR="004468AF" w:rsidRDefault="004468AF"/>
    <w:sectPr w:rsidR="004468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3056F"/>
    <w:multiLevelType w:val="multilevel"/>
    <w:tmpl w:val="6B7E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A91C66"/>
    <w:multiLevelType w:val="multilevel"/>
    <w:tmpl w:val="794C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0151FB"/>
    <w:multiLevelType w:val="multilevel"/>
    <w:tmpl w:val="9AFC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BF4D09"/>
    <w:multiLevelType w:val="multilevel"/>
    <w:tmpl w:val="198A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9432599">
    <w:abstractNumId w:val="2"/>
  </w:num>
  <w:num w:numId="2" w16cid:durableId="1982614750">
    <w:abstractNumId w:val="3"/>
  </w:num>
  <w:num w:numId="3" w16cid:durableId="556859422">
    <w:abstractNumId w:val="0"/>
  </w:num>
  <w:num w:numId="4" w16cid:durableId="12092934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8AF"/>
    <w:rsid w:val="00313407"/>
    <w:rsid w:val="004468AF"/>
    <w:rsid w:val="00582ED2"/>
    <w:rsid w:val="0071530D"/>
    <w:rsid w:val="007C03CD"/>
    <w:rsid w:val="00C05EF2"/>
    <w:rsid w:val="00D43F9C"/>
    <w:rsid w:val="00FD0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FA4394"/>
  <w15:chartTrackingRefBased/>
  <w15:docId w15:val="{3A38FC86-C5AD-4E10-8032-2988A637B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468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46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468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468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468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468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468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468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468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468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468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468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468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468A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468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468A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468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468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468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46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468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468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468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468A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468A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468A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468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468A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468A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FD06B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D06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t.wikipedia.org/wiki/Concentra%C3%A7%C3%A3o_inibit%C3%B3ria_m%C3%ADnima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417</Words>
  <Characters>2255</Characters>
  <Application>Microsoft Office Word</Application>
  <DocSecurity>0</DocSecurity>
  <Lines>18</Lines>
  <Paragraphs>5</Paragraphs>
  <ScaleCrop>false</ScaleCrop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 Silva</dc:creator>
  <cp:keywords/>
  <dc:description/>
  <cp:lastModifiedBy>Michel Silva</cp:lastModifiedBy>
  <cp:revision>3</cp:revision>
  <dcterms:created xsi:type="dcterms:W3CDTF">2026-06-30T20:43:00Z</dcterms:created>
  <dcterms:modified xsi:type="dcterms:W3CDTF">2026-06-30T21:16:00Z</dcterms:modified>
</cp:coreProperties>
</file>