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E7A8" w14:textId="77777777" w:rsidR="001B0CDB" w:rsidRDefault="000851F9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Report </w:t>
      </w:r>
      <w:proofErr w:type="spellStart"/>
      <w:r>
        <w:rPr>
          <w:rFonts w:ascii="Times New Roman" w:eastAsia="Times New Roman" w:hAnsi="Times New Roman" w:cs="Times New Roman"/>
          <w:b/>
        </w:rPr>
        <w:t>assignment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2ED80DF8" w14:textId="77777777" w:rsidR="001B0CDB" w:rsidRDefault="000851F9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Michela Cortinovis,</w:t>
      </w:r>
    </w:p>
    <w:p w14:paraId="319CB956" w14:textId="77777777" w:rsidR="001B0CDB" w:rsidRDefault="000851F9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Mina D’Aversa,</w:t>
      </w:r>
    </w:p>
    <w:p w14:paraId="647EF4B4" w14:textId="4CDBDB55" w:rsidR="001B0CDB" w:rsidRDefault="000851F9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Robert</w:t>
      </w:r>
      <w:r w:rsidR="00AA5C46">
        <w:rPr>
          <w:rFonts w:ascii="Times New Roman" w:eastAsia="Times New Roman" w:hAnsi="Times New Roman" w:cs="Times New Roman"/>
          <w:sz w:val="22"/>
          <w:szCs w:val="22"/>
        </w:rPr>
        <w:t>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Dorata,</w:t>
      </w:r>
    </w:p>
    <w:p w14:paraId="757E7CC5" w14:textId="77777777" w:rsidR="001B0CDB" w:rsidRDefault="000851F9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Costanza Gambino,</w:t>
      </w:r>
    </w:p>
    <w:p w14:paraId="10859A8A" w14:textId="6DD9371E" w:rsidR="001B0CDB" w:rsidRDefault="000851F9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Rachel</w:t>
      </w:r>
      <w:r w:rsidR="004E0A13">
        <w:rPr>
          <w:rFonts w:ascii="Times New Roman" w:eastAsia="Times New Roman" w:hAnsi="Times New Roman" w:cs="Times New Roman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Scarmana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086551B" w14:textId="77777777" w:rsidR="001B0CDB" w:rsidRDefault="000851F9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Optimal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Capital </w:t>
      </w:r>
      <w:proofErr w:type="spellStart"/>
      <w:r>
        <w:rPr>
          <w:rFonts w:ascii="Times New Roman" w:eastAsia="Times New Roman" w:hAnsi="Times New Roman" w:cs="Times New Roman"/>
          <w:b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Principles</w:t>
      </w:r>
      <w:proofErr w:type="spellEnd"/>
    </w:p>
    <w:p w14:paraId="6C7BD6C1" w14:textId="77777777" w:rsidR="001B0CDB" w:rsidRDefault="000851F9">
      <w:pPr>
        <w:spacing w:line="276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Dhaene</w:t>
      </w:r>
      <w:proofErr w:type="spellEnd"/>
      <w:r>
        <w:rPr>
          <w:rFonts w:ascii="Times New Roman" w:eastAsia="Times New Roman" w:hAnsi="Times New Roman" w:cs="Times New Roman"/>
        </w:rPr>
        <w:t xml:space="preserve"> et al.</w:t>
      </w:r>
    </w:p>
    <w:p w14:paraId="65EAA452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u w:val="single"/>
        </w:rPr>
        <w:t>capitale</w:t>
      </w:r>
      <w:r>
        <w:rPr>
          <w:rFonts w:ascii="Times New Roman" w:eastAsia="Times New Roman" w:hAnsi="Times New Roman" w:cs="Times New Roman"/>
        </w:rPr>
        <w:t xml:space="preserve"> disponibile di copertura del rischio che deve essere detenuto dalle società è determinato in base alle regole stabilite dal regolatore che cerca di contemperare gli interessi di tutti gli stakeholders. Lo scopo è fare in modo che le società siano in grado</w:t>
      </w:r>
      <w:r>
        <w:rPr>
          <w:rFonts w:ascii="Times New Roman" w:eastAsia="Times New Roman" w:hAnsi="Times New Roman" w:cs="Times New Roman"/>
        </w:rPr>
        <w:t xml:space="preserve"> di adempiere, alla scadenza, ai propri obblighi finanziari con elevata probabilità, anche in condizioni avverse. </w:t>
      </w:r>
    </w:p>
    <w:p w14:paraId="75AEC184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 modello Enterprise Risk Management (ERM) ha il compito di migliorare l’identificazione, la misurazione, la determinazione del prezzo e il </w:t>
      </w:r>
      <w:r>
        <w:rPr>
          <w:rFonts w:ascii="Times New Roman" w:eastAsia="Times New Roman" w:hAnsi="Times New Roman" w:cs="Times New Roman"/>
        </w:rPr>
        <w:t xml:space="preserve">controllo dei rischi. Un’importante componente è </w:t>
      </w:r>
      <w:r>
        <w:rPr>
          <w:rFonts w:ascii="Times New Roman" w:eastAsia="Times New Roman" w:hAnsi="Times New Roman" w:cs="Times New Roman"/>
          <w:u w:val="single"/>
        </w:rPr>
        <w:t>l’allocazione di capitale,</w:t>
      </w:r>
      <w:r>
        <w:rPr>
          <w:rFonts w:ascii="Times New Roman" w:eastAsia="Times New Roman" w:hAnsi="Times New Roman" w:cs="Times New Roman"/>
        </w:rPr>
        <w:t xml:space="preserve"> ovvero sulla suddivisione del capitale aggregato detenuto dall’impresa tra le sue costituenti. Infatti, la maggior parte delle società finanziarie considerano diverse linee di busi</w:t>
      </w:r>
      <w:r>
        <w:rPr>
          <w:rFonts w:ascii="Times New Roman" w:eastAsia="Times New Roman" w:hAnsi="Times New Roman" w:cs="Times New Roman"/>
        </w:rPr>
        <w:t xml:space="preserve">ness e, in base a queste, predispongono l’allocazione del capitale ai fini, ad esempio, di comparare performances e rischiosità o supportare le decisioni. </w:t>
      </w:r>
    </w:p>
    <w:p w14:paraId="4C42DC17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Esistono </w:t>
      </w:r>
      <w:r>
        <w:rPr>
          <w:rFonts w:ascii="Times New Roman" w:eastAsia="Times New Roman" w:hAnsi="Times New Roman" w:cs="Times New Roman"/>
          <w:u w:val="single"/>
        </w:rPr>
        <w:t>diverse metodologie</w:t>
      </w:r>
      <w:r>
        <w:rPr>
          <w:rFonts w:ascii="Times New Roman" w:eastAsia="Times New Roman" w:hAnsi="Times New Roman" w:cs="Times New Roman"/>
        </w:rPr>
        <w:t xml:space="preserve"> per allocare il capitale aggregato a causa delle dipendenze reciproche </w:t>
      </w:r>
      <w:r>
        <w:rPr>
          <w:rFonts w:ascii="Times New Roman" w:eastAsia="Times New Roman" w:hAnsi="Times New Roman" w:cs="Times New Roman"/>
        </w:rPr>
        <w:t xml:space="preserve">che possono esistere tra le prestazioni delle varie unità di business. Questo articolo costituisce un quadro generico progettato per affrontare i diversi criteri in un contesto globale. </w:t>
      </w:r>
    </w:p>
    <w:p w14:paraId="3C023100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Consideriamo l’allocazione di capitale come il risultato di un partic</w:t>
      </w:r>
      <w:r>
        <w:rPr>
          <w:rFonts w:ascii="Times New Roman" w:eastAsia="Times New Roman" w:hAnsi="Times New Roman" w:cs="Times New Roman"/>
        </w:rPr>
        <w:t xml:space="preserve">olare problema di ottimizzazione in cui la somma ponderata delle misure per gli scostamenti delle perdite dell’unità di business del rispettivo capitale allocato sono ridotti al minimo. </w:t>
      </w:r>
    </w:p>
    <w:p w14:paraId="3B1EB440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L’approccio proposto è giustificato così come segue:</w:t>
      </w:r>
    </w:p>
    <w:p w14:paraId="23F5E0A1" w14:textId="77777777" w:rsidR="001B0CDB" w:rsidRDefault="000851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È equo perché il</w:t>
      </w:r>
      <w:r>
        <w:rPr>
          <w:rFonts w:ascii="Times New Roman" w:eastAsia="Times New Roman" w:hAnsi="Times New Roman" w:cs="Times New Roman"/>
          <w:color w:val="000000"/>
        </w:rPr>
        <w:t xml:space="preserve"> capitale allocato dovrebbe riflettere il rischio associato; inoltre, i portafogli rischiosi vengono penalizzati, quelli meno rischiosi premiati.</w:t>
      </w:r>
    </w:p>
    <w:p w14:paraId="2AB7511D" w14:textId="77777777" w:rsidR="001B0CDB" w:rsidRDefault="000851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È molto flessibile perché la funzione obiettivo può riflettere definizioni alternative di tolleranza al rischi</w:t>
      </w:r>
      <w:r>
        <w:rPr>
          <w:rFonts w:ascii="Times New Roman" w:eastAsia="Times New Roman" w:hAnsi="Times New Roman" w:cs="Times New Roman"/>
          <w:color w:val="000000"/>
        </w:rPr>
        <w:t xml:space="preserve">o aziendale. Grazie a questa flessibilità, il quadro generale riproduce diversi metodi di allocazione del capitale. </w:t>
      </w:r>
    </w:p>
    <w:p w14:paraId="55AF8A18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Vengono quindi mostrati molti approcci di allocazione di capitale, studiati attraverso un quadro comune. </w:t>
      </w:r>
    </w:p>
    <w:p w14:paraId="4A519C46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Infatti, </w:t>
      </w:r>
      <w:r>
        <w:rPr>
          <w:rFonts w:ascii="Times New Roman" w:eastAsia="Times New Roman" w:hAnsi="Times New Roman" w:cs="Times New Roman"/>
          <w:u w:val="single"/>
        </w:rPr>
        <w:t>lo scopo</w:t>
      </w:r>
      <w:r>
        <w:rPr>
          <w:rFonts w:ascii="Times New Roman" w:eastAsia="Times New Roman" w:hAnsi="Times New Roman" w:cs="Times New Roman"/>
        </w:rPr>
        <w:t xml:space="preserve"> del nostro appr</w:t>
      </w:r>
      <w:r>
        <w:rPr>
          <w:rFonts w:ascii="Times New Roman" w:eastAsia="Times New Roman" w:hAnsi="Times New Roman" w:cs="Times New Roman"/>
        </w:rPr>
        <w:t>occio non è scegliere un metodo di allocazione del capitale “migliore possibile” ma considerare formule di allocazione differenti come parte dello stesso framework al fine di renderli più comparabili e proponendo interpretazioni alternative.</w:t>
      </w:r>
    </w:p>
    <w:p w14:paraId="37E5164D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Capital </w:t>
      </w:r>
      <w:proofErr w:type="spellStart"/>
      <w:r>
        <w:rPr>
          <w:rFonts w:ascii="Times New Roman" w:eastAsia="Times New Roman" w:hAnsi="Times New Roman" w:cs="Times New Roman"/>
        </w:rPr>
        <w:t>Alloca</w:t>
      </w:r>
      <w:r>
        <w:rPr>
          <w:rFonts w:ascii="Times New Roman" w:eastAsia="Times New Roman" w:hAnsi="Times New Roman" w:cs="Times New Roman"/>
        </w:rPr>
        <w:t>tion</w:t>
      </w:r>
      <w:proofErr w:type="spellEnd"/>
    </w:p>
    <w:p w14:paraId="6A955EE3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Considerando un portafoglio di n perdite individuali X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 X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che si realizzano a una data futura fissata T, si definisce “</w:t>
      </w:r>
      <w:r>
        <w:rPr>
          <w:rFonts w:ascii="Times New Roman" w:eastAsia="Times New Roman" w:hAnsi="Times New Roman" w:cs="Times New Roman"/>
          <w:u w:val="single"/>
        </w:rPr>
        <w:t>perdita aggregata</w:t>
      </w:r>
      <w:r>
        <w:rPr>
          <w:rFonts w:ascii="Times New Roman" w:eastAsia="Times New Roman" w:hAnsi="Times New Roman" w:cs="Times New Roman"/>
        </w:rPr>
        <w:t xml:space="preserve">” la somma </w:t>
      </w:r>
      <m:oMath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e può essere interpretata come la perdita totale di una società dove le perdite individuali corrispondono alle perdite delle business unit. </w:t>
      </w:r>
    </w:p>
    <w:p w14:paraId="7F661F46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Assumiamo che la società abbia già determinato il livello di capitale aggregato, denotato con K. La società necessi</w:t>
      </w:r>
      <w:r>
        <w:rPr>
          <w:rFonts w:ascii="Times New Roman" w:eastAsia="Times New Roman" w:hAnsi="Times New Roman" w:cs="Times New Roman"/>
        </w:rPr>
        <w:t>ta di allocare il livello aggregato di capitale rischioso, K, nelle varie unità di business, cioè determinare i numeri reali non negativi K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che soddisfano il requisito dell’allocazione completa: </w:t>
      </w:r>
    </w:p>
    <w:p w14:paraId="0BCAC774" w14:textId="77777777" w:rsidR="001B0CDB" w:rsidRDefault="000851F9">
      <w:pPr>
        <w:jc w:val="center"/>
        <w:rPr>
          <w:rFonts w:ascii="Cambria Math" w:eastAsia="Cambria Math" w:hAnsi="Cambria Math" w:cs="Cambria Math"/>
        </w:rPr>
      </w:pPr>
      <m:oMathPara>
        <m:oMath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K</m:t>
          </m:r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7D526CE7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L’esercizio di allocazione potrebbe e</w:t>
      </w:r>
      <w:r>
        <w:rPr>
          <w:rFonts w:ascii="Times New Roman" w:eastAsia="Times New Roman" w:hAnsi="Times New Roman" w:cs="Times New Roman"/>
        </w:rPr>
        <w:t xml:space="preserve">ssere effettuato per classificare le attività di business secondo livelli di redditività. </w:t>
      </w:r>
    </w:p>
    <w:p w14:paraId="5E28C9DC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Dato che può essere effettuato in modi diversi, un ragionevole punto di partenza è richiedere che l’ammontare del capitale allocato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sia “vicino” alla sua perdita </w:t>
      </w:r>
      <w:r>
        <w:rPr>
          <w:rFonts w:ascii="Times New Roman" w:eastAsia="Times New Roman" w:hAnsi="Times New Roman" w:cs="Times New Roman"/>
        </w:rPr>
        <w:t xml:space="preserve">corrispondente </w:t>
      </w:r>
      <w:proofErr w:type="spellStart"/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(definita in modo appropriato). </w:t>
      </w:r>
    </w:p>
    <w:p w14:paraId="5DD4E525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 sotto vengono riportati </w:t>
      </w:r>
      <w:r>
        <w:rPr>
          <w:rFonts w:ascii="Times New Roman" w:eastAsia="Times New Roman" w:hAnsi="Times New Roman" w:cs="Times New Roman"/>
          <w:u w:val="single"/>
        </w:rPr>
        <w:t>i principali metodi di allocazione del capitale</w:t>
      </w:r>
    </w:p>
    <w:p w14:paraId="4B67AFAE" w14:textId="77777777" w:rsidR="001B0CDB" w:rsidRDefault="000851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Haircut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Principle</w:t>
      </w:r>
      <w:proofErr w:type="spellEnd"/>
    </w:p>
    <w:p w14:paraId="63CB8DFC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Metodo largamente utilizzato per misurare le perdite individuali con un Value At Risk a un livello di</w:t>
      </w:r>
      <w:r>
        <w:rPr>
          <w:rFonts w:ascii="Times New Roman" w:eastAsia="Times New Roman" w:hAnsi="Times New Roman" w:cs="Times New Roman"/>
        </w:rPr>
        <w:t xml:space="preserve"> probabilità p. Consiste nell’allocazione del capitale di rischio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r>
          <w:rPr>
            <w:rFonts w:ascii="Cambria Math" w:eastAsia="Cambria Math" w:hAnsi="Cambria Math" w:cs="Cambria Math"/>
          </w:rPr>
          <m:t>γ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</m:e>
        </m:d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 alla i-esima business unit, dove il fattore </w:t>
      </w:r>
      <m:oMath>
        <m:r>
          <w:rPr>
            <w:rFonts w:ascii="Cambria Math" w:hAnsi="Cambria Math"/>
          </w:rPr>
          <m:t>γ</m:t>
        </m:r>
      </m:oMath>
      <w:r>
        <w:rPr>
          <w:rFonts w:ascii="Times New Roman" w:eastAsia="Times New Roman" w:hAnsi="Times New Roman" w:cs="Times New Roman"/>
        </w:rPr>
        <w:t xml:space="preserve"> è scelto in modo tale che il requisito della piena allocazione sia soddisfatto. Da qui deriva il principio di haircut alloc</w:t>
      </w:r>
      <w:proofErr w:type="spellStart"/>
      <w:r>
        <w:rPr>
          <w:rFonts w:ascii="Times New Roman" w:eastAsia="Times New Roman" w:hAnsi="Times New Roman" w:cs="Times New Roman"/>
        </w:rPr>
        <w:t>ation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312EC58" w14:textId="77777777" w:rsidR="001B0CDB" w:rsidRDefault="000851F9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K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/>
              </m:nary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</w:rPr>
            <m:t xml:space="preserve">         </m:t>
          </m:r>
          <m:r>
            <w:rPr>
              <w:rFonts w:ascii="Cambria Math" w:eastAsia="Cambria Math" w:hAnsi="Cambria Math" w:cs="Cambria Math"/>
            </w:rPr>
            <m:t>i</m:t>
          </m:r>
          <m:r>
            <w:rPr>
              <w:rFonts w:ascii="Cambria Math" w:eastAsia="Cambria Math" w:hAnsi="Cambria Math" w:cs="Cambria Math"/>
            </w:rPr>
            <m:t xml:space="preserve">=1, …, </m:t>
          </m:r>
          <m:r>
            <w:rPr>
              <w:rFonts w:ascii="Cambria Math" w:eastAsia="Cambria Math" w:hAnsi="Cambria Math" w:cs="Cambria Math"/>
            </w:rPr>
            <m:t>n</m:t>
          </m:r>
        </m:oMath>
      </m:oMathPara>
    </w:p>
    <w:p w14:paraId="58019FBE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 un valore esogeno di K, questa allocazione non è influenzata dalla struttura di dipendenza tra le perdite </w:t>
      </w:r>
      <w:proofErr w:type="spellStart"/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delle business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. In questo modo possiamo definire questo metodo indipendente </w:t>
      </w:r>
      <w:r>
        <w:rPr>
          <w:rFonts w:ascii="Times New Roman" w:eastAsia="Times New Roman" w:hAnsi="Times New Roman" w:cs="Times New Roman"/>
        </w:rPr>
        <w:t xml:space="preserve">da un contesto in cui il portafoglio incorpora le singole perdite </w:t>
      </w:r>
      <w:proofErr w:type="spellStart"/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Dato che il VaR non è sempre sub additivo, può succedere che il capitale allocato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questo metodo sia superiore al capitale richiesto per le business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 considerate singolarmente</w:t>
      </w:r>
      <w:r>
        <w:rPr>
          <w:rFonts w:ascii="Times New Roman" w:eastAsia="Times New Roman" w:hAnsi="Times New Roman" w:cs="Times New Roman"/>
        </w:rPr>
        <w:t>.</w:t>
      </w:r>
    </w:p>
    <w:p w14:paraId="515A2991" w14:textId="77777777" w:rsidR="001B0CDB" w:rsidRDefault="000851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The Quantile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Principle</w:t>
      </w:r>
      <w:proofErr w:type="spellEnd"/>
    </w:p>
    <w:p w14:paraId="0AF98EF3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Diversamente dal principio di haircut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, di ridurre (o incrementare) in modo proporzionale il capitale su ciascun quantile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</m:e>
        </m:d>
      </m:oMath>
      <w:r>
        <w:rPr>
          <w:rFonts w:ascii="Times New Roman" w:eastAsia="Times New Roman" w:hAnsi="Times New Roman" w:cs="Times New Roman"/>
        </w:rPr>
        <w:t>, è possibile utilizzare lo stesso livello di probabilità per tutte le busines</w:t>
      </w:r>
      <w:r>
        <w:rPr>
          <w:rFonts w:ascii="Times New Roman" w:eastAsia="Times New Roman" w:hAnsi="Times New Roman" w:cs="Times New Roman"/>
        </w:rPr>
        <w:t xml:space="preserve">s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. In questo modo si origina il </w:t>
      </w:r>
      <w:r>
        <w:rPr>
          <w:rFonts w:ascii="Times New Roman" w:eastAsia="Times New Roman" w:hAnsi="Times New Roman" w:cs="Times New Roman"/>
          <w:u w:val="single"/>
        </w:rPr>
        <w:t xml:space="preserve">quantile </w:t>
      </w:r>
      <w:proofErr w:type="spellStart"/>
      <w:r>
        <w:rPr>
          <w:rFonts w:ascii="Times New Roman" w:eastAsia="Times New Roman" w:hAnsi="Times New Roman" w:cs="Times New Roman"/>
          <w:u w:val="single"/>
        </w:rPr>
        <w:t>allocation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principle</w:t>
      </w:r>
      <w:proofErr w:type="spellEnd"/>
      <w:r>
        <w:rPr>
          <w:rFonts w:ascii="Times New Roman" w:eastAsia="Times New Roman" w:hAnsi="Times New Roman" w:cs="Times New Roman"/>
        </w:rPr>
        <w:t xml:space="preserve"> dove il capitale allocato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è dato da:</w:t>
      </w:r>
    </w:p>
    <w:p w14:paraId="22EDA9A4" w14:textId="77777777" w:rsidR="001B0CDB" w:rsidRDefault="000851F9">
      <w:pPr>
        <w:spacing w:after="120" w:line="276" w:lineRule="auto"/>
        <w:jc w:val="center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1(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w:rPr>
                <w:rFonts w:ascii="Cambria Math" w:eastAsia="Cambria Math" w:hAnsi="Cambria Math" w:cs="Cambria Math"/>
              </w:rPr>
              <m:t>)</m:t>
            </m:r>
          </m:sup>
        </m:sSub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βp</m:t>
            </m:r>
          </m:e>
        </m:d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con </w:t>
      </w:r>
      <m:oMath>
        <m:r>
          <w:rPr>
            <w:rFonts w:ascii="Cambria Math" w:eastAsia="Cambria Math" w:hAnsi="Cambria Math" w:cs="Cambria Math"/>
          </w:rPr>
          <m:t>α</m:t>
        </m:r>
        <m:r>
          <w:rPr>
            <w:rFonts w:ascii="Cambria Math" w:eastAsia="Cambria Math" w:hAnsi="Cambria Math" w:cs="Cambria Math"/>
          </w:rPr>
          <m:t xml:space="preserve">, </m:t>
        </m:r>
        <m:r>
          <w:rPr>
            <w:rFonts w:ascii="Cambria Math" w:eastAsia="Cambria Math" w:hAnsi="Cambria Math" w:cs="Cambria Math"/>
          </w:rPr>
          <m:t>β</m:t>
        </m:r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tali per cui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m:oMath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</m:t>
        </m:r>
        <m:r>
          <w:rPr>
            <w:rFonts w:ascii="Cambria Math" w:eastAsia="Cambria Math" w:hAnsi="Cambria Math" w:cs="Cambria Math"/>
          </w:rPr>
          <m:t xml:space="preserve"> </m:t>
        </m:r>
      </m:oMath>
    </w:p>
    <w:p w14:paraId="1291B63F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Questo metodo è preferito dal regolatore e dalle compagnie assicurative.</w:t>
      </w:r>
    </w:p>
    <w:p w14:paraId="7B09552B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Come haircut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principle</w:t>
      </w:r>
      <w:proofErr w:type="spellEnd"/>
      <w:r>
        <w:rPr>
          <w:rFonts w:ascii="Times New Roman" w:eastAsia="Times New Roman" w:hAnsi="Times New Roman" w:cs="Times New Roman"/>
        </w:rPr>
        <w:t xml:space="preserve"> i singoli capitali di rischio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non sono influenzati dalle dipendenze tra le varie business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>. Infatti, da notare che per funzioni strettamente c</w:t>
      </w:r>
      <w:r>
        <w:rPr>
          <w:rFonts w:ascii="Times New Roman" w:eastAsia="Times New Roman" w:hAnsi="Times New Roman" w:cs="Times New Roman"/>
        </w:rPr>
        <w:t xml:space="preserve">rescenti con distribuzione continua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, il quantile allocation principle può essere considerato come un caso speciale di haircut allocation principle scegliendo </w:t>
      </w:r>
      <m:oMath>
        <m:r>
          <w:rPr>
            <w:rFonts w:ascii="Cambria Math" w:eastAsia="Cambria Math" w:hAnsi="Cambria Math" w:cs="Cambria Math"/>
          </w:rPr>
          <m:t>p</m:t>
        </m:r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c</m:t>
                </m:r>
              </m:sup>
            </m:sSup>
          </m:sub>
        </m:sSub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K</m:t>
        </m:r>
        <m:r>
          <w:rPr>
            <w:rFonts w:ascii="Cambria Math" w:eastAsia="Cambria Math" w:hAnsi="Cambria Math" w:cs="Cambria Math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dove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</w:rPr>
              <m:t>c</m:t>
            </m:r>
          </m:sup>
        </m:sSup>
        <m:r>
          <w:rPr>
            <w:rFonts w:ascii="Cambria Math" w:eastAsia="Cambria Math" w:hAnsi="Cambria Math" w:cs="Cambria Math"/>
          </w:rPr>
          <m:t xml:space="preserve">= 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U</m:t>
        </m:r>
        <m:r>
          <w:rPr>
            <w:rFonts w:ascii="Cambria Math" w:eastAsia="Cambria Math" w:hAnsi="Cambria Math" w:cs="Cambria Math"/>
          </w:rPr>
          <m:t>)</m:t>
        </m:r>
      </m:oMath>
    </w:p>
    <w:p w14:paraId="30153AFF" w14:textId="77777777" w:rsidR="001B0CDB" w:rsidRDefault="000851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Covariance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Principle</w:t>
      </w:r>
      <w:proofErr w:type="spellEnd"/>
    </w:p>
    <w:p w14:paraId="39852387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Definisce il </w:t>
      </w:r>
      <w:r>
        <w:rPr>
          <w:rFonts w:ascii="Times New Roman" w:eastAsia="Times New Roman" w:hAnsi="Times New Roman" w:cs="Times New Roman"/>
        </w:rPr>
        <w:t>capitale di rischio individuale come</w:t>
      </w:r>
      <w:r>
        <w:rPr>
          <w:rFonts w:ascii="Times New Roman" w:eastAsia="Times New Roman" w:hAnsi="Times New Roman" w:cs="Times New Roman"/>
        </w:rPr>
        <w:tab/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</w:rPr>
              <m:t>Var</m:t>
            </m:r>
            <m: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S</m:t>
            </m:r>
            <m:r>
              <w:rPr>
                <w:rFonts w:ascii="Cambria Math" w:eastAsia="Cambria Math" w:hAnsi="Cambria Math" w:cs="Cambria Math"/>
              </w:rPr>
              <m:t>]</m:t>
            </m:r>
          </m:den>
        </m:f>
        <m:r>
          <w:rPr>
            <w:rFonts w:ascii="Cambria Math" w:eastAsia="Cambria Math" w:hAnsi="Cambria Math" w:cs="Cambria Math"/>
          </w:rPr>
          <m:t>Cov</m:t>
        </m:r>
        <m:r>
          <w:rPr>
            <w:rFonts w:ascii="Cambria Math" w:eastAsia="Cambria Math" w:hAnsi="Cambria Math" w:cs="Cambria Math"/>
          </w:rPr>
          <m:t>[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</w:rPr>
          <m:t>]</m:t>
        </m:r>
      </m:oMath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>i = 1, …, n</w:t>
      </w:r>
    </w:p>
    <w:p w14:paraId="43B0B22F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Dove </w:t>
      </w:r>
      <w:proofErr w:type="spellStart"/>
      <w:r>
        <w:rPr>
          <w:rFonts w:ascii="Times New Roman" w:eastAsia="Times New Roman" w:hAnsi="Times New Roman" w:cs="Times New Roman"/>
        </w:rPr>
        <w:t>Cov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S] è la covarianza tra le singole perdite </w:t>
      </w:r>
      <w:proofErr w:type="spellStart"/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 la perdita aggregata S e la </w:t>
      </w: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>[S] è la varianza della perdita aggregata S. Rispetto agli altri due metodi, que</w:t>
      </w:r>
      <w:r>
        <w:rPr>
          <w:rFonts w:ascii="Times New Roman" w:eastAsia="Times New Roman" w:hAnsi="Times New Roman" w:cs="Times New Roman"/>
        </w:rPr>
        <w:t xml:space="preserve">sto prende in considerazione esplicitamente la struttura di dipendenza delle perdite delle singole business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CB07B21" w14:textId="77777777" w:rsidR="001B0CDB" w:rsidRDefault="000851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The CTE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Principle</w:t>
      </w:r>
      <w:proofErr w:type="spellEnd"/>
    </w:p>
    <w:p w14:paraId="49709AD2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 CTE della perdita aggregata S ad un livello di probabilità p è definito come:</w:t>
      </w:r>
    </w:p>
    <w:p w14:paraId="7FF0519D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CTE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S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 xml:space="preserve">[ </m:t>
        </m:r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</w:rPr>
          <m:t xml:space="preserve"> |  </m:t>
        </m:r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</w:rPr>
          <m:t>&gt;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p</m:t>
        </m:r>
        <m:r>
          <w:rPr>
            <w:rFonts w:ascii="Cambria Math" w:eastAsia="Cambria Math" w:hAnsi="Cambria Math" w:cs="Cambria Math"/>
          </w:rPr>
          <m:t xml:space="preserve">)] </m:t>
        </m:r>
      </m:oMath>
    </w:p>
    <w:p w14:paraId="4177E062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Generalmente, il CTE è una misura di rischio che non soddisfa necessariamente la proprietà di sub additività. Tuttavia, risulta essere un</w:t>
      </w:r>
      <w:r>
        <w:rPr>
          <w:rFonts w:ascii="Times New Roman" w:eastAsia="Times New Roman" w:hAnsi="Times New Roman" w:cs="Times New Roman"/>
        </w:rPr>
        <w:t xml:space="preserve">a misura di rischio coerente nel caso in cui si considerano solamente variabili casuali con funzione di distribuzione continua. </w:t>
      </w:r>
    </w:p>
    <w:p w14:paraId="2EE7DC41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 un fissato livello di probabilità p, le allocazioni di rischio individuali sono descritte dalla formula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CTE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 xml:space="preserve">[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 |  </m:t>
        </m:r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</w:rPr>
          <m:t>&gt;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p</m:t>
        </m:r>
        <m:r>
          <w:rPr>
            <w:rFonts w:ascii="Cambria Math" w:eastAsia="Cambria Math" w:hAnsi="Cambria Math" w:cs="Cambria Math"/>
          </w:rPr>
          <m:t xml:space="preserve">)]      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>=1,…,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 xml:space="preserve">.   </m:t>
        </m:r>
      </m:oMath>
      <w:r>
        <w:rPr>
          <w:rFonts w:ascii="Times New Roman" w:eastAsia="Times New Roman" w:hAnsi="Times New Roman" w:cs="Times New Roman"/>
        </w:rPr>
        <w:t xml:space="preserve"> tenendo sempre in considerazione la struttura di dipendenza tra le varie business unit. </w:t>
      </w:r>
    </w:p>
    <w:p w14:paraId="0FF97C7D" w14:textId="77777777" w:rsidR="001B0CDB" w:rsidRDefault="000851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Proportional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Allocation</w:t>
      </w:r>
      <w:proofErr w:type="spellEnd"/>
    </w:p>
    <w:p w14:paraId="712976D6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 tratta di una classe generale di metodi di allocazione di capitali. Finora, i metodi visti sono </w:t>
      </w:r>
      <w:r>
        <w:rPr>
          <w:rFonts w:ascii="Times New Roman" w:eastAsia="Times New Roman" w:hAnsi="Times New Roman" w:cs="Times New Roman"/>
        </w:rPr>
        <w:t xml:space="preserve">stati ottenuti scegliendo una misura di rischio </w:t>
      </w:r>
      <m:oMath>
        <m:r>
          <w:rPr>
            <w:rFonts w:ascii="Cambria Math" w:hAnsi="Cambria Math"/>
          </w:rPr>
          <m:t>ρ</m:t>
        </m:r>
      </m:oMath>
      <w:r>
        <w:rPr>
          <w:rFonts w:ascii="Times New Roman" w:eastAsia="Times New Roman" w:hAnsi="Times New Roman" w:cs="Times New Roman"/>
        </w:rPr>
        <w:t xml:space="preserve"> e attribuendo la quantità di capitale necessaria secondo la formula</w:t>
      </w:r>
      <w:r>
        <w:rPr>
          <w:rFonts w:ascii="Times New Roman" w:eastAsia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∙</m:t>
        </m:r>
        <m:r>
          <w:rPr>
            <w:rFonts w:ascii="Cambria Math" w:eastAsia="Cambria Math" w:hAnsi="Cambria Math" w:cs="Cambria Math"/>
          </w:rPr>
          <m:t>ρ</m:t>
        </m:r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per ogni business unit. In base al valore di </w:t>
      </w:r>
      <m:oMath>
        <m:r>
          <w:rPr>
            <w:rFonts w:ascii="Cambria Math" w:hAnsi="Cambria Math"/>
          </w:rPr>
          <m:t>ρ</m:t>
        </m:r>
      </m:oMath>
      <w:r>
        <w:rPr>
          <w:rFonts w:ascii="Times New Roman" w:eastAsia="Times New Roman" w:hAnsi="Times New Roman" w:cs="Times New Roman"/>
        </w:rPr>
        <w:t xml:space="preserve"> si distinguono quindi i vari metodi. Questo origina il proportional allocation pr</w:t>
      </w:r>
      <w:proofErr w:type="spellStart"/>
      <w:r>
        <w:rPr>
          <w:rFonts w:ascii="Times New Roman" w:eastAsia="Times New Roman" w:hAnsi="Times New Roman" w:cs="Times New Roman"/>
        </w:rPr>
        <w:t>inciple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  <m:r>
                  <w:rPr>
                    <w:rFonts w:ascii="Cambria Math" w:eastAsia="Cambria Math" w:hAnsi="Cambria Math" w:cs="Cambria Math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</w:rPr>
              <m:t>ρ</m:t>
            </m:r>
            <m:r>
              <w:rPr>
                <w:rFonts w:ascii="Cambria Math" w:eastAsia="Cambria Math" w:hAnsi="Cambria Math" w:cs="Cambria Math"/>
              </w:rPr>
              <m:t>[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</w:rPr>
              <m:t>]</m:t>
            </m:r>
          </m:den>
        </m:f>
        <m:r>
          <w:rPr>
            <w:rFonts w:ascii="Cambria Math" w:eastAsia="Cambria Math" w:hAnsi="Cambria Math" w:cs="Cambria Math"/>
          </w:rPr>
          <m:t>ρ</m:t>
        </m:r>
        <m:r>
          <w:rPr>
            <w:rFonts w:ascii="Cambria Math" w:eastAsia="Cambria Math" w:hAnsi="Cambria Math" w:cs="Cambria Math"/>
          </w:rPr>
          <m:t>[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 xml:space="preserve">]      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 xml:space="preserve">=1, …, </m:t>
        </m:r>
        <m:r>
          <w:rPr>
            <w:rFonts w:ascii="Cambria Math" w:eastAsia="Cambria Math" w:hAnsi="Cambria Math" w:cs="Cambria Math"/>
          </w:rPr>
          <m:t>n</m:t>
        </m:r>
      </m:oMath>
    </w:p>
    <w:p w14:paraId="5EC0EF1E" w14:textId="77777777" w:rsidR="001B0CDB" w:rsidRDefault="000851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And Default Option</w:t>
      </w:r>
    </w:p>
    <w:p w14:paraId="2AA24A03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diversa classe di approcci è basata sulla proposta di Myers and Read che considera il valore dell’insurance default option. In questo metodo viene presentata la possi</w:t>
      </w:r>
      <w:r>
        <w:rPr>
          <w:rFonts w:ascii="Times New Roman" w:eastAsia="Times New Roman" w:hAnsi="Times New Roman" w:cs="Times New Roman"/>
        </w:rPr>
        <w:t xml:space="preserve">bilità per cui gli investitori non sono obbligati a pagare la perdita in eccesso (S - K) in caso di default. È come se acquistassero un’assicurazione di valore min (S, K) che può essere anche riscritta come </w:t>
      </w:r>
      <w:r>
        <w:rPr>
          <w:rFonts w:ascii="Times New Roman" w:eastAsia="Times New Roman" w:hAnsi="Times New Roman" w:cs="Times New Roman"/>
        </w:rPr>
        <w:tab/>
        <w:t xml:space="preserve">S - (S - K) + </w:t>
      </w:r>
      <w:r>
        <w:rPr>
          <w:rFonts w:ascii="Times New Roman" w:eastAsia="Times New Roman" w:hAnsi="Times New Roman" w:cs="Times New Roman"/>
        </w:rPr>
        <w:tab/>
        <w:t>dove la quantità (S - K) + è dett</w:t>
      </w: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</w:rPr>
        <w:t>insurer’s</w:t>
      </w:r>
      <w:proofErr w:type="spellEnd"/>
      <w:r>
        <w:rPr>
          <w:rFonts w:ascii="Times New Roman" w:eastAsia="Times New Roman" w:hAnsi="Times New Roman" w:cs="Times New Roman"/>
        </w:rPr>
        <w:t xml:space="preserve"> default option.</w:t>
      </w:r>
    </w:p>
    <w:p w14:paraId="2EFE0F16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Myers e Read assumendo, inoltre, che i mercati siano completi e che l’aumento dell’esposizione su un determinato mercato determina un conseguente aumento della quantità di capitale allocato, giungono ad allocare il valore del de</w:t>
      </w:r>
      <w:r>
        <w:rPr>
          <w:rFonts w:ascii="Times New Roman" w:eastAsia="Times New Roman" w:hAnsi="Times New Roman" w:cs="Times New Roman"/>
        </w:rPr>
        <w:t xml:space="preserve">fault option rispetto al contributo marginale di ciascuna business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3958918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Tale allocazione è data dalla formula</w:t>
      </w:r>
      <w:r>
        <w:rPr>
          <w:rFonts w:ascii="Times New Roman" w:eastAsia="Times New Roman" w:hAnsi="Times New Roman" w:cs="Times New Roman"/>
        </w:rPr>
        <w:tab/>
        <w:t xml:space="preserve">  </w:t>
      </w:r>
      <m:oMath>
        <m:r>
          <w:rPr>
            <w:rFonts w:ascii="Cambria Math" w:eastAsia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</m:d>
              </m:e>
              <m:sub>
                <m:r>
                  <w:rPr>
                    <w:rFonts w:ascii="Cambria Math" w:eastAsia="Cambria Math" w:hAnsi="Cambria Math" w:cs="Cambria Math"/>
                  </w:rPr>
                  <m:t>+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/>
        </m:nary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[(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)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K</m:t>
        </m:r>
        <m:r>
          <w:rPr>
            <w:rFonts w:ascii="Cambria Math" w:eastAsia="Cambria Math" w:hAnsi="Cambria Math" w:cs="Cambria Math"/>
          </w:rPr>
          <m:t xml:space="preserve">)] </m:t>
        </m:r>
      </m:oMath>
    </w:p>
    <w:p w14:paraId="7AB95035" w14:textId="77777777" w:rsidR="001B0CDB" w:rsidRDefault="000851F9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Dove </w:t>
      </w:r>
      <m:oMath>
        <m:r>
          <w:rPr>
            <w:rFonts w:ascii="Cambria Math" w:eastAsia="Cambria Math" w:hAnsi="Cambria Math" w:cs="Cambria Math"/>
          </w:rPr>
          <m:t>I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w:rPr>
            <w:rFonts w:ascii="Cambria Math" w:eastAsia="Cambria Math" w:hAnsi="Cambria Math" w:cs="Cambria Math"/>
          </w:rPr>
          <m:t xml:space="preserve">  </m:t>
        </m:r>
      </m:oMath>
      <w:r>
        <w:rPr>
          <w:rFonts w:ascii="Times New Roman" w:eastAsia="Times New Roman" w:hAnsi="Times New Roman" w:cs="Times New Roman"/>
        </w:rPr>
        <w:t>è la funzione indicatore di un evento A e le aspettative potrebbero essere prese sotto una misura neutrale al rischio.</w:t>
      </w:r>
    </w:p>
    <w:p w14:paraId="3246F013" w14:textId="77777777" w:rsidR="001B0CDB" w:rsidRDefault="001B0CDB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6674D541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Andamento Della Capital </w:t>
      </w:r>
      <w:proofErr w:type="spellStart"/>
      <w:r>
        <w:rPr>
          <w:rFonts w:ascii="Times New Roman" w:eastAsia="Times New Roman" w:hAnsi="Times New Roman" w:cs="Times New Roman"/>
          <w:b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 Funzione Del Tempo </w:t>
      </w:r>
    </w:p>
    <w:p w14:paraId="2B25FBFA" w14:textId="77777777" w:rsidR="001B0CDB" w:rsidRDefault="001B0CDB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B4065BB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 fine di implementare la Haircut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Principle</w:t>
      </w:r>
      <w:proofErr w:type="spellEnd"/>
      <w:r>
        <w:rPr>
          <w:rFonts w:ascii="Times New Roman" w:eastAsia="Times New Roman" w:hAnsi="Times New Roman" w:cs="Times New Roman"/>
        </w:rPr>
        <w:t>, lavoriamo su una ser</w:t>
      </w:r>
      <w:r>
        <w:rPr>
          <w:rFonts w:ascii="Times New Roman" w:eastAsia="Times New Roman" w:hAnsi="Times New Roman" w:cs="Times New Roman"/>
        </w:rPr>
        <w:t xml:space="preserve">ie storica di 5 titoli azionari relativa agli ultimi 5 anni. La security </w:t>
      </w:r>
      <w:proofErr w:type="spellStart"/>
      <w:r>
        <w:rPr>
          <w:rFonts w:ascii="Times New Roman" w:eastAsia="Times New Roman" w:hAnsi="Times New Roman" w:cs="Times New Roman"/>
        </w:rPr>
        <w:t>selection</w:t>
      </w:r>
      <w:proofErr w:type="spellEnd"/>
      <w:r>
        <w:rPr>
          <w:rFonts w:ascii="Times New Roman" w:eastAsia="Times New Roman" w:hAnsi="Times New Roman" w:cs="Times New Roman"/>
        </w:rPr>
        <w:t xml:space="preserve"> riguarda titoli appartenenti a settori diversi per garantire una maggiore diversificazione del portafoglio e per poter studiare il comportamento del VaR.</w:t>
      </w:r>
    </w:p>
    <w:p w14:paraId="208BB4D1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 seguito riportia</w:t>
      </w:r>
      <w:r>
        <w:rPr>
          <w:rFonts w:ascii="Times New Roman" w:eastAsia="Times New Roman" w:hAnsi="Times New Roman" w:cs="Times New Roman"/>
        </w:rPr>
        <w:t>mo i titoli quotati nel mercato americano da noi scelti:</w:t>
      </w:r>
    </w:p>
    <w:p w14:paraId="2AA46F66" w14:textId="77777777" w:rsidR="001B0CDB" w:rsidRDefault="000851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sdt>
        <w:sdtPr>
          <w:tag w:val="goog_rdk_0"/>
          <w:id w:val="802350692"/>
        </w:sdtPr>
        <w:sdtEndPr/>
        <w:sdtContent>
          <w:r>
            <w:rPr>
              <w:rFonts w:ascii="Cardo" w:eastAsia="Cardo" w:hAnsi="Cardo" w:cs="Cardo"/>
              <w:color w:val="000000"/>
            </w:rPr>
            <w:t xml:space="preserve">Pfizer (PFE-US); </w:t>
          </w:r>
          <w:r>
            <w:rPr>
              <w:rFonts w:ascii="Cardo" w:eastAsia="Cardo" w:hAnsi="Cardo" w:cs="Cardo"/>
              <w:color w:val="000000"/>
            </w:rPr>
            <w:tab/>
          </w:r>
          <w:r>
            <w:rPr>
              <w:rFonts w:ascii="Cardo" w:eastAsia="Cardo" w:hAnsi="Cardo" w:cs="Cardo"/>
              <w:color w:val="000000"/>
            </w:rPr>
            <w:tab/>
            <w:t xml:space="preserve">→ settore farmaceutico </w:t>
          </w:r>
        </w:sdtContent>
      </w:sdt>
    </w:p>
    <w:p w14:paraId="01525BBF" w14:textId="77777777" w:rsidR="001B0CDB" w:rsidRDefault="000851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Google (GOOGL-US); </w:t>
      </w:r>
      <w:r>
        <w:rPr>
          <w:rFonts w:ascii="Times New Roman" w:eastAsia="Times New Roman" w:hAnsi="Times New Roman" w:cs="Times New Roman"/>
          <w:color w:val="000000"/>
        </w:rPr>
        <w:tab/>
      </w:r>
      <w:sdt>
        <w:sdtPr>
          <w:tag w:val="goog_rdk_1"/>
          <w:id w:val="-247349234"/>
        </w:sdtPr>
        <w:sdtEndPr/>
        <w:sdtContent>
          <w:r>
            <w:rPr>
              <w:rFonts w:ascii="Cardo" w:eastAsia="Cardo" w:hAnsi="Cardo" w:cs="Cardo"/>
            </w:rPr>
            <w:t>→ settore tecnologico</w:t>
          </w:r>
        </w:sdtContent>
      </w:sdt>
    </w:p>
    <w:p w14:paraId="4F9670FF" w14:textId="77777777" w:rsidR="001B0CDB" w:rsidRDefault="000851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JPMorgan (JPM-US);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sdt>
        <w:sdtPr>
          <w:tag w:val="goog_rdk_2"/>
          <w:id w:val="1323780725"/>
        </w:sdtPr>
        <w:sdtEndPr/>
        <w:sdtContent>
          <w:r>
            <w:rPr>
              <w:rFonts w:ascii="Cardo" w:eastAsia="Cardo" w:hAnsi="Cardo" w:cs="Cardo"/>
            </w:rPr>
            <w:t xml:space="preserve">→ settore finanziario </w:t>
          </w:r>
        </w:sdtContent>
      </w:sdt>
    </w:p>
    <w:p w14:paraId="5979D2D5" w14:textId="77777777" w:rsidR="001B0CDB" w:rsidRPr="00AA5C46" w:rsidRDefault="000851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AA5C46">
        <w:rPr>
          <w:rFonts w:ascii="Times New Roman" w:eastAsia="Times New Roman" w:hAnsi="Times New Roman" w:cs="Times New Roman"/>
          <w:color w:val="000000"/>
          <w:lang w:val="en-US"/>
        </w:rPr>
        <w:t xml:space="preserve">Eversource Energy (ES-US); </w:t>
      </w:r>
      <w:r w:rsidRPr="00AA5C46">
        <w:rPr>
          <w:rFonts w:ascii="Times New Roman" w:eastAsia="Times New Roman" w:hAnsi="Times New Roman" w:cs="Times New Roman"/>
          <w:color w:val="000000"/>
          <w:lang w:val="en-US"/>
        </w:rPr>
        <w:tab/>
      </w:r>
      <w:sdt>
        <w:sdtPr>
          <w:tag w:val="goog_rdk_3"/>
          <w:id w:val="-1242177054"/>
        </w:sdtPr>
        <w:sdtEndPr/>
        <w:sdtContent>
          <w:r w:rsidRPr="00AA5C46">
            <w:rPr>
              <w:rFonts w:ascii="Cardo" w:eastAsia="Cardo" w:hAnsi="Cardo" w:cs="Cardo"/>
              <w:lang w:val="en-US"/>
            </w:rPr>
            <w:t xml:space="preserve">→ </w:t>
          </w:r>
          <w:proofErr w:type="spellStart"/>
          <w:r w:rsidRPr="00AA5C46">
            <w:rPr>
              <w:rFonts w:ascii="Cardo" w:eastAsia="Cardo" w:hAnsi="Cardo" w:cs="Cardo"/>
              <w:lang w:val="en-US"/>
            </w:rPr>
            <w:t>settore</w:t>
          </w:r>
          <w:proofErr w:type="spellEnd"/>
          <w:r w:rsidRPr="00AA5C46">
            <w:rPr>
              <w:rFonts w:ascii="Cardo" w:eastAsia="Cardo" w:hAnsi="Cardo" w:cs="Cardo"/>
              <w:lang w:val="en-US"/>
            </w:rPr>
            <w:t xml:space="preserve"> Utility</w:t>
          </w:r>
        </w:sdtContent>
      </w:sdt>
    </w:p>
    <w:p w14:paraId="319A25C6" w14:textId="77777777" w:rsidR="001B0CDB" w:rsidRPr="00AA5C46" w:rsidRDefault="000851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AA5C46">
        <w:rPr>
          <w:rFonts w:ascii="Times New Roman" w:eastAsia="Times New Roman" w:hAnsi="Times New Roman" w:cs="Times New Roman"/>
          <w:color w:val="000000"/>
          <w:lang w:val="en-US"/>
        </w:rPr>
        <w:t xml:space="preserve">McDonald’s (MCD-US). </w:t>
      </w:r>
      <w:r w:rsidRPr="00AA5C46">
        <w:rPr>
          <w:rFonts w:ascii="Times New Roman" w:eastAsia="Times New Roman" w:hAnsi="Times New Roman" w:cs="Times New Roman"/>
          <w:color w:val="000000"/>
          <w:lang w:val="en-US"/>
        </w:rPr>
        <w:tab/>
      </w:r>
      <w:sdt>
        <w:sdtPr>
          <w:tag w:val="goog_rdk_4"/>
          <w:id w:val="248313505"/>
        </w:sdtPr>
        <w:sdtEndPr/>
        <w:sdtContent>
          <w:r w:rsidRPr="00AA5C46">
            <w:rPr>
              <w:rFonts w:ascii="Cardo" w:eastAsia="Cardo" w:hAnsi="Cardo" w:cs="Cardo"/>
              <w:lang w:val="en-US"/>
            </w:rPr>
            <w:t xml:space="preserve">→ </w:t>
          </w:r>
          <w:proofErr w:type="spellStart"/>
          <w:r w:rsidRPr="00AA5C46">
            <w:rPr>
              <w:rFonts w:ascii="Cardo" w:eastAsia="Cardo" w:hAnsi="Cardo" w:cs="Cardo"/>
              <w:lang w:val="en-US"/>
            </w:rPr>
            <w:t>settore</w:t>
          </w:r>
          <w:proofErr w:type="spellEnd"/>
          <w:r w:rsidRPr="00AA5C46">
            <w:rPr>
              <w:rFonts w:ascii="Cardo" w:eastAsia="Cardo" w:hAnsi="Cardo" w:cs="Cardo"/>
              <w:lang w:val="en-US"/>
            </w:rPr>
            <w:t xml:space="preserve"> food and beverage </w:t>
          </w:r>
        </w:sdtContent>
      </w:sdt>
    </w:p>
    <w:p w14:paraId="01A7E218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Nella costruzione del portafoglio utilizziamo un asset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Equally</w:t>
      </w:r>
      <w:proofErr w:type="spellEnd"/>
      <w:r>
        <w:rPr>
          <w:rFonts w:ascii="Times New Roman" w:eastAsia="Times New Roman" w:hAnsi="Times New Roman" w:cs="Times New Roman"/>
        </w:rPr>
        <w:t xml:space="preserve"> Weights investendo 1/n per ogni titolo e seguendo una strategia Constant Mix.</w:t>
      </w:r>
    </w:p>
    <w:p w14:paraId="209958EF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La motivazione risiede nella ricerca</w:t>
      </w:r>
      <w:r>
        <w:rPr>
          <w:rFonts w:ascii="Times New Roman" w:eastAsia="Times New Roman" w:hAnsi="Times New Roman" w:cs="Times New Roman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</w:rPr>
        <w:t xml:space="preserve"> effettuata d</w:t>
      </w:r>
      <w:r>
        <w:rPr>
          <w:rFonts w:ascii="Times New Roman" w:eastAsia="Times New Roman" w:hAnsi="Times New Roman" w:cs="Times New Roman"/>
        </w:rPr>
        <w:t xml:space="preserve">a due noti economisti, quali </w:t>
      </w:r>
      <w:proofErr w:type="spellStart"/>
      <w:r>
        <w:rPr>
          <w:rFonts w:ascii="Times New Roman" w:eastAsia="Times New Roman" w:hAnsi="Times New Roman" w:cs="Times New Roman"/>
        </w:rPr>
        <w:t>Garlappi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DeMiguel</w:t>
      </w:r>
      <w:proofErr w:type="spellEnd"/>
      <w:r>
        <w:rPr>
          <w:rFonts w:ascii="Times New Roman" w:eastAsia="Times New Roman" w:hAnsi="Times New Roman" w:cs="Times New Roman"/>
        </w:rPr>
        <w:t xml:space="preserve"> che verificano come la suddetta semplice strategia, dove si ricalibra continuamente il portafoglio per mantenere il peso dei diversi asset costante, può battere anche tecniche complesse di asset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p</w:t>
      </w:r>
      <w:r>
        <w:rPr>
          <w:rFonts w:ascii="Times New Roman" w:eastAsia="Times New Roman" w:hAnsi="Times New Roman" w:cs="Times New Roman"/>
        </w:rPr>
        <w:t xml:space="preserve">erché, nel lungo periodo, si avvantaggia della </w:t>
      </w:r>
      <w:proofErr w:type="spellStart"/>
      <w:r>
        <w:rPr>
          <w:rFonts w:ascii="Times New Roman" w:eastAsia="Times New Roman" w:hAnsi="Times New Roman" w:cs="Times New Roman"/>
        </w:rPr>
        <w:t>Mean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Reversion</w:t>
      </w:r>
      <w:proofErr w:type="spellEnd"/>
      <w:r>
        <w:rPr>
          <w:rFonts w:ascii="Times New Roman" w:eastAsia="Times New Roman" w:hAnsi="Times New Roman" w:cs="Times New Roman"/>
        </w:rPr>
        <w:t>. Di conseguenza, vendo quote di asset quando il prezzo è alto e li compro quando il prezzo è basso (approfittando delle oscillazioni dei prezzi del mercato). Per questo motivo è anche definita s</w:t>
      </w:r>
      <w:r>
        <w:rPr>
          <w:rFonts w:ascii="Times New Roman" w:eastAsia="Times New Roman" w:hAnsi="Times New Roman" w:cs="Times New Roman"/>
        </w:rPr>
        <w:t xml:space="preserve">trategia </w:t>
      </w:r>
      <w:proofErr w:type="spellStart"/>
      <w:r>
        <w:rPr>
          <w:rFonts w:ascii="Times New Roman" w:eastAsia="Times New Roman" w:hAnsi="Times New Roman" w:cs="Times New Roman"/>
        </w:rPr>
        <w:t>contrarian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5F594BB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Inoltre, possiamo notare come i titoli scelti risultano ampiamente volatili, e questo avvantaggia la nostra strategia perché in caso di ribasso del prezzo, il mantenimento della quota azionaria (che altrimenti si ridurrebbe), consente</w:t>
      </w:r>
      <w:r>
        <w:rPr>
          <w:rFonts w:ascii="Times New Roman" w:eastAsia="Times New Roman" w:hAnsi="Times New Roman" w:cs="Times New Roman"/>
        </w:rPr>
        <w:t xml:space="preserve"> di sfruttare al meglio un eventuale rimbalzo; in caso di rialzo si verifica l’opposto. Infine, la strategia adottata ci permette di costruire portafogli NON sulla base della media dei rendimenti storici o futuri (previsionali) ma secondo il principio del </w:t>
      </w:r>
      <w:r>
        <w:rPr>
          <w:rFonts w:ascii="Times New Roman" w:eastAsia="Times New Roman" w:hAnsi="Times New Roman" w:cs="Times New Roman"/>
        </w:rPr>
        <w:t xml:space="preserve">Risk </w:t>
      </w:r>
      <w:proofErr w:type="spellStart"/>
      <w:r>
        <w:rPr>
          <w:rFonts w:ascii="Times New Roman" w:eastAsia="Times New Roman" w:hAnsi="Times New Roman" w:cs="Times New Roman"/>
        </w:rPr>
        <w:t>Parity</w:t>
      </w:r>
      <w:proofErr w:type="spellEnd"/>
      <w:r>
        <w:rPr>
          <w:rFonts w:ascii="Times New Roman" w:eastAsia="Times New Roman" w:hAnsi="Times New Roman" w:cs="Times New Roman"/>
        </w:rPr>
        <w:t>: costruzione di strategie con asset dello stesso grado di rischio (VaR non troppo diversi gli uni dagli altri)</w:t>
      </w:r>
    </w:p>
    <w:p w14:paraId="295788FD" w14:textId="77777777" w:rsidR="001B0CDB" w:rsidRDefault="001B0CDB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E2F12CD" w14:textId="77777777" w:rsidR="001B0CDB" w:rsidRDefault="000851F9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Analisi Dei Singoli Titoli</w:t>
      </w:r>
    </w:p>
    <w:p w14:paraId="0EF1017E" w14:textId="77777777" w:rsidR="001B0CDB" w:rsidRDefault="001B0CDB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4ED2E908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 procedere con l’analisi dei nostri dati, il primo passo è ottenere i log Rendimenti dai prezzi. </w:t>
      </w:r>
    </w:p>
    <w:p w14:paraId="0C42C2D5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 </w:t>
      </w:r>
      <w:r>
        <w:rPr>
          <w:rFonts w:ascii="Times New Roman" w:eastAsia="Times New Roman" w:hAnsi="Times New Roman" w:cs="Times New Roman"/>
        </w:rPr>
        <w:t>seguito riportiamo l’andamento dei log Rendimenti dei cinque titoli:</w:t>
      </w:r>
    </w:p>
    <w:p w14:paraId="78392092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6E919CC" wp14:editId="078F533F">
            <wp:simplePos x="0" y="0"/>
            <wp:positionH relativeFrom="column">
              <wp:posOffset>-55084</wp:posOffset>
            </wp:positionH>
            <wp:positionV relativeFrom="paragraph">
              <wp:posOffset>46990</wp:posOffset>
            </wp:positionV>
            <wp:extent cx="5946775" cy="3020695"/>
            <wp:effectExtent l="0" t="0" r="0" b="0"/>
            <wp:wrapSquare wrapText="bothSides" distT="0" distB="0" distL="114300" distR="11430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2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795657" wp14:editId="69F21D82">
                <wp:simplePos x="0" y="0"/>
                <wp:positionH relativeFrom="column">
                  <wp:posOffset>1</wp:posOffset>
                </wp:positionH>
                <wp:positionV relativeFrom="paragraph">
                  <wp:posOffset>2933700</wp:posOffset>
                </wp:positionV>
                <wp:extent cx="5983605" cy="333375"/>
                <wp:effectExtent l="0" t="0" r="0" b="0"/>
                <wp:wrapSquare wrapText="bothSides" distT="0" distB="0" distL="114300" distR="114300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8960" y="3618075"/>
                          <a:ext cx="59740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BBC68" w14:textId="77777777" w:rsidR="001B0CDB" w:rsidRDefault="000851F9">
                            <w:pPr>
                              <w:spacing w:after="20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 xml:space="preserve">Grafico   SEQ Grafico_ \* ARABIC 1 : Andamento, per singolo titolo, dei log rendimenti calcolati su prezzi giornalieri (da 5/12/16 a 3/12/21). Fonte dati: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>Factset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2933700</wp:posOffset>
                </wp:positionV>
                <wp:extent cx="5983605" cy="333375"/>
                <wp:effectExtent b="0" l="0" r="0" t="0"/>
                <wp:wrapSquare wrapText="bothSides" distB="0" distT="0" distL="114300" distR="11430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360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A36DE9" w14:textId="77777777" w:rsidR="001B0CDB" w:rsidRDefault="000851F9">
      <w:pPr>
        <w:spacing w:after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Come possiamo notare, il mercato dei titoli su cui si basa il nostro studio è molto dinami</w:t>
      </w:r>
      <w:r>
        <w:rPr>
          <w:rFonts w:ascii="Times New Roman" w:eastAsia="Times New Roman" w:hAnsi="Times New Roman" w:cs="Times New Roman"/>
        </w:rPr>
        <w:t xml:space="preserve">co e oscillante; infatti, il livello di rischio che si cela dietro queste oscillazioni non è trascurabile. Lo calcoliamo e valutiamo di seguito attraverso il VaR e lo sfruttiamo a nostro vantaggio nella strategia d'investimento del portafoglio col fine di </w:t>
      </w:r>
      <w:r>
        <w:rPr>
          <w:rFonts w:ascii="Times New Roman" w:eastAsia="Times New Roman" w:hAnsi="Times New Roman" w:cs="Times New Roman"/>
        </w:rPr>
        <w:t xml:space="preserve">rendere questa misura di rischio trascurabile perché accettabile. </w:t>
      </w:r>
    </w:p>
    <w:p w14:paraId="12BC5AA4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Summary</w:t>
      </w:r>
      <w:proofErr w:type="spellEnd"/>
      <w:r>
        <w:rPr>
          <w:rFonts w:ascii="Times New Roman" w:eastAsia="Times New Roman" w:hAnsi="Times New Roman" w:cs="Times New Roman"/>
        </w:rPr>
        <w:t xml:space="preserve"> delle statistiche descrittive relative ai 5 titoli:</w:t>
      </w:r>
    </w:p>
    <w:tbl>
      <w:tblPr>
        <w:tblStyle w:val="a"/>
        <w:tblW w:w="95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0"/>
        <w:gridCol w:w="1660"/>
        <w:gridCol w:w="1720"/>
        <w:gridCol w:w="1720"/>
        <w:gridCol w:w="1720"/>
        <w:gridCol w:w="1720"/>
      </w:tblGrid>
      <w:tr w:rsidR="001B0CDB" w14:paraId="79E9717F" w14:textId="7777777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DF4A2" w14:textId="77777777" w:rsidR="001B0CDB" w:rsidRDefault="000851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CEC763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GOOGLUS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40751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ESUS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598CE9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JPMUS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7FA25B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PFEUS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84637D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MCDUS</w:t>
            </w:r>
          </w:p>
        </w:tc>
      </w:tr>
      <w:tr w:rsidR="001B0CDB" w14:paraId="67F04BC1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BB41318" w14:textId="77777777" w:rsidR="001B0CDB" w:rsidRDefault="000851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64D403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-0,0010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CA6005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767A21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-0,0005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DC2CED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-0,0005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5869AE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-0,0006</w:t>
            </w:r>
          </w:p>
        </w:tc>
      </w:tr>
      <w:tr w:rsidR="001B0CDB" w14:paraId="26A768D6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9716CA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1F78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92066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D84A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A5BFB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8EEA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</w:tr>
      <w:tr w:rsidR="001B0CDB" w14:paraId="03D79B82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F6DA51E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C6465C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0,0170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2A0B90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0,0157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AE78E4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0,0189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048EA0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0,0147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46813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0,0145</w:t>
            </w:r>
          </w:p>
        </w:tc>
      </w:tr>
      <w:tr w:rsidR="001B0CDB" w14:paraId="4AA1F01B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75881F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Skew</m:t>
                </m:r>
              </m:oMath>
            </m:oMathPara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F3C217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0,3443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69A20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0,0814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78E7C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0,1034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61872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-0,0908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89C6F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0,2998</w:t>
            </w:r>
          </w:p>
        </w:tc>
      </w:tr>
      <w:tr w:rsidR="001B0CDB" w14:paraId="12C3729E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1850C82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w:lastRenderedPageBreak/>
                  <m:t>Kurt</m:t>
                </m:r>
              </m:oMath>
            </m:oMathPara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83DA2C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9,2233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F99A38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23,9368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4241F1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19,4399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8CA223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10,3333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D8F051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38,7176</w:t>
            </w:r>
          </w:p>
        </w:tc>
      </w:tr>
      <w:tr w:rsidR="001B0CDB" w14:paraId="00AF346C" w14:textId="77777777">
        <w:trPr>
          <w:trHeight w:val="269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10C567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Va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1EE7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0,0251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D704C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0,0175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0331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0,0262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5EF6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0,0226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8DEC4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0,0182</w:t>
            </w:r>
          </w:p>
        </w:tc>
      </w:tr>
      <w:tr w:rsidR="001B0CDB" w14:paraId="431672C7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C7ABCAB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VaR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BA4D71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0,0290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DDD8DE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0,0262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991E3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0,0316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28511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0,0247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DBC7D0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0,0245</w:t>
            </w:r>
          </w:p>
        </w:tc>
      </w:tr>
    </w:tbl>
    <w:p w14:paraId="4F3E1D53" w14:textId="77777777" w:rsidR="001B0CDB" w:rsidRDefault="000851F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  <w:highlight w:val="yellow"/>
        </w:rPr>
      </w:pPr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>Tabella 1: Statistiche descrittive dei singoli titoli ottenute tramite codice MATLAB.</w:t>
      </w:r>
    </w:p>
    <w:p w14:paraId="1CF7DB9C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Indipendentemente dalla </w:t>
      </w:r>
      <w:proofErr w:type="spellStart"/>
      <w:r>
        <w:rPr>
          <w:rFonts w:ascii="Times New Roman" w:eastAsia="Times New Roman" w:hAnsi="Times New Roman" w:cs="Times New Roman"/>
        </w:rPr>
        <w:t>skewness</w:t>
      </w:r>
      <w:proofErr w:type="spellEnd"/>
      <w:r>
        <w:rPr>
          <w:rFonts w:ascii="Times New Roman" w:eastAsia="Times New Roman" w:hAnsi="Times New Roman" w:cs="Times New Roman"/>
        </w:rPr>
        <w:t>, il valore della curtosi dei cinque titoli è molto lontano dal parametro di riferimento di una distribuzione normale che è pari a 3. Di c</w:t>
      </w:r>
      <w:r>
        <w:rPr>
          <w:rFonts w:ascii="Times New Roman" w:eastAsia="Times New Roman" w:hAnsi="Times New Roman" w:cs="Times New Roman"/>
        </w:rPr>
        <w:t xml:space="preserve">onseguenza, sarebbe ragionevole non aspettarsi che la distribuzione dei log Rendimenti sia di tipo normale. </w:t>
      </w:r>
    </w:p>
    <w:p w14:paraId="6BB0BD12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Per confermare questa affermazione possiamo avvalerci anche di alcuni test grafici come: il </w:t>
      </w:r>
      <w:proofErr w:type="spellStart"/>
      <w:r>
        <w:rPr>
          <w:rFonts w:ascii="Times New Roman" w:eastAsia="Times New Roman" w:hAnsi="Times New Roman" w:cs="Times New Roman"/>
        </w:rPr>
        <w:t>QQplot</w:t>
      </w:r>
      <w:proofErr w:type="spellEnd"/>
      <w:r>
        <w:rPr>
          <w:rFonts w:ascii="Times New Roman" w:eastAsia="Times New Roman" w:hAnsi="Times New Roman" w:cs="Times New Roman"/>
        </w:rPr>
        <w:t xml:space="preserve"> (grafico 2) che ci permette di confrontare i qua</w:t>
      </w:r>
      <w:r>
        <w:rPr>
          <w:rFonts w:ascii="Times New Roman" w:eastAsia="Times New Roman" w:hAnsi="Times New Roman" w:cs="Times New Roman"/>
        </w:rPr>
        <w:t xml:space="preserve">ntili della normale con quelli della nostra distribuzione e gli istogrammi (grafico 3) con cui compariamo le funzioni di ripartizione dei log rendimenti e di una normale. Nonché </w:t>
      </w:r>
      <w:r>
        <w:rPr>
          <w:rFonts w:ascii="Times New Roman" w:eastAsia="Times New Roman" w:hAnsi="Times New Roman" w:cs="Times New Roman"/>
          <w:color w:val="000000"/>
        </w:rPr>
        <w:t xml:space="preserve">dal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Jarque</w:t>
      </w:r>
      <w:proofErr w:type="spellEnd"/>
      <w:r>
        <w:rPr>
          <w:rFonts w:ascii="Times New Roman" w:eastAsia="Times New Roman" w:hAnsi="Times New Roman" w:cs="Times New Roman"/>
          <w:color w:val="000000"/>
        </w:rPr>
        <w:t>-Bera test in cui viene Rifiutata l’ipotesi nulla per ciascun titolo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6524DBA" w14:textId="77777777" w:rsidR="001B0CDB" w:rsidRDefault="001B0CDB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E7CD1E1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Considerando le conclusioni riportate qui sopra (tab 1), possiamo notare che vi sia una differenza tra il VaR campionario e quello calcolato ipotizzando che i quantili derivino da una normale. Quindi, pur non essendo ragionevole aspettarci una distribuz</w:t>
      </w:r>
      <w:r>
        <w:rPr>
          <w:rFonts w:ascii="Times New Roman" w:eastAsia="Times New Roman" w:hAnsi="Times New Roman" w:cs="Times New Roman"/>
        </w:rPr>
        <w:t xml:space="preserve">ione di tipo normale, l’esigua differenza tra i </w:t>
      </w: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(in ragione del fatto che, esaminando il VaR al 5%, lo spessore della coda viene riassorbito) ci permette di lavorare sotto l’ipotesi di normalità.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862FAE1" wp14:editId="583F4215">
            <wp:simplePos x="0" y="0"/>
            <wp:positionH relativeFrom="column">
              <wp:posOffset>89536</wp:posOffset>
            </wp:positionH>
            <wp:positionV relativeFrom="paragraph">
              <wp:posOffset>1192530</wp:posOffset>
            </wp:positionV>
            <wp:extent cx="5876925" cy="2932430"/>
            <wp:effectExtent l="0" t="0" r="0" b="0"/>
            <wp:wrapTopAndBottom distT="0" dist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5330" r="813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3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DD71040" wp14:editId="0E971AF4">
                <wp:simplePos x="0" y="0"/>
                <wp:positionH relativeFrom="column">
                  <wp:posOffset>101601</wp:posOffset>
                </wp:positionH>
                <wp:positionV relativeFrom="paragraph">
                  <wp:posOffset>4165600</wp:posOffset>
                </wp:positionV>
                <wp:extent cx="5876925" cy="12700"/>
                <wp:effectExtent l="0" t="0" r="0" b="0"/>
                <wp:wrapTopAndBottom distT="0" distB="0"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779683"/>
                          <a:ext cx="58769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230B96" w14:textId="77777777" w:rsidR="001B0CDB" w:rsidRDefault="000851F9">
                            <w:pPr>
                              <w:spacing w:after="20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>Grafico   SEQ Grafico_ \* ARABIC 3: Andamento, per si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 xml:space="preserve">ngolo titolo, dei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>QQplot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 xml:space="preserve"> ottenuti tramite codice MATLAB.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4165600</wp:posOffset>
                </wp:positionV>
                <wp:extent cx="5876925" cy="12700"/>
                <wp:effectExtent b="0" l="0" r="0" t="0"/>
                <wp:wrapTopAndBottom distB="0" distT="0"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5F1C2DA" wp14:editId="36CD1896">
            <wp:simplePos x="0" y="0"/>
            <wp:positionH relativeFrom="column">
              <wp:posOffset>-720088</wp:posOffset>
            </wp:positionH>
            <wp:positionV relativeFrom="paragraph">
              <wp:posOffset>4514850</wp:posOffset>
            </wp:positionV>
            <wp:extent cx="6456045" cy="2219325"/>
            <wp:effectExtent l="0" t="0" r="0" b="0"/>
            <wp:wrapTopAndBottom distT="0" dist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53501D7" wp14:editId="0D947CA9">
                <wp:simplePos x="0" y="0"/>
                <wp:positionH relativeFrom="column">
                  <wp:posOffset>-711199</wp:posOffset>
                </wp:positionH>
                <wp:positionV relativeFrom="paragraph">
                  <wp:posOffset>6858000</wp:posOffset>
                </wp:positionV>
                <wp:extent cx="6456045" cy="12700"/>
                <wp:effectExtent l="0" t="0" r="0" b="0"/>
                <wp:wrapTopAndBottom distT="0" distB="0"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978" y="3779683"/>
                          <a:ext cx="645604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89096A" w14:textId="77777777" w:rsidR="001B0CDB" w:rsidRDefault="000851F9">
                            <w:pPr>
                              <w:spacing w:after="20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>Grafico  SEQ Grafico_ \* ARABIC 2: Istogrammi utili per testare la normalità a livello grafico dei log-rendimenti dei singoli titoli. Dati ottenuti tramite codice MATLAB.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6858000</wp:posOffset>
                </wp:positionV>
                <wp:extent cx="6456045" cy="12700"/>
                <wp:effectExtent b="0" l="0" r="0" t="0"/>
                <wp:wrapTopAndBottom distB="0" distT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60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8C8194" w14:textId="77777777" w:rsidR="001B0CDB" w:rsidRDefault="001B0CDB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A53C044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Inoltre, il VaR è una quantità positiva per tutti i 5 titoli considerati, indice de</w:t>
      </w:r>
      <w:r>
        <w:rPr>
          <w:rFonts w:ascii="Times New Roman" w:eastAsia="Times New Roman" w:hAnsi="Times New Roman" w:cs="Times New Roman"/>
        </w:rPr>
        <w:t xml:space="preserve">l fatto che le singole posizioni non sono accettabili (come indicato nella riga 7 tab1). Il minimo margine da accantonare, quindi, sarà pari a  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ρ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tale per cui la posizione diventi accettabile.</w:t>
      </w:r>
    </w:p>
    <w:p w14:paraId="1A03BEB5" w14:textId="77777777" w:rsidR="001B0CDB" w:rsidRDefault="001B0CDB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CB7DC9B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Analisi Del Portafoglio</w:t>
      </w:r>
    </w:p>
    <w:p w14:paraId="5496D849" w14:textId="77777777" w:rsidR="001B0CDB" w:rsidRDefault="001B0CDB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9F44847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generale la critica al VaR è che non incentiva la diversificazione a meno che non si considerino distribuzioni congiuntamente normali. Infatti, nel nostro caso, la somma</w:t>
      </w:r>
      <w:r>
        <w:rPr>
          <w:rFonts w:ascii="Times New Roman" w:eastAsia="Times New Roman" w:hAnsi="Times New Roman" w:cs="Times New Roman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</w:rPr>
        <w:t xml:space="preserve"> dei VaR dei singoli titoli è maggiore del VaR del portafoglio; quindi, la diversi</w:t>
      </w:r>
      <w:r>
        <w:rPr>
          <w:rFonts w:ascii="Times New Roman" w:eastAsia="Times New Roman" w:hAnsi="Times New Roman" w:cs="Times New Roman"/>
        </w:rPr>
        <w:t>ficazione che avviene con il portafoglio permette di accantonare meno capitale per rendere la posizione accettabile.</w:t>
      </w:r>
    </w:p>
    <w:p w14:paraId="6B85AAE0" w14:textId="77777777" w:rsidR="001B0CDB" w:rsidRDefault="000851F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 seguito è riportata la tabella con le statistiche del portafoglio.</w:t>
      </w:r>
    </w:p>
    <w:p w14:paraId="01F9407A" w14:textId="77777777" w:rsidR="001B0CDB" w:rsidRDefault="001B0CDB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51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39"/>
        <w:gridCol w:w="1307"/>
        <w:gridCol w:w="1307"/>
        <w:gridCol w:w="1307"/>
      </w:tblGrid>
      <w:tr w:rsidR="001B0CDB" w14:paraId="4DBB5C50" w14:textId="77777777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2B276A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Va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Rp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93F5F5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Va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Rpn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4FB0CA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µ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33E07BB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B0CDB" w14:paraId="39C2C55E" w14:textId="77777777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7D13890" w14:textId="77777777" w:rsidR="001B0CDB" w:rsidRDefault="000851F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0,0133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073BB70" w14:textId="77777777" w:rsidR="001B0CDB" w:rsidRDefault="000851F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0,0198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EA8A56" w14:textId="77777777" w:rsidR="001B0CDB" w:rsidRDefault="000851F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-0,0005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9C621" w14:textId="77777777" w:rsidR="001B0CDB" w:rsidRDefault="000851F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0,0001</w:t>
            </w:r>
          </w:p>
        </w:tc>
      </w:tr>
    </w:tbl>
    <w:p w14:paraId="001A77C7" w14:textId="77777777" w:rsidR="001B0CDB" w:rsidRDefault="000851F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>Tabella 2: il valore del VaR per variabili casuali continue generiche e il valore del VaR per variabili casuali distribuite in modo normale.</w:t>
      </w:r>
    </w:p>
    <w:p w14:paraId="1271AB7E" w14:textId="77777777" w:rsidR="001B0CDB" w:rsidRDefault="001B0CDB">
      <w:pPr>
        <w:rPr>
          <w:rFonts w:ascii="Times New Roman" w:eastAsia="Times New Roman" w:hAnsi="Times New Roman" w:cs="Times New Roman"/>
          <w:b/>
        </w:rPr>
      </w:pPr>
    </w:p>
    <w:p w14:paraId="2DCCBBF8" w14:textId="77777777" w:rsidR="001B0CDB" w:rsidRDefault="000851F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Analisi Della Capital </w:t>
      </w:r>
      <w:proofErr w:type="spellStart"/>
      <w:r>
        <w:rPr>
          <w:rFonts w:ascii="Times New Roman" w:eastAsia="Times New Roman" w:hAnsi="Times New Roman" w:cs="Times New Roman"/>
          <w:b/>
        </w:rPr>
        <w:t>Allocation</w:t>
      </w:r>
      <w:proofErr w:type="spellEnd"/>
    </w:p>
    <w:p w14:paraId="2253EDF9" w14:textId="77777777" w:rsidR="001B0CDB" w:rsidRDefault="001B0CDB">
      <w:pPr>
        <w:rPr>
          <w:rFonts w:ascii="Times New Roman" w:eastAsia="Times New Roman" w:hAnsi="Times New Roman" w:cs="Times New Roman"/>
        </w:rPr>
      </w:pPr>
    </w:p>
    <w:p w14:paraId="08DD1D16" w14:textId="77777777" w:rsidR="001B0CDB" w:rsidRDefault="000851F9">
      <w:pPr>
        <w:jc w:val="both"/>
        <w:rPr>
          <w:rFonts w:ascii="Cambria Math" w:eastAsia="Cambria Math" w:hAnsi="Cambria Math" w:cs="Cambria Math"/>
        </w:rPr>
      </w:pPr>
      <w:r>
        <w:rPr>
          <w:rFonts w:ascii="Times New Roman" w:eastAsia="Times New Roman" w:hAnsi="Times New Roman" w:cs="Times New Roman"/>
        </w:rPr>
        <w:t xml:space="preserve">In riferimento al paper di </w:t>
      </w:r>
      <w:proofErr w:type="spellStart"/>
      <w:r>
        <w:rPr>
          <w:rFonts w:ascii="Times New Roman" w:eastAsia="Times New Roman" w:hAnsi="Times New Roman" w:cs="Times New Roman"/>
        </w:rPr>
        <w:t>Dhaene</w:t>
      </w:r>
      <w:proofErr w:type="spellEnd"/>
      <w:r>
        <w:rPr>
          <w:rFonts w:ascii="Times New Roman" w:eastAsia="Times New Roman" w:hAnsi="Times New Roman" w:cs="Times New Roman"/>
        </w:rPr>
        <w:t xml:space="preserve"> et al. valutiamo la capital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secondo</w:t>
      </w:r>
      <w:r>
        <w:rPr>
          <w:rFonts w:ascii="Times New Roman" w:eastAsia="Times New Roman" w:hAnsi="Times New Roman" w:cs="Times New Roman"/>
        </w:rPr>
        <w:t xml:space="preserve"> l’Haircut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Principle</w:t>
      </w:r>
      <w:proofErr w:type="spellEnd"/>
      <w:r>
        <w:rPr>
          <w:rFonts w:ascii="Cambria Math" w:eastAsia="Cambria Math" w:hAnsi="Cambria Math" w:cs="Cambria Math"/>
        </w:rPr>
        <w:br/>
      </w: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K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/>
              </m:nary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</w:rPr>
            <m:t xml:space="preserve">         </m:t>
          </m:r>
        </m:oMath>
      </m:oMathPara>
    </w:p>
    <w:p w14:paraId="25B18E3D" w14:textId="77777777" w:rsidR="001B0CDB" w:rsidRDefault="000851F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Otteniamo il seguente risultato: </w:t>
      </w:r>
    </w:p>
    <w:p w14:paraId="27AA8B4F" w14:textId="77777777" w:rsidR="001B0CDB" w:rsidRDefault="001B0CDB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57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53"/>
        <w:gridCol w:w="1120"/>
        <w:gridCol w:w="1120"/>
        <w:gridCol w:w="1120"/>
        <w:gridCol w:w="1120"/>
      </w:tblGrid>
      <w:tr w:rsidR="001B0CDB" w14:paraId="42546A54" w14:textId="77777777">
        <w:trPr>
          <w:trHeight w:val="30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AF24AC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GOOGLUS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1EC58E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ESUS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8DC814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JPMUS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18BE5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PFEUS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0A7DC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MCDUS</w:t>
            </w:r>
          </w:p>
        </w:tc>
      </w:tr>
      <w:tr w:rsidR="001B0CDB" w14:paraId="3AD2E12A" w14:textId="77777777">
        <w:trPr>
          <w:trHeight w:val="30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7FF654" w14:textId="77777777" w:rsidR="001B0CDB" w:rsidRDefault="000851F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213446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719B7E1" w14:textId="77777777" w:rsidR="001B0CDB" w:rsidRDefault="000851F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192497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0AFF187" w14:textId="77777777" w:rsidR="001B0CDB" w:rsidRDefault="000851F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232217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8D1AA20" w14:textId="77777777" w:rsidR="001B0CDB" w:rsidRDefault="000851F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181698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E785EA0" w14:textId="77777777" w:rsidR="001B0CDB" w:rsidRDefault="000851F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180142</w:t>
            </w:r>
          </w:p>
        </w:tc>
      </w:tr>
    </w:tbl>
    <w:p w14:paraId="4714D536" w14:textId="77777777" w:rsidR="001B0CDB" w:rsidRDefault="000851F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 xml:space="preserve">Tabella 3: capital </w:t>
      </w:r>
      <w:proofErr w:type="spellStart"/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 xml:space="preserve"> secondo l’Haircut </w:t>
      </w:r>
      <w:proofErr w:type="spellStart"/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>Principle</w:t>
      </w:r>
      <w:proofErr w:type="spellEnd"/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>.</w:t>
      </w:r>
    </w:p>
    <w:p w14:paraId="05444100" w14:textId="77777777" w:rsidR="001B0CDB" w:rsidRDefault="000851F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L’Haircut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Principle</w:t>
      </w:r>
      <w:proofErr w:type="spellEnd"/>
      <w:r>
        <w:rPr>
          <w:rFonts w:ascii="Times New Roman" w:eastAsia="Times New Roman" w:hAnsi="Times New Roman" w:cs="Times New Roman"/>
        </w:rPr>
        <w:t xml:space="preserve"> fa parte della famiglia delle allocazioni proporzionali. Infatti, quest’ultimo è una proporzione del capitale di copertura totale per il più piccolo p-quan</w:t>
      </w:r>
      <w:r>
        <w:rPr>
          <w:rFonts w:ascii="Times New Roman" w:eastAsia="Times New Roman" w:hAnsi="Times New Roman" w:cs="Times New Roman"/>
        </w:rPr>
        <w:t xml:space="preserve">tile della variabile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rapportato alla somma di tutti i più piccoli p-quantili. Grazie a questo metodo si può valutare quanto incide la sotto-unità 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rPr>
          <w:rFonts w:ascii="Times New Roman" w:eastAsia="Times New Roman" w:hAnsi="Times New Roman" w:cs="Times New Roman"/>
        </w:rPr>
        <w:t xml:space="preserve"> sulla rischiosità totale.</w:t>
      </w:r>
    </w:p>
    <w:p w14:paraId="267E6250" w14:textId="77777777" w:rsidR="001B0CDB" w:rsidRDefault="001B0CDB">
      <w:pPr>
        <w:jc w:val="both"/>
        <w:rPr>
          <w:rFonts w:ascii="Times New Roman" w:eastAsia="Times New Roman" w:hAnsi="Times New Roman" w:cs="Times New Roman"/>
        </w:rPr>
      </w:pPr>
    </w:p>
    <w:p w14:paraId="598E4B36" w14:textId="77777777" w:rsidR="001B0CDB" w:rsidRDefault="000851F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Secondo le nostre considerazioni la misura di rischio da noi valutata risul</w:t>
      </w:r>
      <w:r>
        <w:rPr>
          <w:rFonts w:ascii="Times New Roman" w:eastAsia="Times New Roman" w:hAnsi="Times New Roman" w:cs="Times New Roman"/>
        </w:rPr>
        <w:t>ta coerente e positiva, per cui vale la seguente osservazione:</w:t>
      </w:r>
    </w:p>
    <w:p w14:paraId="42E840A4" w14:textId="77777777" w:rsidR="001B0CDB" w:rsidRDefault="000851F9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≤</m:t>
          </m:r>
          <m:r>
            <w:rPr>
              <w:rFonts w:ascii="Cambria Math" w:eastAsia="Cambria Math" w:hAnsi="Cambria Math" w:cs="Cambria Math"/>
            </w:rPr>
            <m:t>ρ</m:t>
          </m:r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14:paraId="6304AE3D" w14:textId="77777777" w:rsidR="001B0CDB" w:rsidRDefault="001B0CDB">
      <w:pPr>
        <w:rPr>
          <w:rFonts w:ascii="Times New Roman" w:eastAsia="Times New Roman" w:hAnsi="Times New Roman" w:cs="Times New Roman"/>
        </w:rPr>
      </w:pPr>
    </w:p>
    <w:p w14:paraId="459D521F" w14:textId="77777777" w:rsidR="001B0CDB" w:rsidRDefault="000851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così definiti soddisfano la full allocation</w:t>
      </w:r>
      <w:r>
        <w:rPr>
          <w:rFonts w:ascii="Times New Roman" w:eastAsia="Times New Roman" w:hAnsi="Times New Roman" w:cs="Times New Roman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</w:rPr>
        <w:t xml:space="preserve"> e la no-undercut. Infatti, la Capital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permette di accantonare meno capitale rispetto al caso in cui si dovesse considerare separatamente la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</w:rPr>
        <w:t>-esima unità e allocare in base alla sua rischiosità.</w:t>
      </w:r>
    </w:p>
    <w:p w14:paraId="3F6441AF" w14:textId="77777777" w:rsidR="001B0CDB" w:rsidRDefault="001B0CDB">
      <w:pPr>
        <w:rPr>
          <w:rFonts w:ascii="Times New Roman" w:eastAsia="Times New Roman" w:hAnsi="Times New Roman" w:cs="Times New Roman"/>
        </w:rPr>
      </w:pPr>
    </w:p>
    <w:p w14:paraId="0438A8ED" w14:textId="77777777" w:rsidR="001B0CDB" w:rsidRDefault="001B0CDB">
      <w:pPr>
        <w:rPr>
          <w:rFonts w:ascii="Times New Roman" w:eastAsia="Times New Roman" w:hAnsi="Times New Roman" w:cs="Times New Roman"/>
          <w:b/>
        </w:rPr>
      </w:pPr>
    </w:p>
    <w:p w14:paraId="0CB5311E" w14:textId="77777777" w:rsidR="001B0CDB" w:rsidRDefault="001B0CDB">
      <w:pPr>
        <w:rPr>
          <w:rFonts w:ascii="Times New Roman" w:eastAsia="Times New Roman" w:hAnsi="Times New Roman" w:cs="Times New Roman"/>
          <w:b/>
        </w:rPr>
      </w:pPr>
    </w:p>
    <w:p w14:paraId="1E29F509" w14:textId="77777777" w:rsidR="001B0CDB" w:rsidRDefault="001B0CDB">
      <w:pPr>
        <w:rPr>
          <w:rFonts w:ascii="Times New Roman" w:eastAsia="Times New Roman" w:hAnsi="Times New Roman" w:cs="Times New Roman"/>
          <w:b/>
        </w:rPr>
      </w:pPr>
    </w:p>
    <w:p w14:paraId="4AAA2965" w14:textId="77777777" w:rsidR="001B0CDB" w:rsidRDefault="001B0CDB">
      <w:pPr>
        <w:rPr>
          <w:rFonts w:ascii="Times New Roman" w:eastAsia="Times New Roman" w:hAnsi="Times New Roman" w:cs="Times New Roman"/>
          <w:b/>
        </w:rPr>
      </w:pPr>
    </w:p>
    <w:p w14:paraId="7D02DA55" w14:textId="77777777" w:rsidR="001B0CDB" w:rsidRDefault="001B0CDB">
      <w:pPr>
        <w:rPr>
          <w:rFonts w:ascii="Times New Roman" w:eastAsia="Times New Roman" w:hAnsi="Times New Roman" w:cs="Times New Roman"/>
          <w:b/>
        </w:rPr>
      </w:pPr>
    </w:p>
    <w:p w14:paraId="717EFC7E" w14:textId="77777777" w:rsidR="001B0CDB" w:rsidRDefault="000851F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Analisi della Rolling Capital </w:t>
      </w:r>
      <w:proofErr w:type="spellStart"/>
      <w:r>
        <w:rPr>
          <w:rFonts w:ascii="Times New Roman" w:eastAsia="Times New Roman" w:hAnsi="Times New Roman" w:cs="Times New Roman"/>
          <w:b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FA9534D" w14:textId="77777777" w:rsidR="001B0CDB" w:rsidRDefault="001B0CDB">
      <w:pPr>
        <w:rPr>
          <w:rFonts w:ascii="Times New Roman" w:eastAsia="Times New Roman" w:hAnsi="Times New Roman" w:cs="Times New Roman"/>
          <w:b/>
        </w:rPr>
      </w:pPr>
    </w:p>
    <w:p w14:paraId="0DED8F9C" w14:textId="77777777" w:rsidR="001B0CDB" w:rsidRDefault="000851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Proseguiamo la nostra analisi valutando l’andamento della capital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del portafoglio da noi selezionato in funzione del tempo. In particolare, l’intervallo temporale che studiamo tramite il codice MATLAB è</w:t>
      </w:r>
      <w:r>
        <w:rPr>
          <w:rFonts w:ascii="Times New Roman" w:eastAsia="Times New Roman" w:hAnsi="Times New Roman" w:cs="Times New Roman"/>
        </w:rPr>
        <w:t xml:space="preserve"> semestrale. Lavorando sulla nostra serie storica relativa agli ultimi 5 anni otteniamo:</w:t>
      </w:r>
    </w:p>
    <w:p w14:paraId="6DAB16F4" w14:textId="77777777" w:rsidR="001B0CDB" w:rsidRDefault="001B0CDB">
      <w:pPr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68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39"/>
        <w:gridCol w:w="1567"/>
        <w:gridCol w:w="960"/>
        <w:gridCol w:w="980"/>
        <w:gridCol w:w="960"/>
        <w:gridCol w:w="1040"/>
      </w:tblGrid>
      <w:tr w:rsidR="001B0CDB" w14:paraId="5DC4B118" w14:textId="77777777">
        <w:trPr>
          <w:trHeight w:val="300"/>
        </w:trPr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9C9330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SEMESTRE</w:t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CC77EB7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GOOGLUS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C5509FE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ESUS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56D5B78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JPMUS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F5AF0B9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PFEUS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ED1B2C9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MCDUS</w:t>
            </w:r>
          </w:p>
        </w:tc>
      </w:tr>
      <w:tr w:rsidR="001B0CDB" w14:paraId="18F5C4D8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DCACB05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7DB6ED6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837D06C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179820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043A06B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D6DF2E6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272748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E0C4D13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122804</w:t>
            </w:r>
          </w:p>
        </w:tc>
      </w:tr>
      <w:tr w:rsidR="001B0CDB" w14:paraId="3FE67F6F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278D5E5F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6A3C6C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227916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9CFA3E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169291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8CB81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234089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E3E96F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219550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F0B6F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149151</w:t>
            </w:r>
          </w:p>
        </w:tc>
      </w:tr>
      <w:tr w:rsidR="001B0CDB" w14:paraId="40A40EAC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8B3A490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EBCD69E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D824EFA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228124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B1CB618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275598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782986D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156867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81E620A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168066</w:t>
            </w:r>
          </w:p>
        </w:tc>
      </w:tr>
      <w:tr w:rsidR="001B0CDB" w14:paraId="4FAADF77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70D3ABD5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73F1EF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240242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51280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163781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738693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254606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FE9994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175256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6BD59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166113</w:t>
            </w:r>
          </w:p>
        </w:tc>
      </w:tr>
      <w:tr w:rsidR="001B0CDB" w14:paraId="6292A7B9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4BB3CA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83D4B3D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283986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27C2A7F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155210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076FA9D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F7946E2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168220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AA12199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181577</w:t>
            </w:r>
          </w:p>
        </w:tc>
      </w:tr>
      <w:tr w:rsidR="001B0CDB" w14:paraId="7023E8B7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394670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350158C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252449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257740C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141340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00BE88C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235048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3E503D4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176480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3D07BA4" w14:textId="77777777" w:rsidR="001B0CDB" w:rsidRDefault="000851F9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194679</w:t>
            </w:r>
          </w:p>
        </w:tc>
      </w:tr>
    </w:tbl>
    <w:p w14:paraId="2CA39FC7" w14:textId="77777777" w:rsidR="001B0CDB" w:rsidRDefault="000851F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 xml:space="preserve">Tabella 4: Capital </w:t>
      </w:r>
      <w:proofErr w:type="spellStart"/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>Allocation</w:t>
      </w:r>
      <w:proofErr w:type="spellEnd"/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 xml:space="preserve"> in funzione di un intervallo di tempo di sei mesi. Dati ottenuti tramite codice MATLAB.</w:t>
      </w:r>
    </w:p>
    <w:p w14:paraId="1C357355" w14:textId="77777777" w:rsidR="001B0CDB" w:rsidRDefault="000851F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Dai risultati contenuti nella tabella 4, risulta che l’andamento della capital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al variare della finestra temporale è abbastanza stabile; difatti la capital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nel lungo periodo (tab. 3) non presenta grandi differenze rispetto ai singoli </w:t>
      </w:r>
      <w:r>
        <w:rPr>
          <w:rFonts w:ascii="Times New Roman" w:eastAsia="Times New Roman" w:hAnsi="Times New Roman" w:cs="Times New Roman"/>
        </w:rPr>
        <w:t>semestri.</w:t>
      </w:r>
    </w:p>
    <w:p w14:paraId="499635C8" w14:textId="77777777" w:rsidR="001B0CDB" w:rsidRDefault="000851F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 seguito riportiamo anche le statistiche di portafoglio al variare del tempo: </w:t>
      </w:r>
    </w:p>
    <w:p w14:paraId="229A1273" w14:textId="77777777" w:rsidR="001B0CDB" w:rsidRDefault="001B0CDB"/>
    <w:tbl>
      <w:tblPr>
        <w:tblStyle w:val="a3"/>
        <w:tblW w:w="551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39"/>
        <w:gridCol w:w="1280"/>
        <w:gridCol w:w="960"/>
        <w:gridCol w:w="980"/>
        <w:gridCol w:w="960"/>
      </w:tblGrid>
      <w:tr w:rsidR="001B0CDB" w14:paraId="568E9D7C" w14:textId="77777777">
        <w:trPr>
          <w:trHeight w:val="300"/>
        </w:trPr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C2829F" w14:textId="77777777" w:rsidR="001B0CDB" w:rsidRDefault="000851F9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SEMESTRE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019D41F" w14:textId="77777777" w:rsidR="001B0CDB" w:rsidRDefault="000851F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EB723E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88A8B38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Va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Rp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60B9CE4" w14:textId="77777777" w:rsidR="001B0CDB" w:rsidRDefault="000851F9">
            <w:pPr>
              <w:jc w:val="center"/>
              <w:rPr>
                <w:rFonts w:ascii="Cambria Math" w:eastAsia="Cambria Math" w:hAnsi="Cambria Math" w:cs="Cambria Math"/>
                <w:sz w:val="22"/>
                <w:szCs w:val="22"/>
              </w:rPr>
            </w:pPr>
            <w:bookmarkStart w:id="0" w:name="_heading=h.gjdgxs" w:colFirst="0" w:colLast="0"/>
            <w:bookmarkEnd w:id="0"/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Va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Rpn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α</m:t>
                    </m:r>
                  </m:sub>
                </m:sSub>
              </m:oMath>
            </m:oMathPara>
          </w:p>
        </w:tc>
      </w:tr>
      <w:tr w:rsidR="001B0CDB" w14:paraId="07641168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3C82E7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4769E21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59D1308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5EFF8D8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22A2F43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0,01222</w:t>
            </w:r>
          </w:p>
        </w:tc>
      </w:tr>
      <w:tr w:rsidR="001B0CDB" w14:paraId="76B321AA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24FC841F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655BBA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CA677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0B1067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10BEB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0,01701</w:t>
            </w:r>
          </w:p>
        </w:tc>
      </w:tr>
      <w:tr w:rsidR="001B0CDB" w14:paraId="411018BF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11F7B28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FC485DF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1509BC4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C74B3A7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41CD479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0,04008</w:t>
            </w:r>
          </w:p>
        </w:tc>
      </w:tr>
      <w:tr w:rsidR="001B0CDB" w14:paraId="18A52EE7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21923BB8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09BDA4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BCEE1B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075E1F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2B3B7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0,01248</w:t>
            </w:r>
          </w:p>
        </w:tc>
      </w:tr>
      <w:tr w:rsidR="001B0CDB" w14:paraId="337B768B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40508F8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035DCA6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D5E9BE1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18EDCD5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0BAA5E8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0,01413</w:t>
            </w:r>
          </w:p>
        </w:tc>
      </w:tr>
      <w:tr w:rsidR="001B0CDB" w14:paraId="73B1FF9C" w14:textId="77777777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7F945B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36B2314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02D7CB4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C15AEFA" w14:textId="77777777" w:rsidR="001B0CDB" w:rsidRDefault="000851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6E67F65" w14:textId="77777777" w:rsidR="001B0CDB" w:rsidRDefault="000851F9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0,01445</w:t>
            </w:r>
          </w:p>
        </w:tc>
      </w:tr>
    </w:tbl>
    <w:p w14:paraId="0EA7ED2D" w14:textId="77777777" w:rsidR="001B0CDB" w:rsidRDefault="000851F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color w:val="1F497D"/>
          <w:sz w:val="18"/>
          <w:szCs w:val="18"/>
        </w:rPr>
        <w:t>Tabella 5: riassunto delle statistiche relative a ciascun semestre. Dati ottenuti tramite codice MATLAB.</w:t>
      </w:r>
    </w:p>
    <w:p w14:paraId="5B42813B" w14:textId="77777777" w:rsidR="001B0CDB" w:rsidRDefault="000851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Anche qui valgono le stesse conclusioni di cui sopra, salvo il terzo semestre che presenta valori delle statistiche più elevati, come ad esempio il </w:t>
      </w:r>
      <m:oMath>
        <m:r>
          <w:rPr>
            <w:rFonts w:ascii="Cambria Math" w:eastAsia="Cambria Math" w:hAnsi="Cambria Math" w:cs="Cambria Math"/>
          </w:rPr>
          <m:t>Va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Rpn</m:t>
            </m:r>
          </m:e>
          <m:sub>
            <m:r>
              <w:rPr>
                <w:rFonts w:ascii="Cambria Math" w:eastAsia="Cambria Math" w:hAnsi="Cambria Math" w:cs="Cambria Math"/>
              </w:rPr>
              <m:t>α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che è pari a 0,04008. </w:t>
      </w:r>
    </w:p>
    <w:p w14:paraId="2164A2E1" w14:textId="77777777" w:rsidR="001B0CDB" w:rsidRDefault="000851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Infine riportiamo il grafico relativo all’andamento della capital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in funzione dei sei semestri da noi considerati insieme alla capital </w:t>
      </w:r>
      <w:proofErr w:type="spellStart"/>
      <w:r>
        <w:rPr>
          <w:rFonts w:ascii="Times New Roman" w:eastAsia="Times New Roman" w:hAnsi="Times New Roman" w:cs="Times New Roman"/>
        </w:rPr>
        <w:t>allocation</w:t>
      </w:r>
      <w:proofErr w:type="spellEnd"/>
      <w:r>
        <w:rPr>
          <w:rFonts w:ascii="Times New Roman" w:eastAsia="Times New Roman" w:hAnsi="Times New Roman" w:cs="Times New Roman"/>
        </w:rPr>
        <w:t xml:space="preserve"> valutata su 5 anni (tab. 3):</w:t>
      </w:r>
    </w:p>
    <w:p w14:paraId="2CC9618A" w14:textId="77777777" w:rsidR="001B0CDB" w:rsidRDefault="000851F9"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147F1412" wp14:editId="6A31C49D">
            <wp:simplePos x="0" y="0"/>
            <wp:positionH relativeFrom="column">
              <wp:posOffset>1516</wp:posOffset>
            </wp:positionH>
            <wp:positionV relativeFrom="paragraph">
              <wp:posOffset>65695</wp:posOffset>
            </wp:positionV>
            <wp:extent cx="6048260" cy="2814259"/>
            <wp:effectExtent l="0" t="0" r="0" b="0"/>
            <wp:wrapNone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44AFAFC4" w14:textId="77777777" w:rsidR="001B0CDB" w:rsidRDefault="001B0CDB"/>
    <w:p w14:paraId="22F6DABB" w14:textId="77777777" w:rsidR="001B0CDB" w:rsidRDefault="001B0CDB"/>
    <w:p w14:paraId="7331FA51" w14:textId="77777777" w:rsidR="001B0CDB" w:rsidRDefault="001B0CDB"/>
    <w:p w14:paraId="5F5CF314" w14:textId="77777777" w:rsidR="001B0CDB" w:rsidRDefault="001B0CDB"/>
    <w:p w14:paraId="0BE637A3" w14:textId="77777777" w:rsidR="001B0CDB" w:rsidRDefault="001B0CDB"/>
    <w:p w14:paraId="19F114E0" w14:textId="77777777" w:rsidR="001B0CDB" w:rsidRDefault="001B0CDB"/>
    <w:p w14:paraId="50BA92BE" w14:textId="77777777" w:rsidR="001B0CDB" w:rsidRDefault="001B0CDB"/>
    <w:p w14:paraId="209C53CC" w14:textId="77777777" w:rsidR="001B0CDB" w:rsidRDefault="001B0CDB"/>
    <w:p w14:paraId="28478B9B" w14:textId="77777777" w:rsidR="001B0CDB" w:rsidRDefault="001B0CDB"/>
    <w:p w14:paraId="5BC3929F" w14:textId="77777777" w:rsidR="001B0CDB" w:rsidRDefault="001B0CDB"/>
    <w:p w14:paraId="78DCCB61" w14:textId="77777777" w:rsidR="001B0CDB" w:rsidRDefault="001B0CDB"/>
    <w:p w14:paraId="49733E7A" w14:textId="77777777" w:rsidR="001B0CDB" w:rsidRDefault="001B0CDB"/>
    <w:p w14:paraId="65309A12" w14:textId="77777777" w:rsidR="001B0CDB" w:rsidRDefault="000851F9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12509F38" wp14:editId="39F8D533">
                <wp:simplePos x="0" y="0"/>
                <wp:positionH relativeFrom="column">
                  <wp:posOffset>1</wp:posOffset>
                </wp:positionH>
                <wp:positionV relativeFrom="paragraph">
                  <wp:posOffset>444500</wp:posOffset>
                </wp:positionV>
                <wp:extent cx="6299835" cy="12700"/>
                <wp:effectExtent l="0" t="0" r="0" b="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6083" y="3779683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EA2F4" w14:textId="77777777" w:rsidR="001B0CDB" w:rsidRDefault="000851F9">
                            <w:pPr>
                              <w:spacing w:after="20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 xml:space="preserve">Grafico  SEQ Grafico_ \* ARABIC 4: andamento delle capital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>allocation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1F497D"/>
                                <w:sz w:val="18"/>
                              </w:rPr>
                              <w:t xml:space="preserve"> come da legenda. Grafico estratto tramite Excel.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444500</wp:posOffset>
                </wp:positionV>
                <wp:extent cx="6299835" cy="1270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9396E2" w14:textId="77777777" w:rsidR="001B0CDB" w:rsidRDefault="001B0CD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10169E" w14:textId="77777777" w:rsidR="001B0CDB" w:rsidRDefault="001B0CD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40A647" w14:textId="77777777" w:rsidR="001B0CDB" w:rsidRDefault="001B0CD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37EDCC" w14:textId="77777777" w:rsidR="001B0CDB" w:rsidRDefault="001B0CD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AA9CA0" w14:textId="77777777" w:rsidR="001B0CDB" w:rsidRDefault="001B0CD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478715" w14:textId="77777777" w:rsidR="001B0CDB" w:rsidRDefault="001B0CDB">
      <w:pPr>
        <w:rPr>
          <w:rFonts w:ascii="Times New Roman" w:eastAsia="Times New Roman" w:hAnsi="Times New Roman" w:cs="Times New Roman"/>
          <w:b/>
        </w:rPr>
      </w:pPr>
    </w:p>
    <w:p w14:paraId="1F160C1E" w14:textId="77777777" w:rsidR="001B0CDB" w:rsidRDefault="000851F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Appendice</w:t>
      </w:r>
    </w:p>
    <w:p w14:paraId="2BDBAC6C" w14:textId="77777777" w:rsidR="001B0CDB" w:rsidRDefault="001B0CDB">
      <w:pPr>
        <w:rPr>
          <w:rFonts w:ascii="Times New Roman" w:eastAsia="Times New Roman" w:hAnsi="Times New Roman" w:cs="Times New Roman"/>
        </w:rPr>
      </w:pPr>
    </w:p>
    <w:p w14:paraId="257276B0" w14:textId="77777777" w:rsidR="001B0CDB" w:rsidRDefault="000851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Dal codice MATLAB valutiamo l’andamento delle statistiche di portafoglio per semestre in ciascuna delle seguenti tabell</w:t>
      </w:r>
      <w:r>
        <w:rPr>
          <w:rFonts w:ascii="Times New Roman" w:eastAsia="Times New Roman" w:hAnsi="Times New Roman" w:cs="Times New Roman"/>
        </w:rPr>
        <w:t xml:space="preserve">e: </w:t>
      </w:r>
    </w:p>
    <w:tbl>
      <w:tblPr>
        <w:tblStyle w:val="a4"/>
        <w:tblW w:w="1024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8"/>
        <w:gridCol w:w="160"/>
        <w:gridCol w:w="830"/>
        <w:gridCol w:w="814"/>
        <w:gridCol w:w="160"/>
        <w:gridCol w:w="764"/>
        <w:gridCol w:w="208"/>
        <w:gridCol w:w="968"/>
        <w:gridCol w:w="160"/>
        <w:gridCol w:w="404"/>
        <w:gridCol w:w="1104"/>
        <w:gridCol w:w="834"/>
        <w:gridCol w:w="28"/>
        <w:gridCol w:w="916"/>
        <w:gridCol w:w="28"/>
        <w:gridCol w:w="834"/>
        <w:gridCol w:w="54"/>
        <w:gridCol w:w="916"/>
        <w:gridCol w:w="11"/>
      </w:tblGrid>
      <w:tr w:rsidR="001B0CDB" w14:paraId="27710CD6" w14:textId="77777777">
        <w:trPr>
          <w:gridAfter w:val="8"/>
          <w:wAfter w:w="3715" w:type="dxa"/>
          <w:trHeight w:val="300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401468" w14:textId="77777777" w:rsidR="001B0CDB" w:rsidRDefault="001B0CDB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14:paraId="3C5BA4C9" w14:textId="77777777" w:rsidR="001B0CDB" w:rsidRDefault="000851F9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1° semestre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860B" w14:textId="77777777" w:rsidR="001B0CDB" w:rsidRDefault="001B0CDB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C115D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52ED8F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5972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443BB" w14:textId="77777777" w:rsidR="001B0CDB" w:rsidRDefault="000851F9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2° semestre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72430" w14:textId="77777777" w:rsidR="001B0CDB" w:rsidRDefault="001B0CDB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443BAC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B22774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04B2F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0CDB" w14:paraId="47B8F030" w14:textId="77777777">
        <w:trPr>
          <w:gridAfter w:val="8"/>
          <w:wAfter w:w="3715" w:type="dxa"/>
          <w:trHeight w:val="30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064183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GOOGLUS</w:t>
            </w:r>
          </w:p>
        </w:tc>
        <w:tc>
          <w:tcPr>
            <w:tcW w:w="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C1B48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ESUS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F40B9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JPMUS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E2A916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PFEUS</w:t>
            </w: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D8D74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MCDUS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87A85" w14:textId="77777777" w:rsidR="001B0CDB" w:rsidRDefault="001B0CDB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1494A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GOOGLUS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1550DC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ESUS</w:t>
            </w:r>
          </w:p>
        </w:tc>
        <w:tc>
          <w:tcPr>
            <w:tcW w:w="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BCB83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JPMUS</w:t>
            </w:r>
          </w:p>
        </w:tc>
        <w:tc>
          <w:tcPr>
            <w:tcW w:w="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B0DEC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PFEUS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1EC75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MCDUS</w:t>
            </w:r>
          </w:p>
        </w:tc>
      </w:tr>
      <w:tr w:rsidR="001B0CDB" w14:paraId="4C6C27E2" w14:textId="77777777">
        <w:trPr>
          <w:gridAfter w:val="8"/>
          <w:wAfter w:w="3715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E3374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-0,0019</w:t>
            </w:r>
          </w:p>
        </w:tc>
        <w:tc>
          <w:tcPr>
            <w:tcW w:w="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CD99B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E7D9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4AC4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-0,0023</w:t>
            </w: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0D50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F9A68A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6E81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B323D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27BE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-0,0028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8C28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BC54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-0,0010</w:t>
            </w:r>
          </w:p>
        </w:tc>
      </w:tr>
      <w:tr w:rsidR="001B0CDB" w14:paraId="0A8D6461" w14:textId="77777777">
        <w:trPr>
          <w:gridAfter w:val="8"/>
          <w:wAfter w:w="3715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2E2F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09093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B3A93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0B20D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0,0003</w:t>
            </w: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B603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57AA86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35B08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C1AFF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9564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0963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4F055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</w:tr>
      <w:tr w:rsidR="001B0CDB" w14:paraId="4B693970" w14:textId="77777777">
        <w:trPr>
          <w:gridAfter w:val="8"/>
          <w:wAfter w:w="3715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09B8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0,0132</w:t>
            </w:r>
          </w:p>
        </w:tc>
        <w:tc>
          <w:tcPr>
            <w:tcW w:w="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A7B87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1D7F7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6E41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0,0164</w:t>
            </w: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BA0E0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8955B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469F1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2502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0,0144</w:t>
            </w:r>
          </w:p>
        </w:tc>
        <w:tc>
          <w:tcPr>
            <w:tcW w:w="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D9F2B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0,0192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410457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0376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0,0113</w:t>
            </w:r>
          </w:p>
        </w:tc>
      </w:tr>
      <w:tr w:rsidR="001B0CDB" w14:paraId="7978D726" w14:textId="77777777">
        <w:trPr>
          <w:gridAfter w:val="8"/>
          <w:wAfter w:w="3715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CD562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-0,0955</w:t>
            </w:r>
          </w:p>
        </w:tc>
        <w:tc>
          <w:tcPr>
            <w:tcW w:w="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FEA0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0,1561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727ED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0,0873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8C597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-1,6386</w:t>
            </w: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40F04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0,3747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4E6CAB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ABC1A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30DBDD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-0,1735</w:t>
            </w:r>
          </w:p>
        </w:tc>
        <w:tc>
          <w:tcPr>
            <w:tcW w:w="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F8FF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-1,6207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2D90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-0,6614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D141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0,1410</w:t>
            </w:r>
          </w:p>
        </w:tc>
      </w:tr>
      <w:tr w:rsidR="001B0CDB" w14:paraId="7DFBCD27" w14:textId="77777777">
        <w:trPr>
          <w:gridAfter w:val="8"/>
          <w:wAfter w:w="3715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E2C55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4,2726</w:t>
            </w:r>
          </w:p>
        </w:tc>
        <w:tc>
          <w:tcPr>
            <w:tcW w:w="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64A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3,40</w:t>
            </w:r>
            <w:r>
              <w:rPr>
                <w:color w:val="000000"/>
                <w:sz w:val="22"/>
                <w:szCs w:val="22"/>
              </w:rPr>
              <w:lastRenderedPageBreak/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4AC7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2,7833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941D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10,8217</w:t>
            </w: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6FFBE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3,79</w:t>
            </w:r>
            <w:r>
              <w:rPr>
                <w:color w:val="000000"/>
                <w:sz w:val="22"/>
                <w:szCs w:val="22"/>
              </w:rPr>
              <w:lastRenderedPageBreak/>
              <w:t>95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1F66C5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6609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4,47</w:t>
            </w:r>
            <w:r>
              <w:rPr>
                <w:color w:val="000000"/>
                <w:sz w:val="22"/>
                <w:szCs w:val="22"/>
              </w:rPr>
              <w:lastRenderedPageBreak/>
              <w:t>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4769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3,7110</w:t>
            </w:r>
          </w:p>
        </w:tc>
        <w:tc>
          <w:tcPr>
            <w:tcW w:w="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65803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11,4</w:t>
            </w:r>
            <w:r>
              <w:rPr>
                <w:color w:val="000000"/>
                <w:sz w:val="22"/>
                <w:szCs w:val="22"/>
              </w:rPr>
              <w:lastRenderedPageBreak/>
              <w:t>787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50BF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6,4034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D89C9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4,5817</w:t>
            </w:r>
          </w:p>
        </w:tc>
      </w:tr>
      <w:tr w:rsidR="001B0CDB" w14:paraId="2A6C5F44" w14:textId="77777777">
        <w:trPr>
          <w:gridAfter w:val="8"/>
          <w:wAfter w:w="3715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A46E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0,0230</w:t>
            </w:r>
          </w:p>
        </w:tc>
        <w:tc>
          <w:tcPr>
            <w:tcW w:w="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7E0D5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38AA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0,0208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A981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0,0281</w:t>
            </w: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2A3E8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0,0127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AE2234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62F83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D908D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0,0229</w:t>
            </w:r>
          </w:p>
        </w:tc>
        <w:tc>
          <w:tcPr>
            <w:tcW w:w="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5A03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0,0317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500B9D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A514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0,0202</w:t>
            </w:r>
          </w:p>
        </w:tc>
      </w:tr>
      <w:tr w:rsidR="001B0CDB" w14:paraId="58F92DF8" w14:textId="77777777">
        <w:trPr>
          <w:gridAfter w:val="8"/>
          <w:wAfter w:w="3715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8F8B1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0,1908</w:t>
            </w:r>
          </w:p>
        </w:tc>
        <w:tc>
          <w:tcPr>
            <w:tcW w:w="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7037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0,1798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ABA79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0,1878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4A40A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0,2126</w:t>
            </w: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E070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0,1546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F72C7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6305B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0,2272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F645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0,1974</w:t>
            </w:r>
          </w:p>
        </w:tc>
        <w:tc>
          <w:tcPr>
            <w:tcW w:w="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9718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0,2308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49DD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8D0A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0,1762</w:t>
            </w:r>
          </w:p>
        </w:tc>
      </w:tr>
      <w:tr w:rsidR="001B0CDB" w14:paraId="428C8070" w14:textId="77777777">
        <w:trPr>
          <w:gridAfter w:val="15"/>
          <w:wAfter w:w="7421" w:type="dxa"/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656FBD" w14:textId="77777777" w:rsidR="001B0CDB" w:rsidRDefault="001B0CDB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7C8E09" w14:textId="77777777" w:rsidR="001B0CDB" w:rsidRDefault="001B0CDB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1CA15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92672A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0CDB" w14:paraId="7E617000" w14:textId="77777777">
        <w:trPr>
          <w:trHeight w:val="300"/>
        </w:trPr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81BC9" w14:textId="77777777" w:rsidR="001B0CDB" w:rsidRDefault="001B0CDB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14:paraId="54BEB25A" w14:textId="77777777" w:rsidR="001B0CDB" w:rsidRDefault="000851F9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3° semestre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D19B6" w14:textId="77777777" w:rsidR="001B0CDB" w:rsidRDefault="001B0CDB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602DFE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D118B4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AD8A68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394FD" w14:textId="77777777" w:rsidR="001B0CDB" w:rsidRDefault="000851F9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4° semestre 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97AC9E" w14:textId="77777777" w:rsidR="001B0CDB" w:rsidRDefault="001B0CDB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5E2DF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9D44B3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0CDB" w14:paraId="396C1E04" w14:textId="77777777">
        <w:trPr>
          <w:trHeight w:val="300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29C45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GOOGLUS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01EF0B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ESUS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C22BC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JPMUS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D4072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PFEUS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E0718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MCDUS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12E79B" w14:textId="77777777" w:rsidR="001B0CDB" w:rsidRDefault="001B0CDB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C0584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GOOGLUS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7C7B7B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ESUS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A186A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JPMUS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A788BA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PFEUS</w:t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528D4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MCDUS</w:t>
            </w:r>
          </w:p>
        </w:tc>
      </w:tr>
      <w:tr w:rsidR="001B0CDB" w14:paraId="4A29980C" w14:textId="77777777">
        <w:trPr>
          <w:trHeight w:val="300"/>
        </w:trPr>
        <w:tc>
          <w:tcPr>
            <w:tcW w:w="11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C8407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EEEB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F91DF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0,0012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EDEF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BEAC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F2B3169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133D7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9100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-0,0013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8158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3E14F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0,0006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606A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-0,0007</w:t>
            </w:r>
          </w:p>
        </w:tc>
      </w:tr>
      <w:tr w:rsidR="001B0CDB" w14:paraId="7CD85AE6" w14:textId="77777777">
        <w:trPr>
          <w:trHeight w:val="300"/>
        </w:trPr>
        <w:tc>
          <w:tcPr>
            <w:tcW w:w="11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ACF5D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1F5C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0,0010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2FC39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0,0014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E628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0,0005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C6882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0,0008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61C8A4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ADCD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D73D2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53118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3957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A165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</w:tr>
      <w:tr w:rsidR="001B0CDB" w14:paraId="4319A416" w14:textId="77777777">
        <w:trPr>
          <w:trHeight w:val="300"/>
        </w:trPr>
        <w:tc>
          <w:tcPr>
            <w:tcW w:w="11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4327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B03A3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0,0320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6B6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0,0368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425DF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0,0230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1B1AE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0,0291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E3F1C5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F1B5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7929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0,0078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0EC1F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0,0125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3A27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0,0125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C1CC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0,0090</w:t>
            </w:r>
          </w:p>
        </w:tc>
      </w:tr>
      <w:tr w:rsidR="001B0CDB" w14:paraId="4CA99F09" w14:textId="77777777">
        <w:trPr>
          <w:trHeight w:val="373"/>
        </w:trPr>
        <w:tc>
          <w:tcPr>
            <w:tcW w:w="11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8C21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0,5294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FA23D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-0,0074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D361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0,2018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0BB1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0,3245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5432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0,1831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F2AE8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DCF0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C746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-0,1791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B192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-0,0481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065F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1,1271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54F0E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0,6457</w:t>
            </w:r>
          </w:p>
        </w:tc>
      </w:tr>
      <w:tr w:rsidR="001B0CDB" w14:paraId="6DF65641" w14:textId="77777777">
        <w:trPr>
          <w:trHeight w:val="300"/>
        </w:trPr>
        <w:tc>
          <w:tcPr>
            <w:tcW w:w="11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46F80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8,1032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71E7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9,2722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9360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8,2004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AA0F6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6,3626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1E5F27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16,1927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35341B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CE0F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11,8821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EAEE7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3,8383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B8D1F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4,3867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5B1ED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6,6827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ABD2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4,3388</w:t>
            </w:r>
          </w:p>
        </w:tc>
      </w:tr>
      <w:tr w:rsidR="001B0CDB" w14:paraId="0AA2B1C0" w14:textId="77777777">
        <w:trPr>
          <w:trHeight w:val="300"/>
        </w:trPr>
        <w:tc>
          <w:tcPr>
            <w:tcW w:w="11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7EF7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8A081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0,0477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510C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0,0577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40910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0,0328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07CBD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0,0352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42F0E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2E0327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0,0212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BCB8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0,0144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FCDF0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03E9B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0,0155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A5F9D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0,0146</w:t>
            </w:r>
          </w:p>
        </w:tc>
      </w:tr>
      <w:tr w:rsidR="001B0CDB" w14:paraId="42B5B85C" w14:textId="77777777">
        <w:trPr>
          <w:trHeight w:val="300"/>
        </w:trPr>
        <w:tc>
          <w:tcPr>
            <w:tcW w:w="11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89DC1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0,2619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C5B0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0,2942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D958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0,3145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EBDD7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0,2491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F5B61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0,2800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583FEE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9950E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0,2083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C14D4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0,1469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FD41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0,1843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389B6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0,1833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AF5DF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0,1568</w:t>
            </w:r>
          </w:p>
        </w:tc>
      </w:tr>
      <w:tr w:rsidR="001B0CDB" w14:paraId="3CAB89E8" w14:textId="77777777">
        <w:trPr>
          <w:gridAfter w:val="1"/>
          <w:wAfter w:w="11" w:type="dxa"/>
          <w:trHeight w:val="300"/>
        </w:trPr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6E6827" w14:textId="77777777" w:rsidR="001B0CDB" w:rsidRDefault="001B0CDB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14:paraId="369E8BFE" w14:textId="77777777" w:rsidR="001B0CDB" w:rsidRDefault="000851F9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5° semestre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D515B" w14:textId="77777777" w:rsidR="001B0CDB" w:rsidRDefault="001B0CDB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71834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85E60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D980C3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D844C" w14:textId="77777777" w:rsidR="001B0CDB" w:rsidRDefault="000851F9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6° semestre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3907B7" w14:textId="77777777" w:rsidR="001B0CDB" w:rsidRDefault="001B0CDB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9C27B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6E211" w14:textId="77777777" w:rsidR="001B0CDB" w:rsidRDefault="001B0C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0CDB" w14:paraId="5F9E54C0" w14:textId="77777777">
        <w:trPr>
          <w:gridAfter w:val="1"/>
          <w:wAfter w:w="11" w:type="dxa"/>
          <w:trHeight w:val="30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D65A0E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GOOGLUS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499D96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ESUS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F3671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JPMUS</w:t>
            </w:r>
          </w:p>
        </w:tc>
        <w:tc>
          <w:tcPr>
            <w:tcW w:w="9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87AAB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PFEUS</w:t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96E85B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MCDUS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5CDD2D" w14:textId="77777777" w:rsidR="001B0CDB" w:rsidRDefault="001B0CDB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DD354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GOOGLUS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0F809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ESUS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F845CB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JPMUS</w:t>
            </w:r>
          </w:p>
        </w:tc>
        <w:tc>
          <w:tcPr>
            <w:tcW w:w="9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A2C07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PFEUS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97D39F" w14:textId="77777777" w:rsidR="001B0CDB" w:rsidRDefault="000851F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MCDUS</w:t>
            </w:r>
          </w:p>
        </w:tc>
      </w:tr>
      <w:tr w:rsidR="001B0CDB" w14:paraId="070B72C2" w14:textId="77777777">
        <w:trPr>
          <w:gridAfter w:val="1"/>
          <w:wAfter w:w="11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295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-0,0001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0D7F9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3D30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3052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9E56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-0,0006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31EB98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27FDE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-0,0009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3B4D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EACD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-0,0012</w:t>
            </w:r>
          </w:p>
        </w:tc>
        <w:tc>
          <w:tcPr>
            <w:tcW w:w="94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B8DE0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9FE3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-0,0002</w:t>
            </w:r>
          </w:p>
        </w:tc>
      </w:tr>
      <w:tr w:rsidR="001B0CDB" w14:paraId="11ACA5E0" w14:textId="77777777">
        <w:trPr>
          <w:gridAfter w:val="1"/>
          <w:wAfter w:w="11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E34F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0,0003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30CA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90E2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FC8F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FCFE9F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10CA0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E416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0AA4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0F15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4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F722A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F9DD5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0,0001</w:t>
            </w:r>
          </w:p>
        </w:tc>
      </w:tr>
      <w:tr w:rsidR="001B0CDB" w14:paraId="241EE7B3" w14:textId="77777777">
        <w:trPr>
          <w:gridAfter w:val="1"/>
          <w:wAfter w:w="11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44B5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0,0174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BB8C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0,0108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B7DA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0,0132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70830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0,0121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606E9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0,0118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EE9FA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E2D6D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0,0151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59BB37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70328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0,0126</w:t>
            </w:r>
          </w:p>
        </w:tc>
        <w:tc>
          <w:tcPr>
            <w:tcW w:w="94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E4CB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1D7C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0,0118</w:t>
            </w:r>
          </w:p>
        </w:tc>
      </w:tr>
      <w:tr w:rsidR="001B0CDB" w14:paraId="0403C8C3" w14:textId="77777777">
        <w:trPr>
          <w:gridAfter w:val="1"/>
          <w:wAfter w:w="11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AB76A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-0,0324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48A9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1,0533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76729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-0,0425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17D91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0,3569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F0EC7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-0,8255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CCDF9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6B88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0,9061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0E7B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-0,1869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4EE9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0,6641</w:t>
            </w:r>
          </w:p>
        </w:tc>
        <w:tc>
          <w:tcPr>
            <w:tcW w:w="94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C2757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0,7344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1493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0,3253</w:t>
            </w:r>
          </w:p>
        </w:tc>
      </w:tr>
      <w:tr w:rsidR="001B0CDB" w14:paraId="241FA5EE" w14:textId="77777777">
        <w:trPr>
          <w:gridAfter w:val="1"/>
          <w:wAfter w:w="11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39904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4,4780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08014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5,4842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1E776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4,3600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67E3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4,3635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B58DE6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7,1400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1A30C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A8CBD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5,5079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9FDD3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8,1847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F5EA49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5,3127</w:t>
            </w:r>
          </w:p>
        </w:tc>
        <w:tc>
          <w:tcPr>
            <w:tcW w:w="94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9B68E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8,1431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D3CBA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7,4982</w:t>
            </w:r>
          </w:p>
        </w:tc>
      </w:tr>
      <w:tr w:rsidR="001B0CDB" w14:paraId="30DAEE53" w14:textId="77777777">
        <w:trPr>
          <w:gridAfter w:val="1"/>
          <w:wAfter w:w="11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D66C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0,0296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CC35BD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0,0162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36408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0,0220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56E6C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0,0176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FEEF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0,0190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DFDDBD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4A6B3D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0,0225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00B2E3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BA35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0,0210</w:t>
            </w:r>
          </w:p>
        </w:tc>
        <w:tc>
          <w:tcPr>
            <w:tcW w:w="94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69B5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517AA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0,0174</w:t>
            </w:r>
          </w:p>
        </w:tc>
      </w:tr>
      <w:tr w:rsidR="001B0CDB" w14:paraId="1FB187E4" w14:textId="77777777">
        <w:trPr>
          <w:gridAfter w:val="1"/>
          <w:wAfter w:w="11" w:type="dxa"/>
          <w:trHeight w:val="300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F5AC95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0,2168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EAC671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0,1718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BAFA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0,1884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1D470B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0,1817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B5A80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0,1791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0B8A62" w14:textId="77777777" w:rsidR="001B0CDB" w:rsidRDefault="001B0CDB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C8C00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0,2027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C5C2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0,1694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E85588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0,1862</w:t>
            </w:r>
          </w:p>
        </w:tc>
        <w:tc>
          <w:tcPr>
            <w:tcW w:w="94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60492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0,1743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8A176C" w14:textId="77777777" w:rsidR="001B0CDB" w:rsidRDefault="000851F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0,1791</w:t>
            </w:r>
          </w:p>
        </w:tc>
      </w:tr>
    </w:tbl>
    <w:p w14:paraId="78B700D4" w14:textId="77777777" w:rsidR="001B0CDB" w:rsidRDefault="001B0CDB"/>
    <w:p w14:paraId="1FA7BE67" w14:textId="77777777" w:rsidR="001B0CDB" w:rsidRDefault="001B0CDB"/>
    <w:p w14:paraId="014032CA" w14:textId="77777777" w:rsidR="001B0CDB" w:rsidRDefault="001B0CDB"/>
    <w:sectPr w:rsidR="001B0CDB">
      <w:footerReference w:type="default" r:id="rId16"/>
      <w:pgSz w:w="11906" w:h="16838"/>
      <w:pgMar w:top="851" w:right="851" w:bottom="851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C85C" w14:textId="77777777" w:rsidR="000851F9" w:rsidRDefault="000851F9">
      <w:r>
        <w:separator/>
      </w:r>
    </w:p>
  </w:endnote>
  <w:endnote w:type="continuationSeparator" w:id="0">
    <w:p w14:paraId="46DEF4BB" w14:textId="77777777" w:rsidR="000851F9" w:rsidRDefault="0008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D582" w14:textId="77777777" w:rsidR="001B0CDB" w:rsidRDefault="000851F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3338">
      <w:rPr>
        <w:noProof/>
        <w:color w:val="000000"/>
      </w:rPr>
      <w:t>1</w:t>
    </w:r>
    <w:r>
      <w:rPr>
        <w:color w:val="000000"/>
      </w:rPr>
      <w:fldChar w:fldCharType="end"/>
    </w:r>
  </w:p>
  <w:p w14:paraId="58589745" w14:textId="77777777" w:rsidR="001B0CDB" w:rsidRDefault="001B0CD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6020" w14:textId="77777777" w:rsidR="000851F9" w:rsidRDefault="000851F9">
      <w:r>
        <w:separator/>
      </w:r>
    </w:p>
  </w:footnote>
  <w:footnote w:type="continuationSeparator" w:id="0">
    <w:p w14:paraId="2B39A4E9" w14:textId="77777777" w:rsidR="000851F9" w:rsidRDefault="000851F9">
      <w:r>
        <w:continuationSeparator/>
      </w:r>
    </w:p>
  </w:footnote>
  <w:footnote w:id="1">
    <w:p w14:paraId="6EA44E98" w14:textId="77777777" w:rsidR="001B0CDB" w:rsidRPr="004E0A13" w:rsidRDefault="000851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4E0A1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paper: “How Inefficient are Simple Asset - Allocation Strategies?”</w:t>
      </w:r>
    </w:p>
  </w:footnote>
  <w:footnote w:id="2">
    <w:p w14:paraId="306804EC" w14:textId="77777777" w:rsidR="001B0CDB" w:rsidRDefault="000851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VaR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0.05</w:t>
      </w:r>
      <w:r>
        <w:rPr>
          <w:rFonts w:ascii="Times New Roman" w:eastAsia="Times New Roman" w:hAnsi="Times New Roman" w:cs="Times New Roman"/>
          <w:sz w:val="18"/>
          <w:szCs w:val="18"/>
        </w:rPr>
        <w:t>(X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)+VaR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0.05</w:t>
      </w:r>
      <w:r>
        <w:rPr>
          <w:rFonts w:ascii="Times New Roman" w:eastAsia="Times New Roman" w:hAnsi="Times New Roman" w:cs="Times New Roman"/>
          <w:sz w:val="18"/>
          <w:szCs w:val="18"/>
        </w:rPr>
        <w:t>(X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)+VaR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0.05</w:t>
      </w:r>
      <w:r>
        <w:rPr>
          <w:rFonts w:ascii="Times New Roman" w:eastAsia="Times New Roman" w:hAnsi="Times New Roman" w:cs="Times New Roman"/>
          <w:sz w:val="18"/>
          <w:szCs w:val="18"/>
        </w:rPr>
        <w:t>(X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>)+VaR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0.05</w:t>
      </w:r>
      <w:r>
        <w:rPr>
          <w:rFonts w:ascii="Times New Roman" w:eastAsia="Times New Roman" w:hAnsi="Times New Roman" w:cs="Times New Roman"/>
          <w:sz w:val="18"/>
          <w:szCs w:val="18"/>
        </w:rPr>
        <w:t>(X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>)+VaR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0.05</w:t>
      </w:r>
      <w:r>
        <w:rPr>
          <w:rFonts w:ascii="Times New Roman" w:eastAsia="Times New Roman" w:hAnsi="Times New Roman" w:cs="Times New Roman"/>
          <w:sz w:val="18"/>
          <w:szCs w:val="18"/>
        </w:rPr>
        <w:t>(X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5</w:t>
      </w:r>
      <w:r>
        <w:rPr>
          <w:rFonts w:ascii="Times New Roman" w:eastAsia="Times New Roman" w:hAnsi="Times New Roman" w:cs="Times New Roman"/>
          <w:sz w:val="18"/>
          <w:szCs w:val="18"/>
        </w:rPr>
        <w:t>)=0.029+0.0262+0.0316+0.0247+0.0245=0.136&gt;VaR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0.05</w:t>
      </w:r>
      <w:r>
        <w:rPr>
          <w:rFonts w:ascii="Times New Roman" w:eastAsia="Times New Roman" w:hAnsi="Times New Roman" w:cs="Times New Roman"/>
          <w:sz w:val="18"/>
          <w:szCs w:val="18"/>
        </w:rPr>
        <w:t>=0.0198</w:t>
      </w:r>
    </w:p>
  </w:footnote>
  <w:footnote w:id="3">
    <w:p w14:paraId="21919433" w14:textId="77777777" w:rsidR="001B0CDB" w:rsidRDefault="000851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 full-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allocation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è verificata se: 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K1+K2+…+</w:t>
      </w:r>
      <w:proofErr w:type="spellStart"/>
      <w:r>
        <w:rPr>
          <w:rFonts w:ascii="Cambria Math" w:eastAsia="Cambria Math" w:hAnsi="Cambria Math" w:cs="Cambria Math"/>
          <w:color w:val="000000"/>
          <w:sz w:val="20"/>
          <w:szCs w:val="20"/>
        </w:rPr>
        <w:t>Kn</w:t>
      </w:r>
      <w:proofErr w:type="spellEnd"/>
      <w:r>
        <w:rPr>
          <w:rFonts w:ascii="Cambria Math" w:eastAsia="Cambria Math" w:hAnsi="Cambria Math" w:cs="Cambria Math"/>
          <w:color w:val="000000"/>
          <w:sz w:val="20"/>
          <w:szCs w:val="20"/>
        </w:rPr>
        <w:t>=K.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7F7"/>
    <w:multiLevelType w:val="multilevel"/>
    <w:tmpl w:val="670CC98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E036DA"/>
    <w:multiLevelType w:val="multilevel"/>
    <w:tmpl w:val="314454D2"/>
    <w:lvl w:ilvl="0">
      <w:start w:val="1"/>
      <w:numFmt w:val="bullet"/>
      <w:lvlText w:val="→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0E55B8"/>
    <w:multiLevelType w:val="multilevel"/>
    <w:tmpl w:val="5FFCC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CDB"/>
    <w:rsid w:val="000851F9"/>
    <w:rsid w:val="001B0CDB"/>
    <w:rsid w:val="004E0A13"/>
    <w:rsid w:val="00AA5C46"/>
    <w:rsid w:val="00F27A9E"/>
    <w:rsid w:val="00F9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6037"/>
  <w15:docId w15:val="{EA6CAC7D-FE79-4696-B600-DA572326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rsid w:val="006664C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1E0F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/>
    <w:rsid w:val="0005342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EA3E77"/>
    <w:rPr>
      <w:color w:val="80808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3505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350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3505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49765B"/>
    <w:pPr>
      <w:spacing w:after="200"/>
    </w:pPr>
    <w:rPr>
      <w:i/>
      <w:iCs/>
      <w:color w:val="1F497D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46E2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6E27"/>
  </w:style>
  <w:style w:type="paragraph" w:styleId="Pidipagina">
    <w:name w:val="footer"/>
    <w:basedOn w:val="Normale"/>
    <w:link w:val="PidipaginaCarattere"/>
    <w:uiPriority w:val="99"/>
    <w:unhideWhenUsed/>
    <w:rsid w:val="00346E2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6E27"/>
  </w:style>
  <w:style w:type="table" w:customStyle="1" w:styleId="TableNormal1">
    <w:name w:val="Table Normal1"/>
    <w:rsid w:val="000A7E7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0A7E7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0A7E7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0A7E7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1E0F4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1E0F4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6664C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Foglio1!$E$15</c:f>
              <c:strCache>
                <c:ptCount val="1"/>
                <c:pt idx="0">
                  <c:v>sem 1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strRef>
              <c:f>Foglio1!$F$14:$J$14</c:f>
              <c:strCache>
                <c:ptCount val="5"/>
                <c:pt idx="0">
                  <c:v>GOOGLUS</c:v>
                </c:pt>
                <c:pt idx="1">
                  <c:v>ESUS</c:v>
                </c:pt>
                <c:pt idx="2">
                  <c:v>JPMUS</c:v>
                </c:pt>
                <c:pt idx="3">
                  <c:v>PFEUS</c:v>
                </c:pt>
                <c:pt idx="4">
                  <c:v>MCDUS</c:v>
                </c:pt>
              </c:strCache>
            </c:strRef>
          </c:cat>
          <c:val>
            <c:numRef>
              <c:f>Foglio1!$F$15:$J$15</c:f>
              <c:numCache>
                <c:formatCode>General</c:formatCode>
                <c:ptCount val="5"/>
                <c:pt idx="0">
                  <c:v>222799</c:v>
                </c:pt>
                <c:pt idx="1">
                  <c:v>179820</c:v>
                </c:pt>
                <c:pt idx="2">
                  <c:v>201827</c:v>
                </c:pt>
                <c:pt idx="3">
                  <c:v>272748</c:v>
                </c:pt>
                <c:pt idx="4">
                  <c:v>122804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4C-497F-A918-11540E3D37C4}"/>
            </c:ext>
          </c:extLst>
        </c:ser>
        <c:ser>
          <c:idx val="1"/>
          <c:order val="1"/>
          <c:tx>
            <c:strRef>
              <c:f>Foglio1!$E$16</c:f>
              <c:strCache>
                <c:ptCount val="1"/>
                <c:pt idx="0">
                  <c:v>sem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Foglio1!$F$14:$J$14</c:f>
              <c:strCache>
                <c:ptCount val="5"/>
                <c:pt idx="0">
                  <c:v>GOOGLUS</c:v>
                </c:pt>
                <c:pt idx="1">
                  <c:v>ESUS</c:v>
                </c:pt>
                <c:pt idx="2">
                  <c:v>JPMUS</c:v>
                </c:pt>
                <c:pt idx="3">
                  <c:v>PFEUS</c:v>
                </c:pt>
                <c:pt idx="4">
                  <c:v>MCDUS</c:v>
                </c:pt>
              </c:strCache>
            </c:strRef>
          </c:cat>
          <c:val>
            <c:numRef>
              <c:f>Foglio1!$F$16:$J$16</c:f>
              <c:numCache>
                <c:formatCode>General</c:formatCode>
                <c:ptCount val="5"/>
                <c:pt idx="0">
                  <c:v>227916</c:v>
                </c:pt>
                <c:pt idx="1">
                  <c:v>169291</c:v>
                </c:pt>
                <c:pt idx="2">
                  <c:v>234089</c:v>
                </c:pt>
                <c:pt idx="3">
                  <c:v>219550</c:v>
                </c:pt>
                <c:pt idx="4">
                  <c:v>149151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4C-497F-A918-11540E3D37C4}"/>
            </c:ext>
          </c:extLst>
        </c:ser>
        <c:ser>
          <c:idx val="2"/>
          <c:order val="2"/>
          <c:tx>
            <c:strRef>
              <c:f>Foglio1!$E$17</c:f>
              <c:strCache>
                <c:ptCount val="1"/>
                <c:pt idx="0">
                  <c:v>sem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Foglio1!$F$14:$J$14</c:f>
              <c:strCache>
                <c:ptCount val="5"/>
                <c:pt idx="0">
                  <c:v>GOOGLUS</c:v>
                </c:pt>
                <c:pt idx="1">
                  <c:v>ESUS</c:v>
                </c:pt>
                <c:pt idx="2">
                  <c:v>JPMUS</c:v>
                </c:pt>
                <c:pt idx="3">
                  <c:v>PFEUS</c:v>
                </c:pt>
                <c:pt idx="4">
                  <c:v>MCDUS</c:v>
                </c:pt>
              </c:strCache>
            </c:strRef>
          </c:cat>
          <c:val>
            <c:numRef>
              <c:f>Foglio1!$F$17:$J$17</c:f>
              <c:numCache>
                <c:formatCode>General</c:formatCode>
                <c:ptCount val="5"/>
                <c:pt idx="0">
                  <c:v>171342</c:v>
                </c:pt>
                <c:pt idx="1">
                  <c:v>228124</c:v>
                </c:pt>
                <c:pt idx="2">
                  <c:v>275598</c:v>
                </c:pt>
                <c:pt idx="3">
                  <c:v>156867</c:v>
                </c:pt>
                <c:pt idx="4">
                  <c:v>168066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4C-497F-A918-11540E3D37C4}"/>
            </c:ext>
          </c:extLst>
        </c:ser>
        <c:ser>
          <c:idx val="3"/>
          <c:order val="3"/>
          <c:tx>
            <c:strRef>
              <c:f>Foglio1!$E$18</c:f>
              <c:strCache>
                <c:ptCount val="1"/>
                <c:pt idx="0">
                  <c:v>sem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Foglio1!$F$14:$J$14</c:f>
              <c:strCache>
                <c:ptCount val="5"/>
                <c:pt idx="0">
                  <c:v>GOOGLUS</c:v>
                </c:pt>
                <c:pt idx="1">
                  <c:v>ESUS</c:v>
                </c:pt>
                <c:pt idx="2">
                  <c:v>JPMUS</c:v>
                </c:pt>
                <c:pt idx="3">
                  <c:v>PFEUS</c:v>
                </c:pt>
                <c:pt idx="4">
                  <c:v>MCDUS</c:v>
                </c:pt>
              </c:strCache>
            </c:strRef>
          </c:cat>
          <c:val>
            <c:numRef>
              <c:f>Foglio1!$F$18:$J$18</c:f>
              <c:numCache>
                <c:formatCode>General</c:formatCode>
                <c:ptCount val="5"/>
                <c:pt idx="0">
                  <c:v>240242</c:v>
                </c:pt>
                <c:pt idx="1">
                  <c:v>163781</c:v>
                </c:pt>
                <c:pt idx="2">
                  <c:v>254606</c:v>
                </c:pt>
                <c:pt idx="3">
                  <c:v>175256</c:v>
                </c:pt>
                <c:pt idx="4">
                  <c:v>166113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4C-497F-A918-11540E3D37C4}"/>
            </c:ext>
          </c:extLst>
        </c:ser>
        <c:ser>
          <c:idx val="4"/>
          <c:order val="4"/>
          <c:tx>
            <c:strRef>
              <c:f>Foglio1!$E$19</c:f>
              <c:strCache>
                <c:ptCount val="1"/>
                <c:pt idx="0">
                  <c:v>sem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Foglio1!$F$14:$J$14</c:f>
              <c:strCache>
                <c:ptCount val="5"/>
                <c:pt idx="0">
                  <c:v>GOOGLUS</c:v>
                </c:pt>
                <c:pt idx="1">
                  <c:v>ESUS</c:v>
                </c:pt>
                <c:pt idx="2">
                  <c:v>JPMUS</c:v>
                </c:pt>
                <c:pt idx="3">
                  <c:v>PFEUS</c:v>
                </c:pt>
                <c:pt idx="4">
                  <c:v>MCDUS</c:v>
                </c:pt>
              </c:strCache>
            </c:strRef>
          </c:cat>
          <c:val>
            <c:numRef>
              <c:f>Foglio1!$F$19:$J$19</c:f>
              <c:numCache>
                <c:formatCode>General</c:formatCode>
                <c:ptCount val="5"/>
                <c:pt idx="0">
                  <c:v>283986</c:v>
                </c:pt>
                <c:pt idx="1">
                  <c:v>155210</c:v>
                </c:pt>
                <c:pt idx="2">
                  <c:v>211004</c:v>
                </c:pt>
                <c:pt idx="3">
                  <c:v>168220</c:v>
                </c:pt>
                <c:pt idx="4">
                  <c:v>181577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94C-497F-A918-11540E3D37C4}"/>
            </c:ext>
          </c:extLst>
        </c:ser>
        <c:ser>
          <c:idx val="5"/>
          <c:order val="5"/>
          <c:tx>
            <c:strRef>
              <c:f>Foglio1!$E$20</c:f>
              <c:strCache>
                <c:ptCount val="1"/>
                <c:pt idx="0">
                  <c:v>sem 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Foglio1!$F$14:$J$14</c:f>
              <c:strCache>
                <c:ptCount val="5"/>
                <c:pt idx="0">
                  <c:v>GOOGLUS</c:v>
                </c:pt>
                <c:pt idx="1">
                  <c:v>ESUS</c:v>
                </c:pt>
                <c:pt idx="2">
                  <c:v>JPMUS</c:v>
                </c:pt>
                <c:pt idx="3">
                  <c:v>PFEUS</c:v>
                </c:pt>
                <c:pt idx="4">
                  <c:v>MCDUS</c:v>
                </c:pt>
              </c:strCache>
            </c:strRef>
          </c:cat>
          <c:val>
            <c:numRef>
              <c:f>Foglio1!$F$20:$J$20</c:f>
              <c:numCache>
                <c:formatCode>General</c:formatCode>
                <c:ptCount val="5"/>
                <c:pt idx="0">
                  <c:v>252449</c:v>
                </c:pt>
                <c:pt idx="1">
                  <c:v>141340</c:v>
                </c:pt>
                <c:pt idx="2">
                  <c:v>235048</c:v>
                </c:pt>
                <c:pt idx="3">
                  <c:v>176480</c:v>
                </c:pt>
                <c:pt idx="4">
                  <c:v>194679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94C-497F-A918-11540E3D37C4}"/>
            </c:ext>
          </c:extLst>
        </c:ser>
        <c:ser>
          <c:idx val="6"/>
          <c:order val="6"/>
          <c:tx>
            <c:v>5 years</c:v>
          </c:tx>
          <c:spPr>
            <a:ln w="38100" cap="rnd">
              <a:solidFill>
                <a:sysClr val="windowText" lastClr="00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Foglio1!$E$24:$I$24</c:f>
              <c:numCache>
                <c:formatCode>General</c:formatCode>
                <c:ptCount val="5"/>
                <c:pt idx="0">
                  <c:v>213446</c:v>
                </c:pt>
                <c:pt idx="1">
                  <c:v>192497</c:v>
                </c:pt>
                <c:pt idx="2">
                  <c:v>232217</c:v>
                </c:pt>
                <c:pt idx="3">
                  <c:v>181698</c:v>
                </c:pt>
                <c:pt idx="4">
                  <c:v>180142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94C-497F-A918-11540E3D37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586192"/>
        <c:axId val="637589392"/>
      </c:lineChart>
      <c:catAx>
        <c:axId val="63758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7589392"/>
        <c:crosses val="autoZero"/>
        <c:auto val="1"/>
        <c:lblAlgn val="ctr"/>
        <c:lblOffset val="100"/>
        <c:noMultiLvlLbl val="0"/>
      </c:catAx>
      <c:valAx>
        <c:axId val="637589392"/>
        <c:scaling>
          <c:orientation val="minMax"/>
          <c:min val="1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758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5CrQ+Pr3EVD89oQa9TIFP6sKJg==">AMUW2mX69s8kO9q9cqzvwgw2KKqMDkNSvjODK8Ivsb7P6gCcpBTmHORsyvB8i18Rw8mzNY87Fw1X4zGyTFfJHSvqTiKvwt/zyxVmAKKxchAvBwFyAz9rFR7AFNP1URpEmPJeaByW7UNO5HMJvqATv+eEQPYJqWQwbLqK8/Mq6WRcWphZYd+/sAG0cOme8RU+BX5ZCT837ZjwaKzGG3w+prUotRHqLKr5RyDF4U9ao8MKub6OJ0Ow5UyGyfTPVuUAr1LtmlfxhIw2XRmV3/2taKg219JDQxmKZqg7l+1CCtyFUOVuSKTjnvYpB35IkykHbNzGftz+Rm7bjYBlsJDPldVpYqRisyU6A/VLUttx9hKLl/rP95sw68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2734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r.scarmana@campus.unimib.it</dc:creator>
  <cp:lastModifiedBy>m.cortinovis12@campus.unimib.it</cp:lastModifiedBy>
  <cp:revision>4</cp:revision>
  <dcterms:created xsi:type="dcterms:W3CDTF">2021-12-31T11:01:00Z</dcterms:created>
  <dcterms:modified xsi:type="dcterms:W3CDTF">2022-01-04T17:07:00Z</dcterms:modified>
</cp:coreProperties>
</file>