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Pipeline Documentation</w:t>
      </w:r>
    </w:p>
    <w:p>
      <w:pPr>
        <w:pStyle w:val="Heading2"/>
      </w:pPr>
      <w:r>
        <w:t>Overview</w:t>
      </w:r>
    </w:p>
    <w:p>
      <w:r>
        <w:t>This document describes the machine learning pipeline architecture used for model training, evaluation, and deployment. The pipeline follows a modular design pattern that separates data ingestion, feature engineering, model training, and serving into independent components.</w:t>
      </w:r>
    </w:p>
    <w:p>
      <w:pPr>
        <w:pStyle w:val="Heading2"/>
      </w:pPr>
      <w:r>
        <w:t>Data Ingestion Layer</w:t>
      </w:r>
    </w:p>
    <w:p>
      <w:r>
        <w:t>The data ingestion layer is responsible for reading raw data from various sources including PostgreSQL databases, Apache Kafka streams, and S3-compatible object storage. Data is validated against schema definitions before being passed to the feature engineering layer.</w:t>
      </w:r>
    </w:p>
    <w:p>
      <w:pPr>
        <w:pStyle w:val="Heading2"/>
      </w:pPr>
      <w:r>
        <w:t>Feature Engineering</w:t>
      </w:r>
    </w:p>
    <w:p>
      <w:r>
        <w:t>Feature engineering transforms raw data into model-ready features through:</w:t>
      </w:r>
    </w:p>
    <w:p>
      <w:pPr>
        <w:pStyle w:val="ListBullet"/>
      </w:pPr>
      <w:r>
        <w:t>Numerical scaling using StandardScaler or MinMaxScaler</w:t>
      </w:r>
    </w:p>
    <w:p>
      <w:pPr>
        <w:pStyle w:val="ListBullet"/>
      </w:pPr>
      <w:r>
        <w:t>Categorical encoding via OneHotEncoder or TargetEncoder</w:t>
      </w:r>
    </w:p>
    <w:p>
      <w:pPr>
        <w:pStyle w:val="ListBullet"/>
      </w:pPr>
      <w:r>
        <w:t>Text vectorization using TF-IDF or sentence embeddings</w:t>
      </w:r>
    </w:p>
    <w:p>
      <w:pPr>
        <w:pStyle w:val="ListBullet"/>
      </w:pPr>
      <w:r>
        <w:t>Time-based feature extraction (day-of-week, month, quarter)</w:t>
      </w:r>
    </w:p>
    <w:p>
      <w:pPr>
        <w:pStyle w:val="ListBullet"/>
      </w:pPr>
      <w:r>
        <w:t>Missing value imputation using median or model-based approaches</w:t>
      </w:r>
    </w:p>
    <w:p>
      <w:pPr>
        <w:pStyle w:val="Heading2"/>
      </w:pPr>
      <w:r>
        <w:t>Model Training</w:t>
      </w:r>
    </w:p>
    <w:p>
      <w:r>
        <w:t>The training module supports multiple model types organized by task:</w:t>
        <w:br/>
        <w:br/>
        <w:t>Classification: RandomForest, XGBoost, LightGBM, LogisticRegression</w:t>
        <w:br/>
        <w:t>Regression: LinearRegression, GradientBoosting, NeuralNetwork</w:t>
        <w:br/>
        <w:t>Clustering: KMeans, DBSCAN, HierarchicalClustering</w:t>
        <w:br/>
        <w:br/>
        <w:t>All models implement a common interface with fit(), predict(), and evaluate() methods. Hyperparameter optimization is performed using Optuna with Bayesian sampling.</w:t>
      </w:r>
    </w:p>
    <w:p>
      <w:pPr>
        <w:pStyle w:val="Heading2"/>
      </w:pPr>
      <w:r>
        <w:t>Deployment Strategy</w:t>
      </w:r>
    </w:p>
    <w:p>
      <w:r>
        <w:t>Models are deployed as Docker containers behind a REST API. Each model version is tagged with a semantic version (e.g., v1.2.3) and stored in a model registry. The serving layer supports A/B testing by routing a configurable percentage of traffic to different model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