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Il sistema bibliotecario ha una raccolta di biblioteche, ognuna delle quali ha una raccolta di libri </w:t>
      </w:r>
      <w:r>
        <w:rPr/>
        <w:t>e dipendenti con un numero di matricola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1423"/>
        <w:gridCol w:w="2046"/>
        <w:gridCol w:w="5789"/>
      </w:tblGrid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3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LibreOffice/7.4.3.2$Windows_X86_64 LibreOffice_project/1048a8393ae2eeec98dff31b5c133c5f1d08b890</Application>
  <AppVersion>15.0000</AppVersion>
  <Pages>1</Pages>
  <Words>249</Words>
  <Characters>1365</Characters>
  <CharactersWithSpaces>1555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2023-01-05T16:38:27Z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