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C002F" w14:paraId="02592660" w14:textId="77777777" w:rsidTr="00DF1020">
        <w:trPr>
          <w:trHeight w:val="2247"/>
        </w:trPr>
        <w:tc>
          <w:tcPr>
            <w:tcW w:w="9072" w:type="dxa"/>
            <w:shd w:val="clear" w:color="auto" w:fill="0D1B2A"/>
            <w:tcMar>
              <w:top w:w="400" w:type="dxa"/>
              <w:left w:w="400" w:type="dxa"/>
              <w:bottom w:w="400" w:type="dxa"/>
              <w:right w:w="400" w:type="dxa"/>
            </w:tcMar>
          </w:tcPr>
          <w:p w14:paraId="1E4120BC" w14:textId="77777777" w:rsidR="00CC253E" w:rsidRPr="005B0FA3" w:rsidRDefault="00CC253E" w:rsidP="00623C1B">
            <w:pPr>
              <w:spacing w:before="100" w:beforeAutospacing="1" w:after="100" w:afterAutospacing="1"/>
              <w:jc w:val="center"/>
              <w:rPr>
                <w:rFonts w:cs="Arial"/>
              </w:rPr>
            </w:pPr>
            <w:r w:rsidRPr="005B0FA3">
              <w:rPr>
                <w:rFonts w:cs="Arial"/>
                <w:b/>
                <w:bCs/>
                <w:color w:val="FFFFFF"/>
                <w:sz w:val="52"/>
                <w:szCs w:val="52"/>
              </w:rPr>
              <w:t xml:space="preserve">FUSIONCORE </w:t>
            </w:r>
            <m:oMath>
              <m:sSub>
                <m:sSubPr>
                  <m:ctrlPr>
                    <w:rPr>
                      <w:rFonts w:ascii="Cambria Math" w:hAnsi="Cambria Math" w:cs="Arial"/>
                      <w:b/>
                      <w:bCs/>
                      <w:i/>
                      <w:color w:val="FFFFFF"/>
                      <w:sz w:val="52"/>
                      <w:szCs w:val="52"/>
                    </w:rPr>
                  </m:ctrlPr>
                </m:sSubPr>
                <m:e>
                  <m:r>
                    <m:rPr>
                      <m:sty m:val="bi"/>
                    </m:rPr>
                    <w:rPr>
                      <w:rFonts w:ascii="Cambria Math" w:hAnsi="Cambria Math" w:cs="Arial"/>
                      <w:color w:val="FFFFFF"/>
                      <w:sz w:val="52"/>
                      <w:szCs w:val="52"/>
                    </w:rPr>
                    <m:t>v</m:t>
                  </m:r>
                </m:e>
                <m:sub>
                  <m:r>
                    <m:rPr>
                      <m:sty m:val="bi"/>
                    </m:rPr>
                    <w:rPr>
                      <w:rFonts w:ascii="Cambria Math" w:hAnsi="Cambria Math" w:cs="Arial"/>
                      <w:color w:val="FFFFFF"/>
                      <w:sz w:val="52"/>
                      <w:szCs w:val="52"/>
                    </w:rPr>
                    <m:t>0</m:t>
                  </m:r>
                </m:sub>
              </m:sSub>
            </m:oMath>
          </w:p>
          <w:p w14:paraId="439193EE" w14:textId="7F6203C0" w:rsidR="00CC253E" w:rsidRPr="005B0FA3" w:rsidRDefault="00CC253E" w:rsidP="00623C1B">
            <w:pPr>
              <w:spacing w:before="100" w:beforeAutospacing="1" w:after="100" w:afterAutospacing="1"/>
              <w:jc w:val="center"/>
              <w:rPr>
                <w:rFonts w:cs="Arial"/>
              </w:rPr>
            </w:pPr>
            <w:r w:rsidRPr="005B0FA3">
              <w:rPr>
                <w:rFonts w:cs="Arial"/>
                <w:color w:val="D0D8E0"/>
                <w:sz w:val="28"/>
                <w:szCs w:val="28"/>
              </w:rPr>
              <w:t>Phase 3 — Physics-Aware Feature Engineering</w:t>
            </w:r>
          </w:p>
          <w:p w14:paraId="42E4DDD0" w14:textId="49151668" w:rsidR="00CC253E" w:rsidRPr="005B0FA3" w:rsidRDefault="00CC253E" w:rsidP="00623C1B">
            <w:pPr>
              <w:spacing w:before="100" w:beforeAutospacing="1" w:after="100" w:afterAutospacing="1"/>
              <w:jc w:val="center"/>
              <w:rPr>
                <w:rFonts w:cs="Arial"/>
              </w:rPr>
            </w:pPr>
            <w:r w:rsidRPr="005B0FA3">
              <w:rPr>
                <w:rFonts w:cs="Arial"/>
                <w:i/>
                <w:iCs/>
                <w:color w:val="A0B0C0"/>
                <w:sz w:val="22"/>
                <w:szCs w:val="22"/>
              </w:rPr>
              <w:t>Notebook 03 | Technical Deep-Dive Analysis</w:t>
            </w:r>
          </w:p>
          <w:p w14:paraId="3C1A0A28" w14:textId="611E51EC" w:rsidR="00A807E4" w:rsidRPr="005B0FA3" w:rsidRDefault="00CC253E" w:rsidP="00623C1B">
            <w:pPr>
              <w:spacing w:before="100" w:beforeAutospacing="1" w:after="100" w:afterAutospacing="1"/>
              <w:jc w:val="center"/>
              <w:rPr>
                <w:rFonts w:cs="Arial"/>
              </w:rPr>
            </w:pPr>
            <w:r w:rsidRPr="005B0FA3">
              <w:rPr>
                <w:rFonts w:cs="Arial"/>
                <w:b/>
                <w:bCs/>
                <w:color w:val="D96A1B"/>
              </w:rPr>
              <w:t>Author: Michele E. J. Maestrini</w:t>
            </w:r>
          </w:p>
        </w:tc>
      </w:tr>
    </w:tbl>
    <w:p w14:paraId="2753FC52" w14:textId="689364EF" w:rsidR="00CC253E" w:rsidRPr="005B0FA3" w:rsidRDefault="00CC253E" w:rsidP="00623C1B">
      <w:pPr>
        <w:pStyle w:val="Heading1"/>
        <w:spacing w:before="100" w:beforeAutospacing="1" w:after="100" w:afterAutospacing="1"/>
      </w:pPr>
      <w:r w:rsidRPr="005B0FA3">
        <w:t>1. Abstract</w:t>
      </w:r>
    </w:p>
    <w:p w14:paraId="75ADB205" w14:textId="4842FF66" w:rsidR="00CC253E" w:rsidRPr="005B0FA3" w:rsidRDefault="00306256" w:rsidP="00672B2D">
      <w:pPr>
        <w:spacing w:before="100" w:beforeAutospacing="1" w:after="100" w:afterAutospacing="1"/>
        <w:jc w:val="both"/>
        <w:rPr>
          <w:rFonts w:cs="Arial"/>
          <w:b/>
          <w:bCs/>
          <w:szCs w:val="20"/>
        </w:rPr>
      </w:pPr>
      <w:r w:rsidRPr="005B0FA3">
        <w:rPr>
          <w:rFonts w:cs="Arial"/>
          <w:noProof/>
          <w:szCs w:val="20"/>
        </w:rPr>
        <w:drawing>
          <wp:anchor distT="0" distB="0" distL="114300" distR="114300" simplePos="0" relativeHeight="251659264" behindDoc="0" locked="0" layoutInCell="1" allowOverlap="1" wp14:anchorId="5E40C92D" wp14:editId="42DF8E9F">
            <wp:simplePos x="0" y="0"/>
            <wp:positionH relativeFrom="column">
              <wp:posOffset>0</wp:posOffset>
            </wp:positionH>
            <wp:positionV relativeFrom="paragraph">
              <wp:posOffset>16087</wp:posOffset>
            </wp:positionV>
            <wp:extent cx="3213100" cy="1752600"/>
            <wp:effectExtent l="0" t="0" r="0" b="0"/>
            <wp:wrapSquare wrapText="bothSides"/>
            <wp:docPr id="922326991" name="Picture 11" descr="A circular object with graphic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6991" name="Picture 11" descr="A circular object with graphic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3100" cy="1752600"/>
                    </a:xfrm>
                    <a:prstGeom prst="rect">
                      <a:avLst/>
                    </a:prstGeom>
                  </pic:spPr>
                </pic:pic>
              </a:graphicData>
            </a:graphic>
            <wp14:sizeRelH relativeFrom="page">
              <wp14:pctWidth>0</wp14:pctWidth>
            </wp14:sizeRelH>
            <wp14:sizeRelV relativeFrom="page">
              <wp14:pctHeight>0</wp14:pctHeight>
            </wp14:sizeRelV>
          </wp:anchor>
        </w:drawing>
      </w:r>
      <w:r w:rsidR="00CC253E" w:rsidRPr="005B0FA3">
        <w:rPr>
          <w:rFonts w:cs="Arial"/>
          <w:szCs w:val="20"/>
        </w:rPr>
        <w:t xml:space="preserve">This report presents a rigorous technical analysis of the physics-aware feature engineering pipeline implemented in FusionCore </w:t>
      </w:r>
      <m:oMath>
        <m:sSub>
          <m:sSubPr>
            <m:ctrlPr>
              <w:rPr>
                <w:rFonts w:ascii="Cambria Math" w:hAnsi="Cambria Math" w:cs="Arial"/>
                <w:b/>
                <w:bCs/>
                <w:i/>
                <w:szCs w:val="20"/>
              </w:rPr>
            </m:ctrlPr>
          </m:sSubPr>
          <m:e>
            <m:r>
              <m:rPr>
                <m:sty m:val="bi"/>
              </m:rPr>
              <w:rPr>
                <w:rFonts w:ascii="Cambria Math" w:hAnsi="Cambria Math" w:cs="Arial"/>
                <w:szCs w:val="20"/>
              </w:rPr>
              <m:t>v</m:t>
            </m:r>
          </m:e>
          <m:sub>
            <m:r>
              <m:rPr>
                <m:sty m:val="bi"/>
              </m:rPr>
              <w:rPr>
                <w:rFonts w:ascii="Cambria Math" w:hAnsi="Cambria Math" w:cs="Arial"/>
                <w:szCs w:val="20"/>
              </w:rPr>
              <m:t>0</m:t>
            </m:r>
          </m:sub>
        </m:sSub>
      </m:oMath>
      <w:r w:rsidR="00CC253E" w:rsidRPr="005B0FA3">
        <w:rPr>
          <w:rFonts w:cs="Arial"/>
          <w:szCs w:val="20"/>
        </w:rPr>
        <w:t>, Phase 3 (Notebook 03). The pipeline operates on the unified, regime-normalised dataset FD00u produced by Phase 2, comprising 129,331 training rows and 31,028 validation rows across 709 distinct turbofan engine trajectories drawn from the NASA C-MAPSS FD001–FD004 corpus (Saxena &amp; Goebel, 2008)</w:t>
      </w:r>
      <w:sdt>
        <w:sdtPr>
          <w:rPr>
            <w:rFonts w:cs="Arial"/>
            <w:b/>
            <w:bCs/>
            <w:szCs w:val="20"/>
          </w:rPr>
          <w:id w:val="-538905750"/>
          <w:citation/>
        </w:sdtPr>
        <w:sdtContent>
          <w:r w:rsidR="000039DA" w:rsidRPr="005B0FA3">
            <w:rPr>
              <w:rFonts w:cs="Arial"/>
              <w:b/>
              <w:bCs/>
              <w:szCs w:val="20"/>
            </w:rPr>
            <w:fldChar w:fldCharType="begin"/>
          </w:r>
          <w:r w:rsidR="000039DA" w:rsidRPr="005B0FA3">
            <w:rPr>
              <w:rFonts w:cs="Arial"/>
              <w:b/>
              <w:bCs/>
              <w:szCs w:val="20"/>
            </w:rPr>
            <w:instrText xml:space="preserve"> CITATION Ack11 \l 2057 </w:instrText>
          </w:r>
          <w:r w:rsidR="000039DA" w:rsidRPr="005B0FA3">
            <w:rPr>
              <w:rFonts w:cs="Arial"/>
              <w:b/>
              <w:bCs/>
              <w:szCs w:val="20"/>
            </w:rPr>
            <w:fldChar w:fldCharType="separate"/>
          </w:r>
          <w:r w:rsidR="0074017E">
            <w:rPr>
              <w:rFonts w:cs="Arial"/>
              <w:b/>
              <w:bCs/>
              <w:noProof/>
              <w:szCs w:val="20"/>
            </w:rPr>
            <w:t xml:space="preserve"> </w:t>
          </w:r>
          <w:r w:rsidR="0074017E" w:rsidRPr="0074017E">
            <w:rPr>
              <w:rFonts w:cs="Arial"/>
              <w:noProof/>
              <w:szCs w:val="20"/>
            </w:rPr>
            <w:t>[1]</w:t>
          </w:r>
          <w:r w:rsidR="000039DA" w:rsidRPr="005B0FA3">
            <w:rPr>
              <w:rFonts w:cs="Arial"/>
              <w:b/>
              <w:bCs/>
              <w:szCs w:val="20"/>
            </w:rPr>
            <w:fldChar w:fldCharType="end"/>
          </w:r>
        </w:sdtContent>
      </w:sdt>
      <w:r w:rsidR="00CC253E" w:rsidRPr="005B0FA3">
        <w:rPr>
          <w:rFonts w:cs="Arial"/>
          <w:szCs w:val="20"/>
        </w:rPr>
        <w:t xml:space="preserve">. Two principal engineering mandates are addressed: the systematic resolution of </w:t>
      </w:r>
      <w:r w:rsidR="0094653A">
        <w:rPr>
          <w:rFonts w:cs="Arial"/>
          <w:szCs w:val="20"/>
        </w:rPr>
        <w:t>thirteen</w:t>
      </w:r>
      <w:r w:rsidR="00CC253E" w:rsidRPr="005B0FA3">
        <w:rPr>
          <w:rFonts w:cs="Arial"/>
          <w:szCs w:val="20"/>
        </w:rPr>
        <w:t xml:space="preserve"> outstanding gaps carried forward from Phase 1 and Phase 2 technical reports, and the construction of a 91-feature physics-informed dynamic feature vector for downstream RUL estimation.</w:t>
      </w:r>
    </w:p>
    <w:p w14:paraId="7569ED76" w14:textId="35D2453A" w:rsidR="003A1C08" w:rsidRPr="005B0FA3" w:rsidRDefault="00832297" w:rsidP="00672B2D">
      <w:pPr>
        <w:spacing w:before="100" w:beforeAutospacing="1" w:after="100" w:afterAutospacing="1"/>
        <w:jc w:val="both"/>
        <w:rPr>
          <w:rFonts w:cs="Arial"/>
          <w:szCs w:val="20"/>
        </w:rPr>
      </w:pPr>
      <w:r w:rsidRPr="005B0FA3">
        <w:rPr>
          <w:rFonts w:cs="Arial"/>
          <w:szCs w:val="20"/>
        </w:rPr>
        <w:t xml:space="preserve">Phase 3 operates two distinct verification frameworks which must not be conflated. The first is the Gap Resolution Audit (Part A), which addresses the </w:t>
      </w:r>
      <w:r w:rsidR="00522906">
        <w:rPr>
          <w:rFonts w:cs="Arial"/>
          <w:szCs w:val="20"/>
        </w:rPr>
        <w:t>thirteen</w:t>
      </w:r>
      <w:r w:rsidRPr="005B0FA3">
        <w:rPr>
          <w:rFonts w:cs="Arial"/>
          <w:szCs w:val="20"/>
        </w:rPr>
        <w:t xml:space="preserve"> outstanding engineering gaps inherited from Phases 1 and 2. Seven gaps carry MANDATORY status and are each closed via inline programmatic assertions embedded within their respective execution cells: </w:t>
      </w:r>
    </w:p>
    <w:p w14:paraId="3FC39C68"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G1 (composite key uniqueness), </w:t>
      </w:r>
    </w:p>
    <w:p w14:paraId="08E5D4C5"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G2 (temporal ordering), </w:t>
      </w:r>
    </w:p>
    <w:p w14:paraId="12ECAB04"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G5 (regime_id one-hot encoding), </w:t>
      </w:r>
    </w:p>
    <w:p w14:paraId="16B6F499"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G6 (s7 cross-fault-mode scale differential), </w:t>
      </w:r>
    </w:p>
    <w:p w14:paraId="348DA3AD"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G7 (mechanically linked sensor pairs s8/s13 and s9/s14), </w:t>
      </w:r>
    </w:p>
    <w:p w14:paraId="27058A76"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G8 (extreme z-score excursion disposition), and </w:t>
      </w:r>
    </w:p>
    <w:p w14:paraId="2C23C504" w14:textId="77777777" w:rsidR="003A1C08" w:rsidRPr="005643E7" w:rsidRDefault="00832297" w:rsidP="005643E7">
      <w:pPr>
        <w:pStyle w:val="ListParagraph"/>
        <w:numPr>
          <w:ilvl w:val="0"/>
          <w:numId w:val="14"/>
        </w:numPr>
        <w:spacing w:before="100" w:beforeAutospacing="1" w:after="100" w:afterAutospacing="1"/>
        <w:jc w:val="both"/>
      </w:pPr>
      <w:r w:rsidRPr="005643E7">
        <w:t xml:space="preserve">G10 (multivariate health index). </w:t>
      </w:r>
    </w:p>
    <w:p w14:paraId="4F016CA5" w14:textId="548CE5F1" w:rsidR="003A1C08" w:rsidRPr="005B0FA3" w:rsidRDefault="00832297" w:rsidP="00672B2D">
      <w:pPr>
        <w:spacing w:before="100" w:beforeAutospacing="1" w:after="100" w:afterAutospacing="1"/>
        <w:jc w:val="both"/>
        <w:rPr>
          <w:rFonts w:cs="Arial"/>
          <w:szCs w:val="20"/>
        </w:rPr>
      </w:pPr>
      <w:r w:rsidRPr="005B0FA3">
        <w:rPr>
          <w:rFonts w:cs="Arial"/>
          <w:szCs w:val="20"/>
        </w:rPr>
        <w:t xml:space="preserve">The </w:t>
      </w:r>
      <w:r w:rsidR="00522906">
        <w:rPr>
          <w:rFonts w:cs="Arial"/>
          <w:szCs w:val="20"/>
        </w:rPr>
        <w:t>six</w:t>
      </w:r>
      <w:r w:rsidRPr="005B0FA3">
        <w:rPr>
          <w:rFonts w:cs="Arial"/>
          <w:szCs w:val="20"/>
        </w:rPr>
        <w:t xml:space="preserve"> remaining gaps carry DIAGNOSTIC status and are documented with quantitative diagnostics and formally deferred: </w:t>
      </w:r>
    </w:p>
    <w:p w14:paraId="36D5C24D" w14:textId="2B2004E3" w:rsidR="003A1C08" w:rsidRPr="005643E7" w:rsidRDefault="00832297" w:rsidP="005643E7">
      <w:pPr>
        <w:pStyle w:val="ListParagraph"/>
        <w:numPr>
          <w:ilvl w:val="0"/>
          <w:numId w:val="13"/>
        </w:numPr>
        <w:spacing w:before="100" w:beforeAutospacing="1" w:after="100" w:afterAutospacing="1"/>
        <w:jc w:val="both"/>
      </w:pPr>
      <w:r w:rsidRPr="005643E7">
        <w:t>G3 (dataset class imbalance) to Phase 4</w:t>
      </w:r>
      <w:r w:rsidR="003A1C08" w:rsidRPr="005643E7">
        <w:t>,</w:t>
      </w:r>
      <w:r w:rsidRPr="005643E7">
        <w:t xml:space="preserve"> </w:t>
      </w:r>
    </w:p>
    <w:p w14:paraId="4F711DBD" w14:textId="3E12CB54" w:rsidR="003A1C08" w:rsidRPr="005643E7" w:rsidRDefault="00832297" w:rsidP="005643E7">
      <w:pPr>
        <w:pStyle w:val="ListParagraph"/>
        <w:numPr>
          <w:ilvl w:val="0"/>
          <w:numId w:val="13"/>
        </w:numPr>
        <w:spacing w:before="100" w:beforeAutospacing="1" w:after="100" w:afterAutospacing="1"/>
        <w:jc w:val="both"/>
      </w:pPr>
      <w:r w:rsidRPr="005643E7">
        <w:t xml:space="preserve">G4 (regime row imbalance) to Phase </w:t>
      </w:r>
      <w:r w:rsidR="00A42DEE" w:rsidRPr="005643E7">
        <w:t>4</w:t>
      </w:r>
      <w:r w:rsidR="003A1C08" w:rsidRPr="005643E7">
        <w:t>,</w:t>
      </w:r>
    </w:p>
    <w:p w14:paraId="3DCBCA39" w14:textId="0F201C5B" w:rsidR="003A1C08" w:rsidRPr="005643E7" w:rsidRDefault="00832297" w:rsidP="005643E7">
      <w:pPr>
        <w:pStyle w:val="ListParagraph"/>
        <w:numPr>
          <w:ilvl w:val="0"/>
          <w:numId w:val="13"/>
        </w:numPr>
        <w:spacing w:before="100" w:beforeAutospacing="1" w:after="100" w:afterAutospacing="1"/>
        <w:jc w:val="both"/>
      </w:pPr>
      <w:r w:rsidRPr="005643E7">
        <w:t>G9 (s16 partial-dead status) retained with ablation deferred</w:t>
      </w:r>
      <w:r w:rsidR="005643E7">
        <w:t>,</w:t>
      </w:r>
    </w:p>
    <w:p w14:paraId="11655B15" w14:textId="6DC84834" w:rsidR="005643E7" w:rsidRDefault="00832297" w:rsidP="005643E7">
      <w:pPr>
        <w:pStyle w:val="ListParagraph"/>
        <w:numPr>
          <w:ilvl w:val="0"/>
          <w:numId w:val="13"/>
        </w:numPr>
        <w:spacing w:before="100" w:beforeAutospacing="1" w:after="100" w:afterAutospacing="1"/>
        <w:jc w:val="both"/>
      </w:pPr>
      <w:r w:rsidRPr="005643E7">
        <w:t xml:space="preserve">G11 (regime out-of-distribution guard) to FusionCore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5643E7">
        <w:t xml:space="preserve"> deployment</w:t>
      </w:r>
      <w:r w:rsidR="005643E7">
        <w:t>,</w:t>
      </w:r>
    </w:p>
    <w:p w14:paraId="74D06D8F" w14:textId="77777777" w:rsidR="005643E7" w:rsidRDefault="005643E7" w:rsidP="005643E7">
      <w:pPr>
        <w:pStyle w:val="ListParagraph"/>
        <w:numPr>
          <w:ilvl w:val="0"/>
          <w:numId w:val="13"/>
        </w:numPr>
        <w:spacing w:before="100" w:beforeAutospacing="1" w:after="100" w:afterAutospacing="1"/>
        <w:jc w:val="both"/>
      </w:pPr>
      <w:r w:rsidRPr="005643E7">
        <w:t xml:space="preserve">G12 (survival analysis framework) — Kaplan-Meier and Cox Proportional Hazards diagnostic completed; integration into scheduling decision layer deferred to Phase 5, and </w:t>
      </w:r>
    </w:p>
    <w:p w14:paraId="0D53D728" w14:textId="2E36510F" w:rsidR="005643E7" w:rsidRPr="005643E7" w:rsidRDefault="005643E7" w:rsidP="005643E7">
      <w:pPr>
        <w:pStyle w:val="ListParagraph"/>
        <w:numPr>
          <w:ilvl w:val="0"/>
          <w:numId w:val="13"/>
        </w:numPr>
        <w:spacing w:before="100" w:beforeAutospacing="1" w:after="100" w:afterAutospacing="1"/>
        <w:jc w:val="both"/>
      </w:pPr>
      <w:r w:rsidRPr="005643E7">
        <w:t>G13 (per-fault-mode-family UWL recalibration) — family-specific P-F interval distributions quantified and adaptive thresholds calibrated; operational deployment deferred to Phase 5.</w:t>
      </w:r>
    </w:p>
    <w:p w14:paraId="483EC57A" w14:textId="77777777" w:rsidR="003A1C08" w:rsidRPr="005B0FA3" w:rsidRDefault="00832297" w:rsidP="00672B2D">
      <w:pPr>
        <w:spacing w:before="100" w:beforeAutospacing="1" w:after="100" w:afterAutospacing="1"/>
        <w:jc w:val="both"/>
        <w:rPr>
          <w:rFonts w:cs="Arial"/>
          <w:szCs w:val="20"/>
        </w:rPr>
      </w:pPr>
      <w:r w:rsidRPr="005B0FA3">
        <w:rPr>
          <w:rFonts w:cs="Arial"/>
          <w:szCs w:val="20"/>
        </w:rPr>
        <w:lastRenderedPageBreak/>
        <w:t>The second framework is the Feature Engineering Gate Verification (Part B), which independently confirms the integrity of the output feature matrix via six programmatic acceptance gates applied after all engineering steps are complete</w:t>
      </w:r>
      <w:r w:rsidR="003A1C08" w:rsidRPr="005B0FA3">
        <w:rPr>
          <w:rFonts w:cs="Arial"/>
          <w:szCs w:val="20"/>
        </w:rPr>
        <w:t>:</w:t>
      </w:r>
    </w:p>
    <w:p w14:paraId="1F855396" w14:textId="77777777" w:rsidR="003A1C08" w:rsidRPr="005B0FA3" w:rsidRDefault="00832297" w:rsidP="00672B2D">
      <w:pPr>
        <w:pStyle w:val="ListParagraph"/>
        <w:numPr>
          <w:ilvl w:val="0"/>
          <w:numId w:val="5"/>
        </w:numPr>
        <w:spacing w:before="100" w:beforeAutospacing="1" w:after="100" w:afterAutospacing="1"/>
        <w:jc w:val="both"/>
        <w:rPr>
          <w:rFonts w:eastAsia="Times New Roman"/>
          <w:color w:val="auto"/>
        </w:rPr>
      </w:pPr>
      <w:r w:rsidRPr="005B0FA3">
        <w:rPr>
          <w:rFonts w:eastAsia="Times New Roman"/>
          <w:color w:val="auto"/>
        </w:rPr>
        <w:t>Gate 1 confirms active sensor count at 17, consistent with Phase 2 regime-dead classification (s1, s5, s18, s19 confirmed dead)</w:t>
      </w:r>
      <w:r w:rsidR="003A1C08" w:rsidRPr="005B0FA3">
        <w:rPr>
          <w:rFonts w:eastAsia="Times New Roman"/>
          <w:color w:val="auto"/>
        </w:rPr>
        <w:t>,</w:t>
      </w:r>
    </w:p>
    <w:p w14:paraId="6F0304FA" w14:textId="77777777" w:rsidR="003A1C08" w:rsidRPr="005B0FA3" w:rsidRDefault="00832297" w:rsidP="00672B2D">
      <w:pPr>
        <w:pStyle w:val="ListParagraph"/>
        <w:numPr>
          <w:ilvl w:val="0"/>
          <w:numId w:val="5"/>
        </w:numPr>
        <w:spacing w:before="100" w:beforeAutospacing="1" w:after="100" w:afterAutospacing="1"/>
        <w:jc w:val="both"/>
        <w:rPr>
          <w:rFonts w:eastAsia="Times New Roman"/>
          <w:color w:val="auto"/>
        </w:rPr>
      </w:pPr>
      <w:r w:rsidRPr="005B0FA3">
        <w:rPr>
          <w:rFonts w:eastAsia="Times New Roman"/>
          <w:color w:val="auto"/>
        </w:rPr>
        <w:t>Gate 2 confirms total feature count at 91, exceeding the formula minimum of 81</w:t>
      </w:r>
      <w:r w:rsidR="003A1C08" w:rsidRPr="005B0FA3">
        <w:rPr>
          <w:rFonts w:eastAsia="Times New Roman"/>
          <w:color w:val="auto"/>
        </w:rPr>
        <w:t>,</w:t>
      </w:r>
    </w:p>
    <w:p w14:paraId="1F4D5ACA" w14:textId="21C013C6" w:rsidR="003A1C08" w:rsidRPr="005B0FA3" w:rsidRDefault="00832297" w:rsidP="00672B2D">
      <w:pPr>
        <w:pStyle w:val="ListParagraph"/>
        <w:numPr>
          <w:ilvl w:val="0"/>
          <w:numId w:val="5"/>
        </w:numPr>
        <w:spacing w:before="100" w:beforeAutospacing="1" w:after="100" w:afterAutospacing="1"/>
        <w:jc w:val="both"/>
        <w:rPr>
          <w:rFonts w:eastAsia="Times New Roman"/>
          <w:color w:val="auto"/>
        </w:rPr>
      </w:pPr>
      <w:r w:rsidRPr="005B0FA3">
        <w:rPr>
          <w:rFonts w:eastAsia="Times New Roman"/>
          <w:color w:val="auto"/>
        </w:rPr>
        <w:t xml:space="preserve">Gate 3 verifies feature matrix dimensional consistency across train </w:t>
      </w:r>
      <m:oMath>
        <m:r>
          <w:rPr>
            <w:rFonts w:ascii="Cambria Math" w:eastAsia="Times New Roman" w:hAnsi="Cambria Math"/>
            <w:color w:val="auto"/>
          </w:rPr>
          <m:t>(129,331 × 91)</m:t>
        </m:r>
      </m:oMath>
      <w:r w:rsidRPr="005B0FA3">
        <w:rPr>
          <w:rFonts w:eastAsia="Times New Roman"/>
          <w:color w:val="auto"/>
        </w:rPr>
        <w:t xml:space="preserve"> and validation </w:t>
      </w:r>
      <m:oMath>
        <m:r>
          <w:rPr>
            <w:rFonts w:ascii="Cambria Math" w:eastAsia="Times New Roman" w:hAnsi="Cambria Math"/>
            <w:color w:val="auto"/>
          </w:rPr>
          <m:t>(31,028 × 91)</m:t>
        </m:r>
      </m:oMath>
      <w:r w:rsidRPr="005B0FA3">
        <w:rPr>
          <w:rFonts w:eastAsia="Times New Roman"/>
          <w:color w:val="auto"/>
        </w:rPr>
        <w:t xml:space="preserve"> splits</w:t>
      </w:r>
    </w:p>
    <w:p w14:paraId="0BAB0D7A" w14:textId="77777777" w:rsidR="003A1C08" w:rsidRPr="005B0FA3" w:rsidRDefault="00832297" w:rsidP="00672B2D">
      <w:pPr>
        <w:pStyle w:val="ListParagraph"/>
        <w:numPr>
          <w:ilvl w:val="0"/>
          <w:numId w:val="5"/>
        </w:numPr>
        <w:spacing w:before="100" w:beforeAutospacing="1" w:after="100" w:afterAutospacing="1"/>
        <w:jc w:val="both"/>
        <w:rPr>
          <w:rFonts w:eastAsia="Times New Roman"/>
          <w:color w:val="auto"/>
        </w:rPr>
      </w:pPr>
      <w:r w:rsidRPr="005B0FA3">
        <w:rPr>
          <w:rFonts w:eastAsia="Times New Roman"/>
          <w:color w:val="auto"/>
        </w:rPr>
        <w:t>Gate 4 confirms zero NaN values across both splits</w:t>
      </w:r>
    </w:p>
    <w:p w14:paraId="7415ED49" w14:textId="77777777" w:rsidR="003A1C08" w:rsidRPr="005B0FA3" w:rsidRDefault="00832297" w:rsidP="00672B2D">
      <w:pPr>
        <w:pStyle w:val="ListParagraph"/>
        <w:numPr>
          <w:ilvl w:val="0"/>
          <w:numId w:val="5"/>
        </w:numPr>
        <w:spacing w:before="100" w:beforeAutospacing="1" w:after="100" w:afterAutospacing="1"/>
        <w:jc w:val="both"/>
        <w:rPr>
          <w:rFonts w:eastAsia="Times New Roman"/>
          <w:color w:val="auto"/>
        </w:rPr>
      </w:pPr>
      <w:r w:rsidRPr="005B0FA3">
        <w:rPr>
          <w:rFonts w:eastAsia="Times New Roman"/>
          <w:color w:val="auto"/>
        </w:rPr>
        <w:t>Gate 5 confirms all three virtual sensor distributions are non-degenerate</w:t>
      </w:r>
      <w:r w:rsidR="003A1C08" w:rsidRPr="005B0FA3">
        <w:rPr>
          <w:rFonts w:eastAsia="Times New Roman"/>
          <w:color w:val="auto"/>
        </w:rPr>
        <w:t xml:space="preserve"> </w:t>
      </w:r>
      <w:r w:rsidRPr="005B0FA3">
        <w:rPr>
          <w:rFonts w:eastAsia="Times New Roman"/>
          <w:color w:val="auto"/>
        </w:rPr>
        <w:t xml:space="preserve">and </w:t>
      </w:r>
    </w:p>
    <w:p w14:paraId="3E0018AB" w14:textId="07D9F363" w:rsidR="003A1C08" w:rsidRPr="005B0FA3" w:rsidRDefault="00832297" w:rsidP="00672B2D">
      <w:pPr>
        <w:pStyle w:val="ListParagraph"/>
        <w:numPr>
          <w:ilvl w:val="0"/>
          <w:numId w:val="5"/>
        </w:numPr>
        <w:spacing w:before="100" w:beforeAutospacing="1" w:after="100" w:afterAutospacing="1"/>
        <w:jc w:val="both"/>
        <w:rPr>
          <w:rFonts w:eastAsia="Times New Roman"/>
          <w:color w:val="auto"/>
        </w:rPr>
      </w:pPr>
      <w:r w:rsidRPr="005B0FA3">
        <w:rPr>
          <w:rFonts w:eastAsia="Times New Roman"/>
          <w:color w:val="auto"/>
        </w:rPr>
        <w:t>Gate 6 verifies all cumulative fatigue indices are strictly non-decreasing in accordance with Miner's Rule (Miner, 1945)</w:t>
      </w:r>
      <w:sdt>
        <w:sdtPr>
          <w:id w:val="730264306"/>
          <w:citation/>
        </w:sdtPr>
        <w:sdtContent>
          <w:r w:rsidR="003A1C08" w:rsidRPr="005B0FA3">
            <w:rPr>
              <w:rFonts w:eastAsia="Times New Roman"/>
              <w:color w:val="auto"/>
            </w:rPr>
            <w:fldChar w:fldCharType="begin"/>
          </w:r>
          <w:r w:rsidR="003A1C08" w:rsidRPr="005B0FA3">
            <w:rPr>
              <w:rFonts w:eastAsia="Times New Roman"/>
              <w:color w:val="auto"/>
            </w:rPr>
            <w:instrText xml:space="preserve"> CITATION Min45 \l 2057 </w:instrText>
          </w:r>
          <w:r w:rsidR="003A1C08" w:rsidRPr="005B0FA3">
            <w:rPr>
              <w:rFonts w:eastAsia="Times New Roman"/>
              <w:color w:val="auto"/>
            </w:rPr>
            <w:fldChar w:fldCharType="separate"/>
          </w:r>
          <w:r w:rsidR="0074017E">
            <w:rPr>
              <w:rFonts w:eastAsia="Times New Roman"/>
              <w:noProof/>
              <w:color w:val="auto"/>
            </w:rPr>
            <w:t xml:space="preserve"> </w:t>
          </w:r>
          <w:r w:rsidR="0074017E" w:rsidRPr="0074017E">
            <w:rPr>
              <w:rFonts w:eastAsia="Times New Roman"/>
              <w:noProof/>
              <w:color w:val="auto"/>
            </w:rPr>
            <w:t>[2]</w:t>
          </w:r>
          <w:r w:rsidR="003A1C08" w:rsidRPr="005B0FA3">
            <w:rPr>
              <w:rFonts w:eastAsia="Times New Roman"/>
              <w:color w:val="auto"/>
            </w:rPr>
            <w:fldChar w:fldCharType="end"/>
          </w:r>
        </w:sdtContent>
      </w:sdt>
      <w:r w:rsidRPr="005B0FA3">
        <w:rPr>
          <w:rFonts w:eastAsia="Times New Roman"/>
          <w:color w:val="auto"/>
        </w:rPr>
        <w:t xml:space="preserve">, with no monotonicity violations detected within a tolerance of </w:t>
      </w:r>
      <m:oMath>
        <m:r>
          <w:rPr>
            <w:rFonts w:ascii="Cambria Math" w:eastAsia="Times New Roman" w:hAnsi="Cambria Math"/>
            <w:color w:val="auto"/>
          </w:rPr>
          <m:t>-1 × 10⁻¹⁰</m:t>
        </m:r>
      </m:oMath>
      <w:r w:rsidRPr="005B0FA3">
        <w:rPr>
          <w:rFonts w:eastAsia="Times New Roman"/>
          <w:color w:val="auto"/>
        </w:rPr>
        <w:t xml:space="preserve">. </w:t>
      </w:r>
    </w:p>
    <w:p w14:paraId="4EAD57C1" w14:textId="26A87FC5" w:rsidR="003A1C08" w:rsidRPr="005B0FA3" w:rsidRDefault="00832297" w:rsidP="00672B2D">
      <w:pPr>
        <w:spacing w:before="100" w:beforeAutospacing="1" w:after="100" w:afterAutospacing="1"/>
        <w:jc w:val="both"/>
        <w:rPr>
          <w:rFonts w:cs="Arial"/>
          <w:szCs w:val="20"/>
        </w:rPr>
      </w:pPr>
      <w:r w:rsidRPr="005B0FA3">
        <w:rPr>
          <w:rFonts w:cs="Arial"/>
          <w:szCs w:val="20"/>
        </w:rPr>
        <w:t>All seven gap resolution assertions and all six feature engineering gates pass on the executed run.</w:t>
      </w:r>
      <w:r w:rsidR="00672B2D" w:rsidRPr="005B0FA3">
        <w:rPr>
          <w:rFonts w:cs="Arial"/>
          <w:szCs w:val="20"/>
        </w:rPr>
        <w:t xml:space="preserve"> </w:t>
      </w:r>
      <w:r w:rsidR="005643E7">
        <w:rPr>
          <w:rFonts w:cs="Arial"/>
          <w:szCs w:val="20"/>
        </w:rPr>
        <w:t xml:space="preserve">All thirteen gaps are addressed—seven resolved, six documented with justified deferrals. </w:t>
      </w:r>
      <w:r w:rsidRPr="005B0FA3">
        <w:rPr>
          <w:rFonts w:cs="Arial"/>
          <w:szCs w:val="20"/>
        </w:rPr>
        <w:t xml:space="preserve">The 91-feature matrix is constructed via a four-step pipeline: </w:t>
      </w:r>
    </w:p>
    <w:p w14:paraId="61597130" w14:textId="77777777" w:rsidR="003A1C08" w:rsidRPr="005B0FA3" w:rsidRDefault="00000000" w:rsidP="00672B2D">
      <w:pPr>
        <w:pStyle w:val="ListParagraph"/>
        <w:numPr>
          <w:ilvl w:val="0"/>
          <w:numId w:val="6"/>
        </w:numPr>
        <w:spacing w:before="100" w:beforeAutospacing="1" w:after="100" w:afterAutospacing="1"/>
        <w:jc w:val="both"/>
      </w:pPr>
      <w:r w:rsidRPr="005B0FA3">
        <w:t>Core Manifold retaining all 24 base features (3 operational settings + 21 sensors)</w:t>
      </w:r>
    </w:p>
    <w:p w14:paraId="7DAF348B" w14:textId="77777777" w:rsidR="003A1C08" w:rsidRPr="005B0FA3" w:rsidRDefault="00000000" w:rsidP="00672B2D">
      <w:pPr>
        <w:pStyle w:val="ListParagraph"/>
        <w:numPr>
          <w:ilvl w:val="0"/>
          <w:numId w:val="6"/>
        </w:numPr>
        <w:spacing w:before="100" w:beforeAutospacing="1" w:after="100" w:afterAutospacing="1"/>
        <w:jc w:val="both"/>
      </w:pPr>
      <w:r w:rsidRPr="005B0FA3">
        <w:t>Kinematic Expansion applying first-order differences, rolling means, and rolling standard deviations to the 17 active sensors, yielding 51 additional features</w:t>
      </w:r>
    </w:p>
    <w:p w14:paraId="144582B1" w14:textId="77777777" w:rsidR="00672B2D" w:rsidRPr="005B0FA3" w:rsidRDefault="003A1C08" w:rsidP="00672B2D">
      <w:pPr>
        <w:pStyle w:val="ListParagraph"/>
        <w:numPr>
          <w:ilvl w:val="0"/>
          <w:numId w:val="6"/>
        </w:numPr>
        <w:spacing w:before="100" w:beforeAutospacing="1" w:after="100" w:afterAutospacing="1"/>
        <w:jc w:val="both"/>
      </w:pPr>
      <w:r w:rsidRPr="005B0FA3">
        <w:t xml:space="preserve">Three Thermodynamic Virtual Sensors encoding </w:t>
      </w:r>
      <w:r w:rsidR="00672B2D" w:rsidRPr="005B0FA3">
        <w:t xml:space="preserve">(a) </w:t>
      </w:r>
      <w:r w:rsidRPr="005B0FA3">
        <w:t xml:space="preserve">compressor pressure-temperature ratio, </w:t>
      </w:r>
      <w:r w:rsidR="00672B2D" w:rsidRPr="005B0FA3">
        <w:t xml:space="preserve">(b) </w:t>
      </w:r>
      <w:r w:rsidRPr="005B0FA3">
        <w:t xml:space="preserve">thermal efficiency proxy, and </w:t>
      </w:r>
      <w:r w:rsidR="00672B2D" w:rsidRPr="005B0FA3">
        <w:t xml:space="preserve">(c) </w:t>
      </w:r>
      <w:r w:rsidRPr="005B0FA3">
        <w:t xml:space="preserve">EGT margin drift and </w:t>
      </w:r>
    </w:p>
    <w:p w14:paraId="13BA2A77" w14:textId="77777777" w:rsidR="00672B2D" w:rsidRPr="005B0FA3" w:rsidRDefault="00672B2D" w:rsidP="00672B2D">
      <w:pPr>
        <w:pStyle w:val="ListParagraph"/>
        <w:numPr>
          <w:ilvl w:val="0"/>
          <w:numId w:val="6"/>
        </w:numPr>
        <w:spacing w:before="100" w:beforeAutospacing="1" w:after="100" w:afterAutospacing="1"/>
        <w:jc w:val="both"/>
      </w:pPr>
      <w:r w:rsidRPr="005B0FA3">
        <w:t xml:space="preserve">Three Cumulative Fatigue Indices implementing a Miner’s Rule damage accumulation proxy for EGT, core speed, and HPC pressure. </w:t>
      </w:r>
    </w:p>
    <w:p w14:paraId="50F71979" w14:textId="1AEA6039" w:rsidR="00A807E4" w:rsidRPr="005B0FA3" w:rsidRDefault="00000000" w:rsidP="00672B2D">
      <w:pPr>
        <w:spacing w:before="100" w:beforeAutospacing="1" w:after="100" w:afterAutospacing="1"/>
        <w:jc w:val="both"/>
        <w:rPr>
          <w:rFonts w:cs="Arial"/>
          <w:b/>
          <w:bCs/>
          <w:szCs w:val="20"/>
        </w:rPr>
      </w:pPr>
      <w:r w:rsidRPr="005B0FA3">
        <w:rPr>
          <w:rFonts w:cs="Arial"/>
          <w:szCs w:val="20"/>
        </w:rPr>
        <w:t>The pipeline is designed for compatibility with the Phase 4 XGBoost baseline and SOTA benchmark architectures (DeepAR, TFT, PatchTST). Six primary residual concerns are identified and formally transferred to Phase 4 for resolution.</w:t>
      </w:r>
    </w:p>
    <w:p w14:paraId="329905C8" w14:textId="77777777" w:rsidR="00A807E4" w:rsidRPr="005B0FA3" w:rsidRDefault="00000000" w:rsidP="00623C1B">
      <w:pPr>
        <w:pStyle w:val="Heading1"/>
        <w:spacing w:before="100" w:beforeAutospacing="1" w:after="100" w:afterAutospacing="1"/>
      </w:pPr>
      <w:r w:rsidRPr="005B0FA3">
        <w:t>2. Scope and Objectives</w:t>
      </w:r>
    </w:p>
    <w:p w14:paraId="337FA6CB" w14:textId="7922FBD5" w:rsidR="00A807E4" w:rsidRPr="005B0FA3" w:rsidRDefault="00000000" w:rsidP="00623C1B">
      <w:pPr>
        <w:spacing w:before="100" w:beforeAutospacing="1" w:after="100" w:afterAutospacing="1"/>
        <w:jc w:val="both"/>
        <w:rPr>
          <w:rFonts w:cs="Arial"/>
          <w:szCs w:val="20"/>
        </w:rPr>
      </w:pPr>
      <w:r w:rsidRPr="005B0FA3">
        <w:rPr>
          <w:rFonts w:cs="Arial"/>
          <w:szCs w:val="20"/>
        </w:rPr>
        <w:t xml:space="preserve">Phase 3 of the FusionCore </w:t>
      </w:r>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0</m:t>
            </m:r>
          </m:sub>
        </m:sSub>
      </m:oMath>
      <w:r w:rsidRPr="005B0FA3">
        <w:rPr>
          <w:rFonts w:cs="Arial"/>
          <w:szCs w:val="20"/>
        </w:rPr>
        <w:t xml:space="preserve"> pipeline serves a dual mandate. The first mandate is the systematic resolution and documentation of every outstanding gap identified in the Phase 1 Exploratory Data Analysis and the Phase 2 Zero-Leakage Normalisation reports. The second mandate is the construction of the complete physics-aware dynamic feature vector that constitutes the input to the Phase 4 XGBoost baseline model and all subsequent SOTA benchmark comparators.</w:t>
      </w:r>
    </w:p>
    <w:p w14:paraId="432E8B1E" w14:textId="77777777" w:rsidR="00A807E4" w:rsidRPr="005B0FA3" w:rsidRDefault="00000000" w:rsidP="00623C1B">
      <w:pPr>
        <w:spacing w:before="100" w:beforeAutospacing="1" w:after="100" w:afterAutospacing="1"/>
        <w:jc w:val="both"/>
        <w:rPr>
          <w:rFonts w:cs="Arial"/>
          <w:szCs w:val="20"/>
        </w:rPr>
      </w:pPr>
      <w:r w:rsidRPr="005B0FA3">
        <w:rPr>
          <w:rFonts w:cs="Arial"/>
          <w:szCs w:val="20"/>
        </w:rPr>
        <w:t>The notebook operates exclusively on the unified, regime-normalised dataset FD00u produced by Phase 2, comprising four C-MAPSS subsets (FD001–FD004) combined into a single train and validation partition. All engineering operations preserve the zero-leakage principle established in Phase 2: no statistical parameter is computed using validation-set observations. The gap resolution component (Part A) and the feature construction component (Part B) are executed in strict sequence, with a six-gate verification block confirming pipeline integrity before outputs are persisted.</w:t>
      </w:r>
    </w:p>
    <w:p w14:paraId="4155E69E" w14:textId="77777777" w:rsidR="00A807E4" w:rsidRPr="005B0FA3" w:rsidRDefault="00000000" w:rsidP="00623C1B">
      <w:pPr>
        <w:pStyle w:val="Heading1"/>
        <w:spacing w:before="100" w:beforeAutospacing="1" w:after="100" w:afterAutospacing="1"/>
      </w:pPr>
      <w:r w:rsidRPr="005B0FA3">
        <w:t>3. Dataset Provenance and Partition</w:t>
      </w:r>
    </w:p>
    <w:p w14:paraId="0EE3A021" w14:textId="138BA5C0" w:rsidR="004313AF" w:rsidRPr="005B0FA3" w:rsidRDefault="00000000" w:rsidP="004313AF">
      <w:pPr>
        <w:spacing w:before="100" w:beforeAutospacing="1" w:after="100" w:afterAutospacing="1"/>
        <w:jc w:val="both"/>
        <w:rPr>
          <w:rFonts w:cs="Arial"/>
          <w:szCs w:val="20"/>
        </w:rPr>
      </w:pPr>
      <w:r w:rsidRPr="005B0FA3">
        <w:rPr>
          <w:rFonts w:cs="Arial"/>
          <w:szCs w:val="20"/>
        </w:rPr>
        <w:t>The FD00u dataset loaded from Phase 2 parquet outputs contains 30 columns encompassing unit identifiers, cycle index, three operational settings, 21 raw sensor channels, the piece-wise linear RUL target (capped at 125 cycles)</w:t>
      </w:r>
      <w:sdt>
        <w:sdtPr>
          <w:rPr>
            <w:rFonts w:cs="Arial"/>
            <w:szCs w:val="20"/>
          </w:rPr>
          <w:id w:val="1115479148"/>
          <w:citation/>
        </w:sdtPr>
        <w:sdtContent>
          <w:r w:rsidR="00B44491" w:rsidRPr="005B0FA3">
            <w:rPr>
              <w:rFonts w:cs="Arial"/>
              <w:szCs w:val="20"/>
            </w:rPr>
            <w:fldChar w:fldCharType="begin"/>
          </w:r>
          <w:r w:rsidR="00B44491" w:rsidRPr="005B0FA3">
            <w:rPr>
              <w:rFonts w:cs="Arial"/>
              <w:szCs w:val="20"/>
            </w:rPr>
            <w:instrText xml:space="preserve">CITATION Hei08 \l 2057 </w:instrText>
          </w:r>
          <w:r w:rsidR="00B44491" w:rsidRPr="005B0FA3">
            <w:rPr>
              <w:rFonts w:cs="Arial"/>
              <w:szCs w:val="20"/>
            </w:rPr>
            <w:fldChar w:fldCharType="separate"/>
          </w:r>
          <w:r w:rsidR="0074017E">
            <w:rPr>
              <w:rFonts w:cs="Arial"/>
              <w:noProof/>
              <w:szCs w:val="20"/>
            </w:rPr>
            <w:t xml:space="preserve"> </w:t>
          </w:r>
          <w:r w:rsidR="0074017E" w:rsidRPr="0074017E">
            <w:rPr>
              <w:rFonts w:cs="Arial"/>
              <w:noProof/>
              <w:szCs w:val="20"/>
            </w:rPr>
            <w:t>[3]</w:t>
          </w:r>
          <w:r w:rsidR="00B44491" w:rsidRPr="005B0FA3">
            <w:rPr>
              <w:rFonts w:cs="Arial"/>
              <w:szCs w:val="20"/>
            </w:rPr>
            <w:fldChar w:fldCharType="end"/>
          </w:r>
        </w:sdtContent>
      </w:sdt>
      <w:r w:rsidRPr="005B0FA3">
        <w:rPr>
          <w:rFonts w:cs="Arial"/>
          <w:szCs w:val="20"/>
        </w:rPr>
        <w:t>, the Phase 2 provenance subset label, the integer regime identifier, and the global subset-origin tag. The partition dimensions confirmed at notebook load are presented in Table 1.</w:t>
      </w:r>
    </w:p>
    <w:p w14:paraId="2EEC403D" w14:textId="77777777" w:rsidR="004313AF" w:rsidRPr="005B0FA3" w:rsidRDefault="004313AF">
      <w:pPr>
        <w:rPr>
          <w:rFonts w:cs="Arial"/>
          <w:b/>
          <w:bCs/>
          <w:i/>
          <w:iCs/>
          <w:color w:val="1B3A5C"/>
          <w:szCs w:val="20"/>
        </w:rPr>
      </w:pPr>
      <w:r w:rsidRPr="005B0FA3">
        <w:rPr>
          <w:rFonts w:cs="Arial"/>
          <w:b/>
          <w:bCs/>
          <w:i/>
          <w:iCs/>
          <w:color w:val="1B3A5C"/>
          <w:szCs w:val="20"/>
        </w:rPr>
        <w:br w:type="page"/>
      </w:r>
    </w:p>
    <w:p w14:paraId="740E8070" w14:textId="2C9DA9D0" w:rsidR="00A807E4" w:rsidRPr="005B0FA3" w:rsidRDefault="00000000" w:rsidP="004313AF">
      <w:pPr>
        <w:spacing w:before="100" w:beforeAutospacing="1" w:after="100" w:afterAutospacing="1"/>
        <w:jc w:val="both"/>
        <w:rPr>
          <w:rFonts w:cs="Arial"/>
          <w:szCs w:val="20"/>
        </w:rPr>
      </w:pPr>
      <w:r w:rsidRPr="005B0FA3">
        <w:rPr>
          <w:rFonts w:cs="Arial"/>
          <w:b/>
          <w:bCs/>
          <w:i/>
          <w:iCs/>
          <w:color w:val="1B3A5C"/>
          <w:szCs w:val="20"/>
        </w:rPr>
        <w:lastRenderedPageBreak/>
        <w:t>Table 1</w:t>
      </w:r>
      <w:r w:rsidR="00BD4886">
        <w:rPr>
          <w:rFonts w:cs="Arial"/>
          <w:b/>
          <w:bCs/>
          <w:i/>
          <w:iCs/>
          <w:color w:val="1B3A5C"/>
          <w:szCs w:val="20"/>
        </w:rPr>
        <w:t>.</w:t>
      </w:r>
      <w:r w:rsidRPr="005B0FA3">
        <w:rPr>
          <w:rFonts w:cs="Arial"/>
          <w:b/>
          <w:bCs/>
          <w:i/>
          <w:iCs/>
          <w:color w:val="1B3A5C"/>
          <w:szCs w:val="20"/>
        </w:rPr>
        <w:t xml:space="preserve"> FD00u Partition Dimensions at Phase 3 Intake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1276"/>
        <w:gridCol w:w="1417"/>
        <w:gridCol w:w="1134"/>
        <w:gridCol w:w="3825"/>
      </w:tblGrid>
      <w:tr w:rsidR="00A807E4" w:rsidRPr="005B0FA3" w14:paraId="55D970C0" w14:textId="77777777" w:rsidTr="00C871D5">
        <w:trPr>
          <w:tblHeader/>
        </w:trPr>
        <w:tc>
          <w:tcPr>
            <w:tcW w:w="1415"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B623E66"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Partition</w:t>
            </w:r>
          </w:p>
        </w:tc>
        <w:tc>
          <w:tcPr>
            <w:tcW w:w="12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300B6AE"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Row Count</w:t>
            </w:r>
          </w:p>
        </w:tc>
        <w:tc>
          <w:tcPr>
            <w:tcW w:w="14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D6D1325"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Engine Count</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C84356E"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Columns</w:t>
            </w:r>
          </w:p>
        </w:tc>
        <w:tc>
          <w:tcPr>
            <w:tcW w:w="382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17027F46"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Subset Distribution</w:t>
            </w:r>
          </w:p>
        </w:tc>
      </w:tr>
      <w:tr w:rsidR="004C002F" w14:paraId="7D5EB590" w14:textId="77777777" w:rsidTr="00C871D5">
        <w:tc>
          <w:tcPr>
            <w:tcW w:w="1415" w:type="dxa"/>
            <w:shd w:val="clear" w:color="auto" w:fill="FFFFFF"/>
            <w:tcMar>
              <w:top w:w="80" w:type="dxa"/>
              <w:left w:w="120" w:type="dxa"/>
              <w:bottom w:w="80" w:type="dxa"/>
              <w:right w:w="120" w:type="dxa"/>
            </w:tcMar>
            <w:vAlign w:val="center"/>
          </w:tcPr>
          <w:p w14:paraId="11C76B2A" w14:textId="77777777" w:rsidR="00A807E4" w:rsidRPr="005B0FA3" w:rsidRDefault="00000000" w:rsidP="00623C1B">
            <w:pPr>
              <w:spacing w:before="100" w:beforeAutospacing="1" w:after="100" w:afterAutospacing="1"/>
              <w:rPr>
                <w:rFonts w:cs="Arial"/>
              </w:rPr>
            </w:pPr>
            <w:r w:rsidRPr="005B0FA3">
              <w:rPr>
                <w:rFonts w:cs="Arial"/>
                <w:sz w:val="18"/>
                <w:szCs w:val="18"/>
              </w:rPr>
              <w:t>Internal Train</w:t>
            </w:r>
          </w:p>
        </w:tc>
        <w:tc>
          <w:tcPr>
            <w:tcW w:w="1276" w:type="dxa"/>
            <w:shd w:val="clear" w:color="auto" w:fill="FFFFFF"/>
            <w:tcMar>
              <w:top w:w="80" w:type="dxa"/>
              <w:left w:w="120" w:type="dxa"/>
              <w:bottom w:w="80" w:type="dxa"/>
              <w:right w:w="120" w:type="dxa"/>
            </w:tcMar>
            <w:vAlign w:val="center"/>
          </w:tcPr>
          <w:p w14:paraId="2A66F5F0" w14:textId="77777777" w:rsidR="00A807E4" w:rsidRPr="005B0FA3" w:rsidRDefault="00000000" w:rsidP="00623C1B">
            <w:pPr>
              <w:spacing w:before="100" w:beforeAutospacing="1" w:after="100" w:afterAutospacing="1"/>
              <w:rPr>
                <w:rFonts w:cs="Arial"/>
              </w:rPr>
            </w:pPr>
            <w:r w:rsidRPr="005B0FA3">
              <w:rPr>
                <w:rFonts w:cs="Arial"/>
                <w:sz w:val="18"/>
                <w:szCs w:val="18"/>
              </w:rPr>
              <w:t>129,331</w:t>
            </w:r>
          </w:p>
        </w:tc>
        <w:tc>
          <w:tcPr>
            <w:tcW w:w="1417" w:type="dxa"/>
            <w:shd w:val="clear" w:color="auto" w:fill="FFFFFF"/>
            <w:tcMar>
              <w:top w:w="80" w:type="dxa"/>
              <w:left w:w="120" w:type="dxa"/>
              <w:bottom w:w="80" w:type="dxa"/>
              <w:right w:w="120" w:type="dxa"/>
            </w:tcMar>
            <w:vAlign w:val="center"/>
          </w:tcPr>
          <w:p w14:paraId="4AF5BD32" w14:textId="77777777" w:rsidR="00A807E4" w:rsidRPr="005B0FA3" w:rsidRDefault="00000000" w:rsidP="00623C1B">
            <w:pPr>
              <w:spacing w:before="100" w:beforeAutospacing="1" w:after="100" w:afterAutospacing="1"/>
              <w:rPr>
                <w:rFonts w:cs="Arial"/>
              </w:rPr>
            </w:pPr>
            <w:r w:rsidRPr="005B0FA3">
              <w:rPr>
                <w:rFonts w:cs="Arial"/>
                <w:sz w:val="18"/>
                <w:szCs w:val="18"/>
              </w:rPr>
              <w:t>567</w:t>
            </w:r>
          </w:p>
        </w:tc>
        <w:tc>
          <w:tcPr>
            <w:tcW w:w="1134" w:type="dxa"/>
            <w:shd w:val="clear" w:color="auto" w:fill="FFFFFF"/>
            <w:tcMar>
              <w:top w:w="80" w:type="dxa"/>
              <w:left w:w="120" w:type="dxa"/>
              <w:bottom w:w="80" w:type="dxa"/>
              <w:right w:w="120" w:type="dxa"/>
            </w:tcMar>
            <w:vAlign w:val="center"/>
          </w:tcPr>
          <w:p w14:paraId="50680C2B" w14:textId="77777777" w:rsidR="00A807E4" w:rsidRPr="005B0FA3" w:rsidRDefault="00000000" w:rsidP="00623C1B">
            <w:pPr>
              <w:spacing w:before="100" w:beforeAutospacing="1" w:after="100" w:afterAutospacing="1"/>
              <w:rPr>
                <w:rFonts w:cs="Arial"/>
              </w:rPr>
            </w:pPr>
            <w:r w:rsidRPr="005B0FA3">
              <w:rPr>
                <w:rFonts w:cs="Arial"/>
                <w:sz w:val="18"/>
                <w:szCs w:val="18"/>
              </w:rPr>
              <w:t>30</w:t>
            </w:r>
          </w:p>
        </w:tc>
        <w:tc>
          <w:tcPr>
            <w:tcW w:w="3825" w:type="dxa"/>
            <w:shd w:val="clear" w:color="auto" w:fill="FFFFFF"/>
            <w:tcMar>
              <w:top w:w="80" w:type="dxa"/>
              <w:left w:w="120" w:type="dxa"/>
              <w:bottom w:w="80" w:type="dxa"/>
              <w:right w:w="120" w:type="dxa"/>
            </w:tcMar>
            <w:vAlign w:val="center"/>
          </w:tcPr>
          <w:p w14:paraId="42A7A1C4" w14:textId="6B3BB615" w:rsidR="00A807E4" w:rsidRPr="005B0FA3" w:rsidRDefault="00000000" w:rsidP="00623C1B">
            <w:pPr>
              <w:spacing w:before="100" w:beforeAutospacing="1" w:after="100" w:afterAutospacing="1"/>
              <w:rPr>
                <w:rFonts w:cs="Arial"/>
              </w:rPr>
            </w:pPr>
            <w:r w:rsidRPr="005B0FA3">
              <w:rPr>
                <w:rFonts w:cs="Arial"/>
                <w:sz w:val="18"/>
                <w:szCs w:val="18"/>
              </w:rPr>
              <w:t>FD001: 16,561 (12.8%)</w:t>
            </w:r>
            <w:r w:rsidR="00C871D5" w:rsidRPr="005B0FA3">
              <w:rPr>
                <w:rFonts w:cs="Arial"/>
                <w:sz w:val="18"/>
                <w:szCs w:val="18"/>
              </w:rPr>
              <w:br/>
            </w:r>
            <w:r w:rsidRPr="005B0FA3">
              <w:rPr>
                <w:rFonts w:cs="Arial"/>
                <w:sz w:val="18"/>
                <w:szCs w:val="18"/>
              </w:rPr>
              <w:t>FD002: 43,464 (33.6%)</w:t>
            </w:r>
            <w:r w:rsidR="00935E43" w:rsidRPr="005B0FA3">
              <w:rPr>
                <w:rFonts w:cs="Arial"/>
                <w:sz w:val="18"/>
                <w:szCs w:val="18"/>
              </w:rPr>
              <w:br/>
            </w:r>
            <w:r w:rsidRPr="005B0FA3">
              <w:rPr>
                <w:rFonts w:cs="Arial"/>
                <w:sz w:val="18"/>
                <w:szCs w:val="18"/>
              </w:rPr>
              <w:t>FD003: 20,012 (15.5%)</w:t>
            </w:r>
            <w:r w:rsidR="00935E43" w:rsidRPr="005B0FA3">
              <w:rPr>
                <w:rFonts w:cs="Arial"/>
                <w:sz w:val="18"/>
                <w:szCs w:val="18"/>
              </w:rPr>
              <w:br/>
            </w:r>
            <w:r w:rsidRPr="005B0FA3">
              <w:rPr>
                <w:rFonts w:cs="Arial"/>
                <w:sz w:val="18"/>
                <w:szCs w:val="18"/>
              </w:rPr>
              <w:t>FD004: 49,294 (38.1%)</w:t>
            </w:r>
          </w:p>
        </w:tc>
      </w:tr>
      <w:tr w:rsidR="004C002F" w14:paraId="7E607DCD" w14:textId="77777777" w:rsidTr="00C871D5">
        <w:tc>
          <w:tcPr>
            <w:tcW w:w="1415" w:type="dxa"/>
            <w:shd w:val="clear" w:color="auto" w:fill="F0F4F8"/>
            <w:tcMar>
              <w:top w:w="80" w:type="dxa"/>
              <w:left w:w="120" w:type="dxa"/>
              <w:bottom w:w="80" w:type="dxa"/>
              <w:right w:w="120" w:type="dxa"/>
            </w:tcMar>
            <w:vAlign w:val="center"/>
          </w:tcPr>
          <w:p w14:paraId="743BB6D4" w14:textId="77777777" w:rsidR="00A807E4" w:rsidRPr="005B0FA3" w:rsidRDefault="00000000" w:rsidP="00623C1B">
            <w:pPr>
              <w:spacing w:before="100" w:beforeAutospacing="1" w:after="100" w:afterAutospacing="1"/>
              <w:rPr>
                <w:rFonts w:cs="Arial"/>
              </w:rPr>
            </w:pPr>
            <w:r w:rsidRPr="005B0FA3">
              <w:rPr>
                <w:rFonts w:cs="Arial"/>
                <w:sz w:val="18"/>
                <w:szCs w:val="18"/>
              </w:rPr>
              <w:t>Validation</w:t>
            </w:r>
          </w:p>
        </w:tc>
        <w:tc>
          <w:tcPr>
            <w:tcW w:w="1276" w:type="dxa"/>
            <w:shd w:val="clear" w:color="auto" w:fill="F0F4F8"/>
            <w:tcMar>
              <w:top w:w="80" w:type="dxa"/>
              <w:left w:w="120" w:type="dxa"/>
              <w:bottom w:w="80" w:type="dxa"/>
              <w:right w:w="120" w:type="dxa"/>
            </w:tcMar>
            <w:vAlign w:val="center"/>
          </w:tcPr>
          <w:p w14:paraId="31E1E17F" w14:textId="77777777" w:rsidR="00A807E4" w:rsidRPr="005B0FA3" w:rsidRDefault="00000000" w:rsidP="00623C1B">
            <w:pPr>
              <w:spacing w:before="100" w:beforeAutospacing="1" w:after="100" w:afterAutospacing="1"/>
              <w:rPr>
                <w:rFonts w:cs="Arial"/>
              </w:rPr>
            </w:pPr>
            <w:r w:rsidRPr="005B0FA3">
              <w:rPr>
                <w:rFonts w:cs="Arial"/>
                <w:sz w:val="18"/>
                <w:szCs w:val="18"/>
              </w:rPr>
              <w:t>31,028</w:t>
            </w:r>
          </w:p>
        </w:tc>
        <w:tc>
          <w:tcPr>
            <w:tcW w:w="1417" w:type="dxa"/>
            <w:shd w:val="clear" w:color="auto" w:fill="F0F4F8"/>
            <w:tcMar>
              <w:top w:w="80" w:type="dxa"/>
              <w:left w:w="120" w:type="dxa"/>
              <w:bottom w:w="80" w:type="dxa"/>
              <w:right w:w="120" w:type="dxa"/>
            </w:tcMar>
            <w:vAlign w:val="center"/>
          </w:tcPr>
          <w:p w14:paraId="41948FFE" w14:textId="77777777" w:rsidR="00A807E4" w:rsidRPr="005B0FA3" w:rsidRDefault="00000000" w:rsidP="00623C1B">
            <w:pPr>
              <w:spacing w:before="100" w:beforeAutospacing="1" w:after="100" w:afterAutospacing="1"/>
              <w:rPr>
                <w:rFonts w:cs="Arial"/>
              </w:rPr>
            </w:pPr>
            <w:r w:rsidRPr="005B0FA3">
              <w:rPr>
                <w:rFonts w:cs="Arial"/>
                <w:sz w:val="18"/>
                <w:szCs w:val="18"/>
              </w:rPr>
              <w:t>142</w:t>
            </w:r>
          </w:p>
        </w:tc>
        <w:tc>
          <w:tcPr>
            <w:tcW w:w="1134" w:type="dxa"/>
            <w:shd w:val="clear" w:color="auto" w:fill="F0F4F8"/>
            <w:tcMar>
              <w:top w:w="80" w:type="dxa"/>
              <w:left w:w="120" w:type="dxa"/>
              <w:bottom w:w="80" w:type="dxa"/>
              <w:right w:w="120" w:type="dxa"/>
            </w:tcMar>
            <w:vAlign w:val="center"/>
          </w:tcPr>
          <w:p w14:paraId="7B64C85B" w14:textId="77777777" w:rsidR="00A807E4" w:rsidRPr="005B0FA3" w:rsidRDefault="00000000" w:rsidP="00623C1B">
            <w:pPr>
              <w:spacing w:before="100" w:beforeAutospacing="1" w:after="100" w:afterAutospacing="1"/>
              <w:rPr>
                <w:rFonts w:cs="Arial"/>
              </w:rPr>
            </w:pPr>
            <w:r w:rsidRPr="005B0FA3">
              <w:rPr>
                <w:rFonts w:cs="Arial"/>
                <w:sz w:val="18"/>
                <w:szCs w:val="18"/>
              </w:rPr>
              <w:t>30</w:t>
            </w:r>
          </w:p>
        </w:tc>
        <w:tc>
          <w:tcPr>
            <w:tcW w:w="3825" w:type="dxa"/>
            <w:shd w:val="clear" w:color="auto" w:fill="F0F4F8"/>
            <w:tcMar>
              <w:top w:w="80" w:type="dxa"/>
              <w:left w:w="120" w:type="dxa"/>
              <w:bottom w:w="80" w:type="dxa"/>
              <w:right w:w="120" w:type="dxa"/>
            </w:tcMar>
            <w:vAlign w:val="center"/>
          </w:tcPr>
          <w:p w14:paraId="64673707" w14:textId="609F9E23" w:rsidR="00A807E4" w:rsidRPr="005B0FA3" w:rsidRDefault="00000000" w:rsidP="00623C1B">
            <w:pPr>
              <w:spacing w:before="100" w:beforeAutospacing="1" w:after="100" w:afterAutospacing="1"/>
              <w:rPr>
                <w:rFonts w:cs="Arial"/>
              </w:rPr>
            </w:pPr>
            <w:r w:rsidRPr="005B0FA3">
              <w:rPr>
                <w:rFonts w:cs="Arial"/>
                <w:sz w:val="18"/>
                <w:szCs w:val="18"/>
              </w:rPr>
              <w:t xml:space="preserve">Held out from Phase 2 stratified </w:t>
            </w:r>
            <w:r w:rsidR="00935E43" w:rsidRPr="005B0FA3">
              <w:rPr>
                <w:rFonts w:cs="Arial"/>
                <w:sz w:val="18"/>
                <w:szCs w:val="18"/>
              </w:rPr>
              <w:t>split:</w:t>
            </w:r>
            <w:r w:rsidRPr="005B0FA3">
              <w:rPr>
                <w:rFonts w:cs="Arial"/>
                <w:sz w:val="18"/>
                <w:szCs w:val="18"/>
              </w:rPr>
              <w:t xml:space="preserve"> mirror subset proportions</w:t>
            </w:r>
          </w:p>
        </w:tc>
      </w:tr>
    </w:tbl>
    <w:p w14:paraId="1F00DF0E" w14:textId="77777777" w:rsidR="00A807E4" w:rsidRPr="005B0FA3" w:rsidRDefault="00000000" w:rsidP="00623C1B">
      <w:pPr>
        <w:spacing w:before="100" w:beforeAutospacing="1" w:after="100" w:afterAutospacing="1"/>
        <w:jc w:val="both"/>
        <w:rPr>
          <w:rFonts w:cs="Arial"/>
          <w:szCs w:val="20"/>
        </w:rPr>
      </w:pPr>
      <w:r w:rsidRPr="005B0FA3">
        <w:rPr>
          <w:rFonts w:cs="Arial"/>
          <w:szCs w:val="20"/>
        </w:rPr>
        <w:t>The composite key (</w:t>
      </w:r>
      <w:r w:rsidRPr="005B0FA3">
        <w:rPr>
          <w:rFonts w:ascii="Courier New" w:hAnsi="Courier New" w:cs="Courier New"/>
          <w:szCs w:val="20"/>
        </w:rPr>
        <w:t>subset_origin</w:t>
      </w:r>
      <w:r w:rsidRPr="005B0FA3">
        <w:rPr>
          <w:rFonts w:cs="Arial"/>
          <w:szCs w:val="20"/>
        </w:rPr>
        <w:t xml:space="preserve">, </w:t>
      </w:r>
      <w:r w:rsidRPr="005B0FA3">
        <w:rPr>
          <w:rFonts w:ascii="Courier New" w:hAnsi="Courier New" w:cs="Courier New"/>
          <w:szCs w:val="20"/>
        </w:rPr>
        <w:t>unit_id</w:t>
      </w:r>
      <w:r w:rsidRPr="005B0FA3">
        <w:rPr>
          <w:rFonts w:cs="Arial"/>
          <w:szCs w:val="20"/>
        </w:rPr>
        <w:t xml:space="preserve">) is the unique engine identifier throughout Phase 3, resolving the fundamental ambiguity that </w:t>
      </w:r>
      <w:r w:rsidRPr="005B0FA3">
        <w:rPr>
          <w:rFonts w:ascii="Courier New" w:hAnsi="Courier New" w:cs="Courier New"/>
          <w:szCs w:val="20"/>
        </w:rPr>
        <w:t>unit_id</w:t>
      </w:r>
      <w:r w:rsidRPr="005B0FA3">
        <w:rPr>
          <w:rFonts w:cs="Arial"/>
          <w:szCs w:val="20"/>
        </w:rPr>
        <w:t xml:space="preserve"> integers are reused across the four C-MAPSS subsets (G1). All groupby operations apply this composite key to prevent cross-engine data contamination during temporal feature construction.</w:t>
      </w:r>
    </w:p>
    <w:p w14:paraId="01921CAB" w14:textId="77777777" w:rsidR="00A807E4" w:rsidRPr="005B0FA3" w:rsidRDefault="00000000" w:rsidP="00623C1B">
      <w:pPr>
        <w:pStyle w:val="Heading1"/>
        <w:spacing w:before="100" w:beforeAutospacing="1" w:after="100" w:afterAutospacing="1"/>
      </w:pPr>
      <w:r w:rsidRPr="005B0FA3">
        <w:t>4. Part A — Gap Resolution Analysis</w:t>
      </w:r>
    </w:p>
    <w:p w14:paraId="7E5ED85D" w14:textId="65D5D0A7" w:rsidR="00C871D5" w:rsidRPr="005B0FA3" w:rsidRDefault="00522906" w:rsidP="00623C1B">
      <w:pPr>
        <w:spacing w:before="100" w:beforeAutospacing="1" w:after="100" w:afterAutospacing="1"/>
        <w:jc w:val="both"/>
        <w:rPr>
          <w:rFonts w:cs="Arial"/>
          <w:b/>
          <w:bCs/>
          <w:i/>
          <w:iCs/>
          <w:color w:val="1B3A5C"/>
        </w:rPr>
      </w:pPr>
      <w:r>
        <w:rPr>
          <w:rFonts w:cs="Arial"/>
          <w:szCs w:val="20"/>
        </w:rPr>
        <w:t>Thirteen</w:t>
      </w:r>
      <w:r w:rsidRPr="005B0FA3">
        <w:rPr>
          <w:rFonts w:cs="Arial"/>
          <w:szCs w:val="20"/>
        </w:rPr>
        <w:t xml:space="preserve"> gaps were carried forward from Phase 1 and Phase 2 technical reports. The classification of each gap by severity determined the resolution pathway: MANDATORY gaps required code-level resolution before the feature matrix could be constructed; DIAGNOSTIC gaps required quantitative documentation and a justified disposition. Table 2 provides the consolidated audit summary</w:t>
      </w:r>
      <w:r w:rsidRPr="005B0FA3">
        <w:rPr>
          <w:rFonts w:cs="Arial"/>
        </w:rPr>
        <w:t>.</w:t>
      </w:r>
    </w:p>
    <w:p w14:paraId="0928666E" w14:textId="2B04F629" w:rsidR="00A807E4" w:rsidRPr="005B0FA3" w:rsidRDefault="00000000" w:rsidP="00623C1B">
      <w:pPr>
        <w:spacing w:before="100" w:beforeAutospacing="1" w:after="100" w:afterAutospacing="1"/>
        <w:jc w:val="both"/>
        <w:rPr>
          <w:rFonts w:cs="Arial"/>
        </w:rPr>
      </w:pPr>
      <w:r w:rsidRPr="005B0FA3">
        <w:rPr>
          <w:rFonts w:cs="Arial"/>
          <w:b/>
          <w:bCs/>
          <w:i/>
          <w:iCs/>
          <w:color w:val="1B3A5C"/>
        </w:rPr>
        <w:t>Table 2</w:t>
      </w:r>
      <w:r w:rsidR="00BD4886">
        <w:rPr>
          <w:rFonts w:cs="Arial"/>
          <w:b/>
          <w:bCs/>
          <w:i/>
          <w:iCs/>
          <w:color w:val="1B3A5C"/>
        </w:rPr>
        <w:t>.</w:t>
      </w:r>
      <w:r w:rsidRPr="005B0FA3">
        <w:rPr>
          <w:rFonts w:cs="Arial"/>
          <w:b/>
          <w:bCs/>
          <w:i/>
          <w:iCs/>
          <w:color w:val="1B3A5C"/>
        </w:rPr>
        <w:t xml:space="preserve"> Phase 3 Gap Resolution Audit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2531"/>
        <w:gridCol w:w="1391"/>
        <w:gridCol w:w="4605"/>
      </w:tblGrid>
      <w:tr w:rsidR="00C871D5" w:rsidRPr="005B0FA3" w14:paraId="23CFFEAD" w14:textId="77777777" w:rsidTr="00C871D5">
        <w:trPr>
          <w:tblHeader/>
        </w:trPr>
        <w:tc>
          <w:tcPr>
            <w:tcW w:w="682"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DEE363E" w14:textId="77777777" w:rsidR="00C871D5" w:rsidRPr="005B0FA3" w:rsidRDefault="00C871D5" w:rsidP="00623C1B">
            <w:pPr>
              <w:spacing w:before="100" w:beforeAutospacing="1" w:after="100" w:afterAutospacing="1"/>
              <w:rPr>
                <w:rFonts w:cs="Arial"/>
              </w:rPr>
            </w:pPr>
            <w:r w:rsidRPr="005B0FA3">
              <w:rPr>
                <w:rFonts w:cs="Arial"/>
                <w:b/>
                <w:bCs/>
                <w:color w:val="FFFFFF"/>
                <w:sz w:val="18"/>
                <w:szCs w:val="18"/>
              </w:rPr>
              <w:t>Gap</w:t>
            </w:r>
          </w:p>
        </w:tc>
        <w:tc>
          <w:tcPr>
            <w:tcW w:w="253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6A3CFC6" w14:textId="77777777" w:rsidR="00C871D5" w:rsidRPr="005B0FA3" w:rsidRDefault="00C871D5" w:rsidP="00623C1B">
            <w:pPr>
              <w:spacing w:before="100" w:beforeAutospacing="1" w:after="100" w:afterAutospacing="1"/>
              <w:rPr>
                <w:rFonts w:cs="Arial"/>
              </w:rPr>
            </w:pPr>
            <w:r w:rsidRPr="005B0FA3">
              <w:rPr>
                <w:rFonts w:cs="Arial"/>
                <w:b/>
                <w:bCs/>
                <w:color w:val="FFFFFF"/>
                <w:sz w:val="18"/>
                <w:szCs w:val="18"/>
              </w:rPr>
              <w:t>Description</w:t>
            </w:r>
          </w:p>
        </w:tc>
        <w:tc>
          <w:tcPr>
            <w:tcW w:w="139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285DB52" w14:textId="77777777" w:rsidR="00C871D5" w:rsidRPr="005B0FA3" w:rsidRDefault="00C871D5" w:rsidP="00623C1B">
            <w:pPr>
              <w:spacing w:before="100" w:beforeAutospacing="1" w:after="100" w:afterAutospacing="1"/>
              <w:rPr>
                <w:rFonts w:cs="Arial"/>
              </w:rPr>
            </w:pPr>
            <w:r w:rsidRPr="005B0FA3">
              <w:rPr>
                <w:rFonts w:cs="Arial"/>
                <w:b/>
                <w:bCs/>
                <w:color w:val="FFFFFF"/>
                <w:sz w:val="18"/>
                <w:szCs w:val="18"/>
              </w:rPr>
              <w:t>Severity</w:t>
            </w:r>
          </w:p>
        </w:tc>
        <w:tc>
          <w:tcPr>
            <w:tcW w:w="460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43BC3B7" w14:textId="77777777" w:rsidR="00C871D5" w:rsidRPr="005B0FA3" w:rsidRDefault="00C871D5" w:rsidP="00623C1B">
            <w:pPr>
              <w:spacing w:before="100" w:beforeAutospacing="1" w:after="100" w:afterAutospacing="1"/>
              <w:rPr>
                <w:rFonts w:cs="Arial"/>
              </w:rPr>
            </w:pPr>
            <w:r w:rsidRPr="005B0FA3">
              <w:rPr>
                <w:rFonts w:cs="Arial"/>
                <w:b/>
                <w:bCs/>
                <w:color w:val="FFFFFF"/>
                <w:sz w:val="18"/>
                <w:szCs w:val="18"/>
              </w:rPr>
              <w:t>Disposition</w:t>
            </w:r>
          </w:p>
        </w:tc>
      </w:tr>
      <w:tr w:rsidR="004C002F" w14:paraId="2EF0EC34" w14:textId="77777777" w:rsidTr="00C871D5">
        <w:tc>
          <w:tcPr>
            <w:tcW w:w="682" w:type="dxa"/>
            <w:shd w:val="clear" w:color="auto" w:fill="FFFFFF"/>
            <w:tcMar>
              <w:top w:w="80" w:type="dxa"/>
              <w:left w:w="120" w:type="dxa"/>
              <w:bottom w:w="80" w:type="dxa"/>
              <w:right w:w="120" w:type="dxa"/>
            </w:tcMar>
            <w:vAlign w:val="center"/>
          </w:tcPr>
          <w:p w14:paraId="7D69F95A" w14:textId="77777777" w:rsidR="00C871D5" w:rsidRPr="005B0FA3" w:rsidRDefault="00C871D5" w:rsidP="00623C1B">
            <w:pPr>
              <w:spacing w:before="100" w:beforeAutospacing="1" w:after="100" w:afterAutospacing="1"/>
              <w:rPr>
                <w:rFonts w:cs="Arial"/>
              </w:rPr>
            </w:pPr>
            <w:r w:rsidRPr="005B0FA3">
              <w:rPr>
                <w:rFonts w:cs="Arial"/>
                <w:sz w:val="18"/>
                <w:szCs w:val="18"/>
              </w:rPr>
              <w:t>G1</w:t>
            </w:r>
          </w:p>
        </w:tc>
        <w:tc>
          <w:tcPr>
            <w:tcW w:w="2531" w:type="dxa"/>
            <w:shd w:val="clear" w:color="auto" w:fill="FFFFFF"/>
            <w:tcMar>
              <w:top w:w="80" w:type="dxa"/>
              <w:left w:w="120" w:type="dxa"/>
              <w:bottom w:w="80" w:type="dxa"/>
              <w:right w:w="120" w:type="dxa"/>
            </w:tcMar>
            <w:vAlign w:val="center"/>
          </w:tcPr>
          <w:p w14:paraId="658FEEF9" w14:textId="77777777" w:rsidR="00C871D5" w:rsidRPr="005B0FA3" w:rsidRDefault="00C871D5" w:rsidP="00623C1B">
            <w:pPr>
              <w:spacing w:before="100" w:beforeAutospacing="1" w:after="100" w:afterAutospacing="1"/>
              <w:rPr>
                <w:rFonts w:cs="Arial"/>
              </w:rPr>
            </w:pPr>
            <w:r w:rsidRPr="005B0FA3">
              <w:rPr>
                <w:rFonts w:ascii="Courier New" w:hAnsi="Courier New" w:cs="Courier New"/>
                <w:sz w:val="18"/>
                <w:szCs w:val="18"/>
              </w:rPr>
              <w:t>unit_id</w:t>
            </w:r>
            <w:r w:rsidRPr="005B0FA3">
              <w:rPr>
                <w:rFonts w:cs="Arial"/>
                <w:sz w:val="18"/>
                <w:szCs w:val="18"/>
              </w:rPr>
              <w:t xml:space="preserve"> global uniqueness</w:t>
            </w:r>
          </w:p>
        </w:tc>
        <w:tc>
          <w:tcPr>
            <w:tcW w:w="1391" w:type="dxa"/>
            <w:shd w:val="clear" w:color="auto" w:fill="FFFFFF"/>
            <w:tcMar>
              <w:top w:w="80" w:type="dxa"/>
              <w:left w:w="120" w:type="dxa"/>
              <w:bottom w:w="80" w:type="dxa"/>
              <w:right w:w="120" w:type="dxa"/>
            </w:tcMar>
            <w:vAlign w:val="center"/>
          </w:tcPr>
          <w:p w14:paraId="055026BA"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FFFFF"/>
            <w:tcMar>
              <w:top w:w="80" w:type="dxa"/>
              <w:left w:w="120" w:type="dxa"/>
              <w:bottom w:w="80" w:type="dxa"/>
              <w:right w:w="120" w:type="dxa"/>
            </w:tcMar>
            <w:vAlign w:val="center"/>
          </w:tcPr>
          <w:p w14:paraId="6EEA6D2F" w14:textId="77777777" w:rsidR="00C871D5" w:rsidRPr="005B0FA3" w:rsidRDefault="00C871D5" w:rsidP="00623C1B">
            <w:pPr>
              <w:spacing w:before="100" w:beforeAutospacing="1" w:after="100" w:afterAutospacing="1"/>
              <w:rPr>
                <w:rFonts w:cs="Arial"/>
              </w:rPr>
            </w:pPr>
            <w:r w:rsidRPr="005B0FA3">
              <w:rPr>
                <w:rFonts w:cs="Arial"/>
                <w:sz w:val="18"/>
                <w:szCs w:val="18"/>
              </w:rPr>
              <w:t xml:space="preserve">RESOLVED — composite key </w:t>
            </w:r>
            <w:r w:rsidRPr="005B0FA3">
              <w:rPr>
                <w:rFonts w:ascii="Courier New" w:hAnsi="Courier New" w:cs="Courier New"/>
                <w:sz w:val="18"/>
                <w:szCs w:val="18"/>
              </w:rPr>
              <w:t>(subset_origin, unit_id)</w:t>
            </w:r>
            <w:r w:rsidRPr="005B0FA3">
              <w:rPr>
                <w:rFonts w:cs="Arial"/>
                <w:sz w:val="18"/>
                <w:szCs w:val="18"/>
              </w:rPr>
              <w:t xml:space="preserve"> enforced</w:t>
            </w:r>
          </w:p>
        </w:tc>
      </w:tr>
      <w:tr w:rsidR="004C002F" w14:paraId="4E82A1D2" w14:textId="77777777" w:rsidTr="00C871D5">
        <w:tc>
          <w:tcPr>
            <w:tcW w:w="682" w:type="dxa"/>
            <w:shd w:val="clear" w:color="auto" w:fill="F0F4F8"/>
            <w:tcMar>
              <w:top w:w="80" w:type="dxa"/>
              <w:left w:w="120" w:type="dxa"/>
              <w:bottom w:w="80" w:type="dxa"/>
              <w:right w:w="120" w:type="dxa"/>
            </w:tcMar>
            <w:vAlign w:val="center"/>
          </w:tcPr>
          <w:p w14:paraId="62039D95" w14:textId="77777777" w:rsidR="00C871D5" w:rsidRPr="005B0FA3" w:rsidRDefault="00C871D5" w:rsidP="00623C1B">
            <w:pPr>
              <w:spacing w:before="100" w:beforeAutospacing="1" w:after="100" w:afterAutospacing="1"/>
              <w:rPr>
                <w:rFonts w:cs="Arial"/>
              </w:rPr>
            </w:pPr>
            <w:r w:rsidRPr="005B0FA3">
              <w:rPr>
                <w:rFonts w:cs="Arial"/>
                <w:sz w:val="18"/>
                <w:szCs w:val="18"/>
              </w:rPr>
              <w:t>G2</w:t>
            </w:r>
          </w:p>
        </w:tc>
        <w:tc>
          <w:tcPr>
            <w:tcW w:w="2531" w:type="dxa"/>
            <w:shd w:val="clear" w:color="auto" w:fill="F0F4F8"/>
            <w:tcMar>
              <w:top w:w="80" w:type="dxa"/>
              <w:left w:w="120" w:type="dxa"/>
              <w:bottom w:w="80" w:type="dxa"/>
              <w:right w:w="120" w:type="dxa"/>
            </w:tcMar>
            <w:vAlign w:val="center"/>
          </w:tcPr>
          <w:p w14:paraId="3FC141AF" w14:textId="77777777" w:rsidR="00C871D5" w:rsidRPr="005B0FA3" w:rsidRDefault="00C871D5" w:rsidP="00623C1B">
            <w:pPr>
              <w:spacing w:before="100" w:beforeAutospacing="1" w:after="100" w:afterAutospacing="1"/>
              <w:rPr>
                <w:rFonts w:cs="Arial"/>
              </w:rPr>
            </w:pPr>
            <w:r w:rsidRPr="005B0FA3">
              <w:rPr>
                <w:rFonts w:cs="Arial"/>
                <w:sz w:val="18"/>
                <w:szCs w:val="18"/>
              </w:rPr>
              <w:t>Row temporal ordering</w:t>
            </w:r>
          </w:p>
        </w:tc>
        <w:tc>
          <w:tcPr>
            <w:tcW w:w="1391" w:type="dxa"/>
            <w:shd w:val="clear" w:color="auto" w:fill="F0F4F8"/>
            <w:tcMar>
              <w:top w:w="80" w:type="dxa"/>
              <w:left w:w="120" w:type="dxa"/>
              <w:bottom w:w="80" w:type="dxa"/>
              <w:right w:w="120" w:type="dxa"/>
            </w:tcMar>
            <w:vAlign w:val="center"/>
          </w:tcPr>
          <w:p w14:paraId="7E7AF3F4"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0F4F8"/>
            <w:tcMar>
              <w:top w:w="80" w:type="dxa"/>
              <w:left w:w="120" w:type="dxa"/>
              <w:bottom w:w="80" w:type="dxa"/>
              <w:right w:w="120" w:type="dxa"/>
            </w:tcMar>
            <w:vAlign w:val="center"/>
          </w:tcPr>
          <w:p w14:paraId="4DEDDB70" w14:textId="77777777" w:rsidR="00C871D5" w:rsidRPr="005B0FA3" w:rsidRDefault="00C871D5" w:rsidP="00623C1B">
            <w:pPr>
              <w:spacing w:before="100" w:beforeAutospacing="1" w:after="100" w:afterAutospacing="1"/>
              <w:rPr>
                <w:rFonts w:cs="Arial"/>
              </w:rPr>
            </w:pPr>
            <w:r w:rsidRPr="005B0FA3">
              <w:rPr>
                <w:rFonts w:cs="Arial"/>
                <w:sz w:val="18"/>
                <w:szCs w:val="18"/>
              </w:rPr>
              <w:t xml:space="preserve">RESOLVED — sort by </w:t>
            </w:r>
            <w:r w:rsidRPr="005B0FA3">
              <w:rPr>
                <w:rFonts w:ascii="Courier New" w:hAnsi="Courier New" w:cs="Courier New"/>
                <w:sz w:val="18"/>
                <w:szCs w:val="18"/>
              </w:rPr>
              <w:t>(subset_origin, unit_id, cycle)</w:t>
            </w:r>
            <w:r w:rsidRPr="005B0FA3">
              <w:rPr>
                <w:rFonts w:cs="Arial"/>
                <w:sz w:val="18"/>
                <w:szCs w:val="18"/>
              </w:rPr>
              <w:t xml:space="preserve"> with monotonicity assertion</w:t>
            </w:r>
          </w:p>
        </w:tc>
      </w:tr>
      <w:tr w:rsidR="004C002F" w14:paraId="4582571B" w14:textId="77777777" w:rsidTr="00C871D5">
        <w:tc>
          <w:tcPr>
            <w:tcW w:w="682" w:type="dxa"/>
            <w:shd w:val="clear" w:color="auto" w:fill="FFFFFF"/>
            <w:tcMar>
              <w:top w:w="80" w:type="dxa"/>
              <w:left w:w="120" w:type="dxa"/>
              <w:bottom w:w="80" w:type="dxa"/>
              <w:right w:w="120" w:type="dxa"/>
            </w:tcMar>
            <w:vAlign w:val="center"/>
          </w:tcPr>
          <w:p w14:paraId="0D4C3818" w14:textId="77777777" w:rsidR="00C871D5" w:rsidRPr="005B0FA3" w:rsidRDefault="00C871D5" w:rsidP="00623C1B">
            <w:pPr>
              <w:spacing w:before="100" w:beforeAutospacing="1" w:after="100" w:afterAutospacing="1"/>
              <w:rPr>
                <w:rFonts w:cs="Arial"/>
              </w:rPr>
            </w:pPr>
            <w:r w:rsidRPr="005B0FA3">
              <w:rPr>
                <w:rFonts w:cs="Arial"/>
                <w:sz w:val="18"/>
                <w:szCs w:val="18"/>
              </w:rPr>
              <w:t>G3</w:t>
            </w:r>
          </w:p>
        </w:tc>
        <w:tc>
          <w:tcPr>
            <w:tcW w:w="2531" w:type="dxa"/>
            <w:shd w:val="clear" w:color="auto" w:fill="FFFFFF"/>
            <w:tcMar>
              <w:top w:w="80" w:type="dxa"/>
              <w:left w:w="120" w:type="dxa"/>
              <w:bottom w:w="80" w:type="dxa"/>
              <w:right w:w="120" w:type="dxa"/>
            </w:tcMar>
            <w:vAlign w:val="center"/>
          </w:tcPr>
          <w:p w14:paraId="4010A671" w14:textId="77777777" w:rsidR="00C871D5" w:rsidRPr="005B0FA3" w:rsidRDefault="00C871D5" w:rsidP="00623C1B">
            <w:pPr>
              <w:spacing w:before="100" w:beforeAutospacing="1" w:after="100" w:afterAutospacing="1"/>
              <w:rPr>
                <w:rFonts w:cs="Arial"/>
              </w:rPr>
            </w:pPr>
            <w:r w:rsidRPr="005B0FA3">
              <w:rPr>
                <w:rFonts w:cs="Arial"/>
                <w:sz w:val="18"/>
                <w:szCs w:val="18"/>
              </w:rPr>
              <w:t>Dataset class imbalance</w:t>
            </w:r>
          </w:p>
        </w:tc>
        <w:tc>
          <w:tcPr>
            <w:tcW w:w="1391" w:type="dxa"/>
            <w:shd w:val="clear" w:color="auto" w:fill="FFFFFF"/>
            <w:tcMar>
              <w:top w:w="80" w:type="dxa"/>
              <w:left w:w="120" w:type="dxa"/>
              <w:bottom w:w="80" w:type="dxa"/>
              <w:right w:w="120" w:type="dxa"/>
            </w:tcMar>
            <w:vAlign w:val="center"/>
          </w:tcPr>
          <w:p w14:paraId="53ACCADA" w14:textId="77777777" w:rsidR="00C871D5" w:rsidRPr="005B0FA3" w:rsidRDefault="00C871D5" w:rsidP="00623C1B">
            <w:pPr>
              <w:spacing w:before="100" w:beforeAutospacing="1" w:after="100" w:afterAutospacing="1"/>
              <w:rPr>
                <w:rFonts w:cs="Arial"/>
              </w:rPr>
            </w:pPr>
            <w:r w:rsidRPr="005B0FA3">
              <w:rPr>
                <w:rFonts w:cs="Arial"/>
                <w:sz w:val="18"/>
                <w:szCs w:val="18"/>
              </w:rPr>
              <w:t>DIAGNOSTIC</w:t>
            </w:r>
          </w:p>
        </w:tc>
        <w:tc>
          <w:tcPr>
            <w:tcW w:w="4605" w:type="dxa"/>
            <w:shd w:val="clear" w:color="auto" w:fill="FFFFFF"/>
            <w:tcMar>
              <w:top w:w="80" w:type="dxa"/>
              <w:left w:w="120" w:type="dxa"/>
              <w:bottom w:w="80" w:type="dxa"/>
              <w:right w:w="120" w:type="dxa"/>
            </w:tcMar>
            <w:vAlign w:val="center"/>
          </w:tcPr>
          <w:p w14:paraId="26EEE6A9" w14:textId="77777777" w:rsidR="00C871D5" w:rsidRPr="005B0FA3" w:rsidRDefault="00C871D5" w:rsidP="00623C1B">
            <w:pPr>
              <w:spacing w:before="100" w:beforeAutospacing="1" w:after="100" w:afterAutospacing="1"/>
              <w:rPr>
                <w:rFonts w:cs="Arial"/>
              </w:rPr>
            </w:pPr>
            <w:r w:rsidRPr="005B0FA3">
              <w:rPr>
                <w:rFonts w:cs="Arial"/>
                <w:sz w:val="18"/>
                <w:szCs w:val="18"/>
              </w:rPr>
              <w:t>DOCUMENTED — deferred to Phase 4 (XGBoost robust to imbalance; stratified sampling evaluated in Phase 4)</w:t>
            </w:r>
          </w:p>
        </w:tc>
      </w:tr>
      <w:tr w:rsidR="004C002F" w14:paraId="279080B9" w14:textId="77777777" w:rsidTr="00C871D5">
        <w:tc>
          <w:tcPr>
            <w:tcW w:w="682" w:type="dxa"/>
            <w:shd w:val="clear" w:color="auto" w:fill="F0F4F8"/>
            <w:tcMar>
              <w:top w:w="80" w:type="dxa"/>
              <w:left w:w="120" w:type="dxa"/>
              <w:bottom w:w="80" w:type="dxa"/>
              <w:right w:w="120" w:type="dxa"/>
            </w:tcMar>
            <w:vAlign w:val="center"/>
          </w:tcPr>
          <w:p w14:paraId="2D50867D" w14:textId="77777777" w:rsidR="00C871D5" w:rsidRPr="005B0FA3" w:rsidRDefault="00C871D5" w:rsidP="00623C1B">
            <w:pPr>
              <w:spacing w:before="100" w:beforeAutospacing="1" w:after="100" w:afterAutospacing="1"/>
              <w:rPr>
                <w:rFonts w:cs="Arial"/>
              </w:rPr>
            </w:pPr>
            <w:r w:rsidRPr="005B0FA3">
              <w:rPr>
                <w:rFonts w:cs="Arial"/>
                <w:sz w:val="18"/>
                <w:szCs w:val="18"/>
              </w:rPr>
              <w:t>G4</w:t>
            </w:r>
          </w:p>
        </w:tc>
        <w:tc>
          <w:tcPr>
            <w:tcW w:w="2531" w:type="dxa"/>
            <w:shd w:val="clear" w:color="auto" w:fill="F0F4F8"/>
            <w:tcMar>
              <w:top w:w="80" w:type="dxa"/>
              <w:left w:w="120" w:type="dxa"/>
              <w:bottom w:w="80" w:type="dxa"/>
              <w:right w:w="120" w:type="dxa"/>
            </w:tcMar>
            <w:vAlign w:val="center"/>
          </w:tcPr>
          <w:p w14:paraId="054435C4" w14:textId="77777777" w:rsidR="00C871D5" w:rsidRPr="005B0FA3" w:rsidRDefault="00C871D5" w:rsidP="00623C1B">
            <w:pPr>
              <w:spacing w:before="100" w:beforeAutospacing="1" w:after="100" w:afterAutospacing="1"/>
              <w:rPr>
                <w:rFonts w:cs="Arial"/>
              </w:rPr>
            </w:pPr>
            <w:r w:rsidRPr="005B0FA3">
              <w:rPr>
                <w:rFonts w:cs="Arial"/>
                <w:sz w:val="18"/>
                <w:szCs w:val="18"/>
              </w:rPr>
              <w:t>Regime row imbalance</w:t>
            </w:r>
          </w:p>
        </w:tc>
        <w:tc>
          <w:tcPr>
            <w:tcW w:w="1391" w:type="dxa"/>
            <w:shd w:val="clear" w:color="auto" w:fill="F0F4F8"/>
            <w:tcMar>
              <w:top w:w="80" w:type="dxa"/>
              <w:left w:w="120" w:type="dxa"/>
              <w:bottom w:w="80" w:type="dxa"/>
              <w:right w:w="120" w:type="dxa"/>
            </w:tcMar>
            <w:vAlign w:val="center"/>
          </w:tcPr>
          <w:p w14:paraId="415125CE" w14:textId="77777777" w:rsidR="00C871D5" w:rsidRPr="005B0FA3" w:rsidRDefault="00C871D5" w:rsidP="00623C1B">
            <w:pPr>
              <w:spacing w:before="100" w:beforeAutospacing="1" w:after="100" w:afterAutospacing="1"/>
              <w:rPr>
                <w:rFonts w:cs="Arial"/>
              </w:rPr>
            </w:pPr>
            <w:r w:rsidRPr="005B0FA3">
              <w:rPr>
                <w:rFonts w:cs="Arial"/>
                <w:sz w:val="18"/>
                <w:szCs w:val="18"/>
              </w:rPr>
              <w:t>DIAGNOSTIC</w:t>
            </w:r>
          </w:p>
        </w:tc>
        <w:tc>
          <w:tcPr>
            <w:tcW w:w="4605" w:type="dxa"/>
            <w:shd w:val="clear" w:color="auto" w:fill="F0F4F8"/>
            <w:tcMar>
              <w:top w:w="80" w:type="dxa"/>
              <w:left w:w="120" w:type="dxa"/>
              <w:bottom w:w="80" w:type="dxa"/>
              <w:right w:w="120" w:type="dxa"/>
            </w:tcMar>
            <w:vAlign w:val="center"/>
          </w:tcPr>
          <w:p w14:paraId="6124275A" w14:textId="63F0423A" w:rsidR="00C871D5" w:rsidRPr="005B0FA3" w:rsidRDefault="00C871D5" w:rsidP="00623C1B">
            <w:pPr>
              <w:spacing w:before="100" w:beforeAutospacing="1" w:after="100" w:afterAutospacing="1"/>
              <w:rPr>
                <w:rFonts w:cs="Arial"/>
              </w:rPr>
            </w:pPr>
            <w:r w:rsidRPr="005B0FA3">
              <w:rPr>
                <w:rFonts w:cs="Arial"/>
                <w:sz w:val="18"/>
                <w:szCs w:val="18"/>
              </w:rPr>
              <w:t xml:space="preserve">DOCUMENTED — deferred to Phase </w:t>
            </w:r>
            <w:r w:rsidR="00A42DEE">
              <w:rPr>
                <w:rFonts w:cs="Arial"/>
                <w:sz w:val="18"/>
                <w:szCs w:val="18"/>
              </w:rPr>
              <w:t>4</w:t>
            </w:r>
            <w:r w:rsidRPr="005B0FA3">
              <w:rPr>
                <w:rFonts w:cs="Arial"/>
                <w:sz w:val="18"/>
                <w:szCs w:val="18"/>
              </w:rPr>
              <w:t xml:space="preserve"> (inverse-frequency weighting for gradient-based models)</w:t>
            </w:r>
          </w:p>
        </w:tc>
      </w:tr>
      <w:tr w:rsidR="004C002F" w14:paraId="392BB7BA" w14:textId="77777777" w:rsidTr="00C871D5">
        <w:tc>
          <w:tcPr>
            <w:tcW w:w="682" w:type="dxa"/>
            <w:shd w:val="clear" w:color="auto" w:fill="FFFFFF"/>
            <w:tcMar>
              <w:top w:w="80" w:type="dxa"/>
              <w:left w:w="120" w:type="dxa"/>
              <w:bottom w:w="80" w:type="dxa"/>
              <w:right w:w="120" w:type="dxa"/>
            </w:tcMar>
            <w:vAlign w:val="center"/>
          </w:tcPr>
          <w:p w14:paraId="6C8A2C18" w14:textId="77777777" w:rsidR="00C871D5" w:rsidRPr="005B0FA3" w:rsidRDefault="00C871D5" w:rsidP="00623C1B">
            <w:pPr>
              <w:spacing w:before="100" w:beforeAutospacing="1" w:after="100" w:afterAutospacing="1"/>
              <w:rPr>
                <w:rFonts w:cs="Arial"/>
              </w:rPr>
            </w:pPr>
            <w:r w:rsidRPr="005B0FA3">
              <w:rPr>
                <w:rFonts w:cs="Arial"/>
                <w:sz w:val="18"/>
                <w:szCs w:val="18"/>
              </w:rPr>
              <w:t>G5</w:t>
            </w:r>
          </w:p>
        </w:tc>
        <w:tc>
          <w:tcPr>
            <w:tcW w:w="2531" w:type="dxa"/>
            <w:shd w:val="clear" w:color="auto" w:fill="FFFFFF"/>
            <w:tcMar>
              <w:top w:w="80" w:type="dxa"/>
              <w:left w:w="120" w:type="dxa"/>
              <w:bottom w:w="80" w:type="dxa"/>
              <w:right w:w="120" w:type="dxa"/>
            </w:tcMar>
            <w:vAlign w:val="center"/>
          </w:tcPr>
          <w:p w14:paraId="0BCA7DB2" w14:textId="77777777" w:rsidR="00C871D5" w:rsidRPr="005B0FA3" w:rsidRDefault="00C871D5" w:rsidP="00623C1B">
            <w:pPr>
              <w:spacing w:before="100" w:beforeAutospacing="1" w:after="100" w:afterAutospacing="1"/>
              <w:rPr>
                <w:rFonts w:cs="Arial"/>
              </w:rPr>
            </w:pPr>
            <w:r w:rsidRPr="005B0FA3">
              <w:rPr>
                <w:rFonts w:ascii="Courier New" w:hAnsi="Courier New" w:cs="Courier New"/>
                <w:sz w:val="18"/>
                <w:szCs w:val="18"/>
              </w:rPr>
              <w:t>regime_id</w:t>
            </w:r>
            <w:r w:rsidRPr="005B0FA3">
              <w:rPr>
                <w:rFonts w:cs="Arial"/>
                <w:sz w:val="18"/>
                <w:szCs w:val="18"/>
              </w:rPr>
              <w:t xml:space="preserve"> ordinal encoding</w:t>
            </w:r>
          </w:p>
        </w:tc>
        <w:tc>
          <w:tcPr>
            <w:tcW w:w="1391" w:type="dxa"/>
            <w:shd w:val="clear" w:color="auto" w:fill="FFFFFF"/>
            <w:tcMar>
              <w:top w:w="80" w:type="dxa"/>
              <w:left w:w="120" w:type="dxa"/>
              <w:bottom w:w="80" w:type="dxa"/>
              <w:right w:w="120" w:type="dxa"/>
            </w:tcMar>
            <w:vAlign w:val="center"/>
          </w:tcPr>
          <w:p w14:paraId="56A85BEF"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FFFFF"/>
            <w:tcMar>
              <w:top w:w="80" w:type="dxa"/>
              <w:left w:w="120" w:type="dxa"/>
              <w:bottom w:w="80" w:type="dxa"/>
              <w:right w:w="120" w:type="dxa"/>
            </w:tcMar>
            <w:vAlign w:val="center"/>
          </w:tcPr>
          <w:p w14:paraId="13DBCF3F" w14:textId="77777777" w:rsidR="00C871D5" w:rsidRPr="005B0FA3" w:rsidRDefault="00C871D5" w:rsidP="00623C1B">
            <w:pPr>
              <w:spacing w:before="100" w:beforeAutospacing="1" w:after="100" w:afterAutospacing="1"/>
              <w:rPr>
                <w:rFonts w:cs="Arial"/>
              </w:rPr>
            </w:pPr>
            <w:r w:rsidRPr="005B0FA3">
              <w:rPr>
                <w:rFonts w:cs="Arial"/>
                <w:sz w:val="18"/>
                <w:szCs w:val="18"/>
              </w:rPr>
              <w:t xml:space="preserve">RESOLVED — one-hot encoded to </w:t>
            </w:r>
            <w:r w:rsidRPr="00F24BF5">
              <w:rPr>
                <w:rFonts w:ascii="Courier New" w:hAnsi="Courier New" w:cs="Courier New"/>
                <w:sz w:val="18"/>
                <w:szCs w:val="18"/>
              </w:rPr>
              <w:t>regime_0–regime_5</w:t>
            </w:r>
            <w:r w:rsidRPr="005B0FA3">
              <w:rPr>
                <w:rFonts w:cs="Arial"/>
                <w:sz w:val="18"/>
                <w:szCs w:val="18"/>
              </w:rPr>
              <w:t>; integer column dropped</w:t>
            </w:r>
          </w:p>
        </w:tc>
      </w:tr>
      <w:tr w:rsidR="004C002F" w14:paraId="375B2B5A" w14:textId="77777777" w:rsidTr="00C871D5">
        <w:tc>
          <w:tcPr>
            <w:tcW w:w="682" w:type="dxa"/>
            <w:shd w:val="clear" w:color="auto" w:fill="F0F4F8"/>
            <w:tcMar>
              <w:top w:w="80" w:type="dxa"/>
              <w:left w:w="120" w:type="dxa"/>
              <w:bottom w:w="80" w:type="dxa"/>
              <w:right w:w="120" w:type="dxa"/>
            </w:tcMar>
            <w:vAlign w:val="center"/>
          </w:tcPr>
          <w:p w14:paraId="0C78F5DD" w14:textId="77777777" w:rsidR="00C871D5" w:rsidRPr="005B0FA3" w:rsidRDefault="00C871D5" w:rsidP="00623C1B">
            <w:pPr>
              <w:spacing w:before="100" w:beforeAutospacing="1" w:after="100" w:afterAutospacing="1"/>
              <w:rPr>
                <w:rFonts w:cs="Arial"/>
              </w:rPr>
            </w:pPr>
            <w:r w:rsidRPr="005B0FA3">
              <w:rPr>
                <w:rFonts w:cs="Arial"/>
                <w:sz w:val="18"/>
                <w:szCs w:val="18"/>
              </w:rPr>
              <w:t>G6</w:t>
            </w:r>
          </w:p>
        </w:tc>
        <w:tc>
          <w:tcPr>
            <w:tcW w:w="2531" w:type="dxa"/>
            <w:shd w:val="clear" w:color="auto" w:fill="F0F4F8"/>
            <w:tcMar>
              <w:top w:w="80" w:type="dxa"/>
              <w:left w:w="120" w:type="dxa"/>
              <w:bottom w:w="80" w:type="dxa"/>
              <w:right w:w="120" w:type="dxa"/>
            </w:tcMar>
            <w:vAlign w:val="center"/>
          </w:tcPr>
          <w:p w14:paraId="177CE665" w14:textId="77777777" w:rsidR="00C871D5" w:rsidRPr="005B0FA3" w:rsidRDefault="00C871D5" w:rsidP="00623C1B">
            <w:pPr>
              <w:spacing w:before="100" w:beforeAutospacing="1" w:after="100" w:afterAutospacing="1"/>
              <w:rPr>
                <w:rFonts w:cs="Arial"/>
              </w:rPr>
            </w:pPr>
            <w:r w:rsidRPr="005B0FA3">
              <w:rPr>
                <w:rFonts w:cs="Arial"/>
                <w:sz w:val="18"/>
                <w:szCs w:val="18"/>
              </w:rPr>
              <w:t>s7 cross-fault-mode sigma differential (3.93x)</w:t>
            </w:r>
          </w:p>
        </w:tc>
        <w:tc>
          <w:tcPr>
            <w:tcW w:w="1391" w:type="dxa"/>
            <w:shd w:val="clear" w:color="auto" w:fill="F0F4F8"/>
            <w:tcMar>
              <w:top w:w="80" w:type="dxa"/>
              <w:left w:w="120" w:type="dxa"/>
              <w:bottom w:w="80" w:type="dxa"/>
              <w:right w:w="120" w:type="dxa"/>
            </w:tcMar>
            <w:vAlign w:val="center"/>
          </w:tcPr>
          <w:p w14:paraId="58FD5E55"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0F4F8"/>
            <w:tcMar>
              <w:top w:w="80" w:type="dxa"/>
              <w:left w:w="120" w:type="dxa"/>
              <w:bottom w:w="80" w:type="dxa"/>
              <w:right w:w="120" w:type="dxa"/>
            </w:tcMar>
            <w:vAlign w:val="center"/>
          </w:tcPr>
          <w:p w14:paraId="0B18C689" w14:textId="77777777" w:rsidR="00C871D5" w:rsidRPr="005B0FA3" w:rsidRDefault="00C871D5" w:rsidP="00623C1B">
            <w:pPr>
              <w:spacing w:before="100" w:beforeAutospacing="1" w:after="100" w:afterAutospacing="1"/>
              <w:rPr>
                <w:rFonts w:cs="Arial"/>
              </w:rPr>
            </w:pPr>
            <w:r w:rsidRPr="005B0FA3">
              <w:rPr>
                <w:rFonts w:cs="Arial"/>
                <w:sz w:val="18"/>
                <w:szCs w:val="18"/>
              </w:rPr>
              <w:t xml:space="preserve">RESOLVED — binary </w:t>
            </w:r>
            <w:r w:rsidRPr="00F24BF5">
              <w:rPr>
                <w:rFonts w:ascii="Courier New" w:hAnsi="Courier New" w:cs="Courier New"/>
                <w:sz w:val="18"/>
                <w:szCs w:val="18"/>
              </w:rPr>
              <w:t>fault_mode_family</w:t>
            </w:r>
            <w:r w:rsidRPr="005B0FA3">
              <w:rPr>
                <w:rFonts w:cs="Arial"/>
                <w:sz w:val="18"/>
                <w:szCs w:val="18"/>
              </w:rPr>
              <w:t xml:space="preserve"> indicator added; confirmed 1.00x ratio post-normalisation</w:t>
            </w:r>
          </w:p>
        </w:tc>
      </w:tr>
      <w:tr w:rsidR="004C002F" w14:paraId="3496F3CA" w14:textId="77777777" w:rsidTr="00C871D5">
        <w:tc>
          <w:tcPr>
            <w:tcW w:w="682" w:type="dxa"/>
            <w:shd w:val="clear" w:color="auto" w:fill="FFFFFF"/>
            <w:tcMar>
              <w:top w:w="80" w:type="dxa"/>
              <w:left w:w="120" w:type="dxa"/>
              <w:bottom w:w="80" w:type="dxa"/>
              <w:right w:w="120" w:type="dxa"/>
            </w:tcMar>
            <w:vAlign w:val="center"/>
          </w:tcPr>
          <w:p w14:paraId="22E4C106" w14:textId="77777777" w:rsidR="00C871D5" w:rsidRPr="005B0FA3" w:rsidRDefault="00C871D5" w:rsidP="00623C1B">
            <w:pPr>
              <w:spacing w:before="100" w:beforeAutospacing="1" w:after="100" w:afterAutospacing="1"/>
              <w:rPr>
                <w:rFonts w:cs="Arial"/>
              </w:rPr>
            </w:pPr>
            <w:r w:rsidRPr="005B0FA3">
              <w:rPr>
                <w:rFonts w:cs="Arial"/>
                <w:sz w:val="18"/>
                <w:szCs w:val="18"/>
              </w:rPr>
              <w:t>G7</w:t>
            </w:r>
          </w:p>
        </w:tc>
        <w:tc>
          <w:tcPr>
            <w:tcW w:w="2531" w:type="dxa"/>
            <w:shd w:val="clear" w:color="auto" w:fill="FFFFFF"/>
            <w:tcMar>
              <w:top w:w="80" w:type="dxa"/>
              <w:left w:w="120" w:type="dxa"/>
              <w:bottom w:w="80" w:type="dxa"/>
              <w:right w:w="120" w:type="dxa"/>
            </w:tcMar>
            <w:vAlign w:val="center"/>
          </w:tcPr>
          <w:p w14:paraId="3CCDB5C2" w14:textId="77777777" w:rsidR="00C871D5" w:rsidRPr="005B0FA3" w:rsidRDefault="00C871D5" w:rsidP="00623C1B">
            <w:pPr>
              <w:spacing w:before="100" w:beforeAutospacing="1" w:after="100" w:afterAutospacing="1"/>
              <w:rPr>
                <w:rFonts w:cs="Arial"/>
              </w:rPr>
            </w:pPr>
            <w:r w:rsidRPr="005B0FA3">
              <w:rPr>
                <w:rFonts w:cs="Arial"/>
                <w:sz w:val="18"/>
                <w:szCs w:val="18"/>
              </w:rPr>
              <w:t>Mechanically linked pairs (s8/s13, s9/s14)</w:t>
            </w:r>
          </w:p>
        </w:tc>
        <w:tc>
          <w:tcPr>
            <w:tcW w:w="1391" w:type="dxa"/>
            <w:shd w:val="clear" w:color="auto" w:fill="FFFFFF"/>
            <w:tcMar>
              <w:top w:w="80" w:type="dxa"/>
              <w:left w:w="120" w:type="dxa"/>
              <w:bottom w:w="80" w:type="dxa"/>
              <w:right w:w="120" w:type="dxa"/>
            </w:tcMar>
            <w:vAlign w:val="center"/>
          </w:tcPr>
          <w:p w14:paraId="573E0817"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FFFFF"/>
            <w:tcMar>
              <w:top w:w="80" w:type="dxa"/>
              <w:left w:w="120" w:type="dxa"/>
              <w:bottom w:w="80" w:type="dxa"/>
              <w:right w:w="120" w:type="dxa"/>
            </w:tcMar>
            <w:vAlign w:val="center"/>
          </w:tcPr>
          <w:p w14:paraId="01C94A74" w14:textId="77777777" w:rsidR="00C871D5" w:rsidRPr="005B0FA3" w:rsidRDefault="00C871D5" w:rsidP="00623C1B">
            <w:pPr>
              <w:spacing w:before="100" w:beforeAutospacing="1" w:after="100" w:afterAutospacing="1"/>
              <w:rPr>
                <w:rFonts w:cs="Arial"/>
              </w:rPr>
            </w:pPr>
            <w:r w:rsidRPr="005B0FA3">
              <w:rPr>
                <w:rFonts w:cs="Arial"/>
                <w:sz w:val="18"/>
                <w:szCs w:val="18"/>
              </w:rPr>
              <w:t>RESOLVED — VIF quantified; ratio features constructed; raw sensors retained</w:t>
            </w:r>
          </w:p>
        </w:tc>
      </w:tr>
      <w:tr w:rsidR="004C002F" w14:paraId="6984A788" w14:textId="77777777" w:rsidTr="00C871D5">
        <w:tc>
          <w:tcPr>
            <w:tcW w:w="682" w:type="dxa"/>
            <w:shd w:val="clear" w:color="auto" w:fill="F0F4F8"/>
            <w:tcMar>
              <w:top w:w="80" w:type="dxa"/>
              <w:left w:w="120" w:type="dxa"/>
              <w:bottom w:w="80" w:type="dxa"/>
              <w:right w:w="120" w:type="dxa"/>
            </w:tcMar>
            <w:vAlign w:val="center"/>
          </w:tcPr>
          <w:p w14:paraId="23564BAA" w14:textId="77777777" w:rsidR="00C871D5" w:rsidRPr="005B0FA3" w:rsidRDefault="00C871D5" w:rsidP="00623C1B">
            <w:pPr>
              <w:spacing w:before="100" w:beforeAutospacing="1" w:after="100" w:afterAutospacing="1"/>
              <w:rPr>
                <w:rFonts w:cs="Arial"/>
              </w:rPr>
            </w:pPr>
            <w:r w:rsidRPr="005B0FA3">
              <w:rPr>
                <w:rFonts w:cs="Arial"/>
                <w:sz w:val="18"/>
                <w:szCs w:val="18"/>
              </w:rPr>
              <w:t>G8</w:t>
            </w:r>
          </w:p>
        </w:tc>
        <w:tc>
          <w:tcPr>
            <w:tcW w:w="2531" w:type="dxa"/>
            <w:shd w:val="clear" w:color="auto" w:fill="F0F4F8"/>
            <w:tcMar>
              <w:top w:w="80" w:type="dxa"/>
              <w:left w:w="120" w:type="dxa"/>
              <w:bottom w:w="80" w:type="dxa"/>
              <w:right w:w="120" w:type="dxa"/>
            </w:tcMar>
            <w:vAlign w:val="center"/>
          </w:tcPr>
          <w:p w14:paraId="40A173CD" w14:textId="77777777" w:rsidR="00C871D5" w:rsidRPr="005B0FA3" w:rsidRDefault="00C871D5" w:rsidP="00623C1B">
            <w:pPr>
              <w:spacing w:before="100" w:beforeAutospacing="1" w:after="100" w:afterAutospacing="1"/>
              <w:rPr>
                <w:rFonts w:cs="Arial"/>
              </w:rPr>
            </w:pPr>
            <w:r w:rsidRPr="005B0FA3">
              <w:rPr>
                <w:rFonts w:cs="Arial"/>
                <w:sz w:val="18"/>
                <w:szCs w:val="18"/>
              </w:rPr>
              <w:t>Extreme z-score excursions</w:t>
            </w:r>
          </w:p>
        </w:tc>
        <w:tc>
          <w:tcPr>
            <w:tcW w:w="1391" w:type="dxa"/>
            <w:shd w:val="clear" w:color="auto" w:fill="F0F4F8"/>
            <w:tcMar>
              <w:top w:w="80" w:type="dxa"/>
              <w:left w:w="120" w:type="dxa"/>
              <w:bottom w:w="80" w:type="dxa"/>
              <w:right w:w="120" w:type="dxa"/>
            </w:tcMar>
            <w:vAlign w:val="center"/>
          </w:tcPr>
          <w:p w14:paraId="30069AF1"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0F4F8"/>
            <w:tcMar>
              <w:top w:w="80" w:type="dxa"/>
              <w:left w:w="120" w:type="dxa"/>
              <w:bottom w:w="80" w:type="dxa"/>
              <w:right w:w="120" w:type="dxa"/>
            </w:tcMar>
            <w:vAlign w:val="center"/>
          </w:tcPr>
          <w:p w14:paraId="0872DD41" w14:textId="77777777" w:rsidR="00C871D5" w:rsidRPr="005B0FA3" w:rsidRDefault="00C871D5" w:rsidP="00623C1B">
            <w:pPr>
              <w:spacing w:before="100" w:beforeAutospacing="1" w:after="100" w:afterAutospacing="1"/>
              <w:rPr>
                <w:rFonts w:cs="Arial"/>
              </w:rPr>
            </w:pPr>
            <w:r w:rsidRPr="005B0FA3">
              <w:rPr>
                <w:rFonts w:cs="Arial"/>
                <w:sz w:val="18"/>
                <w:szCs w:val="18"/>
              </w:rPr>
              <w:t>RESOLVED — cycle-position analysis confirms terminal-dominance; no Winsorisation applied</w:t>
            </w:r>
          </w:p>
        </w:tc>
      </w:tr>
      <w:tr w:rsidR="004C002F" w14:paraId="49F4A72D" w14:textId="77777777" w:rsidTr="00C871D5">
        <w:tc>
          <w:tcPr>
            <w:tcW w:w="682" w:type="dxa"/>
            <w:shd w:val="clear" w:color="auto" w:fill="FFFFFF"/>
            <w:tcMar>
              <w:top w:w="80" w:type="dxa"/>
              <w:left w:w="120" w:type="dxa"/>
              <w:bottom w:w="80" w:type="dxa"/>
              <w:right w:w="120" w:type="dxa"/>
            </w:tcMar>
            <w:vAlign w:val="center"/>
          </w:tcPr>
          <w:p w14:paraId="1B699E1B" w14:textId="77777777" w:rsidR="00C871D5" w:rsidRPr="005B0FA3" w:rsidRDefault="00C871D5" w:rsidP="00623C1B">
            <w:pPr>
              <w:spacing w:before="100" w:beforeAutospacing="1" w:after="100" w:afterAutospacing="1"/>
              <w:rPr>
                <w:rFonts w:cs="Arial"/>
              </w:rPr>
            </w:pPr>
            <w:r w:rsidRPr="005B0FA3">
              <w:rPr>
                <w:rFonts w:cs="Arial"/>
                <w:sz w:val="18"/>
                <w:szCs w:val="18"/>
              </w:rPr>
              <w:t>G9</w:t>
            </w:r>
          </w:p>
        </w:tc>
        <w:tc>
          <w:tcPr>
            <w:tcW w:w="2531" w:type="dxa"/>
            <w:shd w:val="clear" w:color="auto" w:fill="FFFFFF"/>
            <w:tcMar>
              <w:top w:w="80" w:type="dxa"/>
              <w:left w:w="120" w:type="dxa"/>
              <w:bottom w:w="80" w:type="dxa"/>
              <w:right w:w="120" w:type="dxa"/>
            </w:tcMar>
            <w:vAlign w:val="center"/>
          </w:tcPr>
          <w:p w14:paraId="3DE329B5" w14:textId="77777777" w:rsidR="00C871D5" w:rsidRPr="005B0FA3" w:rsidRDefault="00C871D5" w:rsidP="00623C1B">
            <w:pPr>
              <w:spacing w:before="100" w:beforeAutospacing="1" w:after="100" w:afterAutospacing="1"/>
              <w:rPr>
                <w:rFonts w:cs="Arial"/>
              </w:rPr>
            </w:pPr>
            <w:r w:rsidRPr="005B0FA3">
              <w:rPr>
                <w:rFonts w:cs="Arial"/>
                <w:sz w:val="18"/>
                <w:szCs w:val="18"/>
              </w:rPr>
              <w:t>s16 (farB) partial-dead</w:t>
            </w:r>
          </w:p>
        </w:tc>
        <w:tc>
          <w:tcPr>
            <w:tcW w:w="1391" w:type="dxa"/>
            <w:shd w:val="clear" w:color="auto" w:fill="FFFFFF"/>
            <w:tcMar>
              <w:top w:w="80" w:type="dxa"/>
              <w:left w:w="120" w:type="dxa"/>
              <w:bottom w:w="80" w:type="dxa"/>
              <w:right w:w="120" w:type="dxa"/>
            </w:tcMar>
            <w:vAlign w:val="center"/>
          </w:tcPr>
          <w:p w14:paraId="48651FBD" w14:textId="77777777" w:rsidR="00C871D5" w:rsidRPr="005B0FA3" w:rsidRDefault="00C871D5" w:rsidP="00623C1B">
            <w:pPr>
              <w:spacing w:before="100" w:beforeAutospacing="1" w:after="100" w:afterAutospacing="1"/>
              <w:rPr>
                <w:rFonts w:cs="Arial"/>
              </w:rPr>
            </w:pPr>
            <w:r w:rsidRPr="005B0FA3">
              <w:rPr>
                <w:rFonts w:cs="Arial"/>
                <w:sz w:val="18"/>
                <w:szCs w:val="18"/>
              </w:rPr>
              <w:t>DIAGNOSTIC</w:t>
            </w:r>
          </w:p>
        </w:tc>
        <w:tc>
          <w:tcPr>
            <w:tcW w:w="4605" w:type="dxa"/>
            <w:shd w:val="clear" w:color="auto" w:fill="FFFFFF"/>
            <w:tcMar>
              <w:top w:w="80" w:type="dxa"/>
              <w:left w:w="120" w:type="dxa"/>
              <w:bottom w:w="80" w:type="dxa"/>
              <w:right w:w="120" w:type="dxa"/>
            </w:tcMar>
            <w:vAlign w:val="center"/>
          </w:tcPr>
          <w:p w14:paraId="6A7F79FD" w14:textId="0E9E6E59" w:rsidR="00C871D5" w:rsidRPr="005B0FA3" w:rsidRDefault="00C871D5" w:rsidP="00623C1B">
            <w:pPr>
              <w:spacing w:before="100" w:beforeAutospacing="1" w:after="100" w:afterAutospacing="1"/>
              <w:rPr>
                <w:rFonts w:cs="Arial"/>
              </w:rPr>
            </w:pPr>
            <w:r w:rsidRPr="005B0FA3">
              <w:rPr>
                <w:rFonts w:cs="Arial"/>
                <w:sz w:val="18"/>
                <w:szCs w:val="18"/>
              </w:rPr>
              <w:t xml:space="preserve">DOCUMENTED — </w:t>
            </w:r>
            <m:oMath>
              <m:r>
                <w:rPr>
                  <w:rFonts w:ascii="Cambria Math" w:hAnsi="Cambria Math" w:cs="Arial"/>
                  <w:sz w:val="18"/>
                  <w:szCs w:val="18"/>
                </w:rPr>
                <m:t>IQR=0</m:t>
              </m:r>
            </m:oMath>
            <w:r w:rsidRPr="005B0FA3">
              <w:rPr>
                <w:rFonts w:cs="Arial"/>
                <w:sz w:val="18"/>
                <w:szCs w:val="18"/>
              </w:rPr>
              <w:t>, active only in FD002/FD004; ablation in Phase 4</w:t>
            </w:r>
          </w:p>
        </w:tc>
      </w:tr>
      <w:tr w:rsidR="004C002F" w14:paraId="20EB33B8" w14:textId="77777777" w:rsidTr="00C871D5">
        <w:tc>
          <w:tcPr>
            <w:tcW w:w="682" w:type="dxa"/>
            <w:shd w:val="clear" w:color="auto" w:fill="F0F4F8"/>
            <w:tcMar>
              <w:top w:w="80" w:type="dxa"/>
              <w:left w:w="120" w:type="dxa"/>
              <w:bottom w:w="80" w:type="dxa"/>
              <w:right w:w="120" w:type="dxa"/>
            </w:tcMar>
            <w:vAlign w:val="center"/>
          </w:tcPr>
          <w:p w14:paraId="08368112" w14:textId="77777777" w:rsidR="00C871D5" w:rsidRPr="005B0FA3" w:rsidRDefault="00C871D5" w:rsidP="00623C1B">
            <w:pPr>
              <w:spacing w:before="100" w:beforeAutospacing="1" w:after="100" w:afterAutospacing="1"/>
              <w:rPr>
                <w:rFonts w:cs="Arial"/>
              </w:rPr>
            </w:pPr>
            <w:r w:rsidRPr="005B0FA3">
              <w:rPr>
                <w:rFonts w:cs="Arial"/>
                <w:sz w:val="18"/>
                <w:szCs w:val="18"/>
              </w:rPr>
              <w:t>G10</w:t>
            </w:r>
          </w:p>
        </w:tc>
        <w:tc>
          <w:tcPr>
            <w:tcW w:w="2531" w:type="dxa"/>
            <w:shd w:val="clear" w:color="auto" w:fill="F0F4F8"/>
            <w:tcMar>
              <w:top w:w="80" w:type="dxa"/>
              <w:left w:w="120" w:type="dxa"/>
              <w:bottom w:w="80" w:type="dxa"/>
              <w:right w:w="120" w:type="dxa"/>
            </w:tcMar>
            <w:vAlign w:val="center"/>
          </w:tcPr>
          <w:p w14:paraId="2E02457D" w14:textId="77777777" w:rsidR="00C871D5" w:rsidRPr="005B0FA3" w:rsidRDefault="00C871D5" w:rsidP="00623C1B">
            <w:pPr>
              <w:spacing w:before="100" w:beforeAutospacing="1" w:after="100" w:afterAutospacing="1"/>
              <w:rPr>
                <w:rFonts w:cs="Arial"/>
              </w:rPr>
            </w:pPr>
            <w:r w:rsidRPr="005B0FA3">
              <w:rPr>
                <w:rFonts w:cs="Arial"/>
                <w:sz w:val="18"/>
                <w:szCs w:val="18"/>
              </w:rPr>
              <w:t>Multivariate health index</w:t>
            </w:r>
          </w:p>
        </w:tc>
        <w:tc>
          <w:tcPr>
            <w:tcW w:w="1391" w:type="dxa"/>
            <w:shd w:val="clear" w:color="auto" w:fill="F0F4F8"/>
            <w:tcMar>
              <w:top w:w="80" w:type="dxa"/>
              <w:left w:w="120" w:type="dxa"/>
              <w:bottom w:w="80" w:type="dxa"/>
              <w:right w:w="120" w:type="dxa"/>
            </w:tcMar>
            <w:vAlign w:val="center"/>
          </w:tcPr>
          <w:p w14:paraId="6C24C567" w14:textId="77777777" w:rsidR="00C871D5" w:rsidRPr="005B0FA3" w:rsidRDefault="00C871D5" w:rsidP="00623C1B">
            <w:pPr>
              <w:spacing w:before="100" w:beforeAutospacing="1" w:after="100" w:afterAutospacing="1"/>
              <w:rPr>
                <w:rFonts w:cs="Arial"/>
              </w:rPr>
            </w:pPr>
            <w:r w:rsidRPr="005B0FA3">
              <w:rPr>
                <w:rFonts w:cs="Arial"/>
                <w:sz w:val="18"/>
                <w:szCs w:val="18"/>
              </w:rPr>
              <w:t>MANDATORY</w:t>
            </w:r>
          </w:p>
        </w:tc>
        <w:tc>
          <w:tcPr>
            <w:tcW w:w="4605" w:type="dxa"/>
            <w:shd w:val="clear" w:color="auto" w:fill="F0F4F8"/>
            <w:tcMar>
              <w:top w:w="80" w:type="dxa"/>
              <w:left w:w="120" w:type="dxa"/>
              <w:bottom w:w="80" w:type="dxa"/>
              <w:right w:w="120" w:type="dxa"/>
            </w:tcMar>
            <w:vAlign w:val="center"/>
          </w:tcPr>
          <w:p w14:paraId="59B6015E" w14:textId="701EA4EB" w:rsidR="00C871D5" w:rsidRPr="005B0FA3" w:rsidRDefault="00C871D5" w:rsidP="00623C1B">
            <w:pPr>
              <w:spacing w:before="100" w:beforeAutospacing="1" w:after="100" w:afterAutospacing="1"/>
              <w:rPr>
                <w:rFonts w:cs="Arial"/>
              </w:rPr>
            </w:pPr>
            <w:r w:rsidRPr="005B0FA3">
              <w:rPr>
                <w:rFonts w:cs="Arial"/>
                <w:sz w:val="18"/>
                <w:szCs w:val="18"/>
              </w:rPr>
              <w:t xml:space="preserve">RESOLVED — composite index </w:t>
            </w:r>
            <m:oMath>
              <m:r>
                <w:rPr>
                  <w:rFonts w:ascii="Cambria Math" w:hAnsi="Cambria Math" w:cs="Arial"/>
                  <w:sz w:val="18"/>
                  <w:szCs w:val="18"/>
                </w:rPr>
                <m:t>mean(s4, s7, s9)</m:t>
              </m:r>
            </m:oMath>
            <w:r w:rsidRPr="005B0FA3">
              <w:rPr>
                <w:rFonts w:cs="Arial"/>
                <w:sz w:val="18"/>
                <w:szCs w:val="18"/>
              </w:rPr>
              <w:t xml:space="preserve"> constructed in z-space</w:t>
            </w:r>
          </w:p>
        </w:tc>
      </w:tr>
      <w:tr w:rsidR="004C002F" w14:paraId="7EEC0363" w14:textId="77777777" w:rsidTr="00C871D5">
        <w:tc>
          <w:tcPr>
            <w:tcW w:w="682" w:type="dxa"/>
            <w:shd w:val="clear" w:color="auto" w:fill="FFFFFF"/>
            <w:tcMar>
              <w:top w:w="80" w:type="dxa"/>
              <w:left w:w="120" w:type="dxa"/>
              <w:bottom w:w="80" w:type="dxa"/>
              <w:right w:w="120" w:type="dxa"/>
            </w:tcMar>
            <w:vAlign w:val="center"/>
          </w:tcPr>
          <w:p w14:paraId="04946F7F" w14:textId="77777777" w:rsidR="00C871D5" w:rsidRPr="005B0FA3" w:rsidRDefault="00C871D5" w:rsidP="00623C1B">
            <w:pPr>
              <w:spacing w:before="100" w:beforeAutospacing="1" w:after="100" w:afterAutospacing="1"/>
              <w:rPr>
                <w:rFonts w:cs="Arial"/>
              </w:rPr>
            </w:pPr>
            <w:r w:rsidRPr="005B0FA3">
              <w:rPr>
                <w:rFonts w:cs="Arial"/>
                <w:sz w:val="18"/>
                <w:szCs w:val="18"/>
              </w:rPr>
              <w:t>G11</w:t>
            </w:r>
          </w:p>
        </w:tc>
        <w:tc>
          <w:tcPr>
            <w:tcW w:w="2531" w:type="dxa"/>
            <w:shd w:val="clear" w:color="auto" w:fill="FFFFFF"/>
            <w:tcMar>
              <w:top w:w="80" w:type="dxa"/>
              <w:left w:w="120" w:type="dxa"/>
              <w:bottom w:w="80" w:type="dxa"/>
              <w:right w:w="120" w:type="dxa"/>
            </w:tcMar>
            <w:vAlign w:val="center"/>
          </w:tcPr>
          <w:p w14:paraId="4D8602A0" w14:textId="77777777" w:rsidR="00C871D5" w:rsidRPr="005B0FA3" w:rsidRDefault="00C871D5" w:rsidP="00623C1B">
            <w:pPr>
              <w:spacing w:before="100" w:beforeAutospacing="1" w:after="100" w:afterAutospacing="1"/>
              <w:rPr>
                <w:rFonts w:cs="Arial"/>
              </w:rPr>
            </w:pPr>
            <w:r w:rsidRPr="005B0FA3">
              <w:rPr>
                <w:rFonts w:cs="Arial"/>
                <w:sz w:val="18"/>
                <w:szCs w:val="18"/>
              </w:rPr>
              <w:t>Regime assignment OOD guard</w:t>
            </w:r>
          </w:p>
        </w:tc>
        <w:tc>
          <w:tcPr>
            <w:tcW w:w="1391" w:type="dxa"/>
            <w:shd w:val="clear" w:color="auto" w:fill="FFFFFF"/>
            <w:tcMar>
              <w:top w:w="80" w:type="dxa"/>
              <w:left w:w="120" w:type="dxa"/>
              <w:bottom w:w="80" w:type="dxa"/>
              <w:right w:w="120" w:type="dxa"/>
            </w:tcMar>
            <w:vAlign w:val="center"/>
          </w:tcPr>
          <w:p w14:paraId="3900C0A3" w14:textId="77777777" w:rsidR="00C871D5" w:rsidRPr="005B0FA3" w:rsidRDefault="00C871D5" w:rsidP="00623C1B">
            <w:pPr>
              <w:spacing w:before="100" w:beforeAutospacing="1" w:after="100" w:afterAutospacing="1"/>
              <w:rPr>
                <w:rFonts w:cs="Arial"/>
              </w:rPr>
            </w:pPr>
            <w:r w:rsidRPr="005B0FA3">
              <w:rPr>
                <w:rFonts w:cs="Arial"/>
                <w:sz w:val="18"/>
                <w:szCs w:val="18"/>
              </w:rPr>
              <w:t>DIAGNOSTIC</w:t>
            </w:r>
          </w:p>
        </w:tc>
        <w:tc>
          <w:tcPr>
            <w:tcW w:w="4605" w:type="dxa"/>
            <w:shd w:val="clear" w:color="auto" w:fill="FFFFFF"/>
            <w:tcMar>
              <w:top w:w="80" w:type="dxa"/>
              <w:left w:w="120" w:type="dxa"/>
              <w:bottom w:w="80" w:type="dxa"/>
              <w:right w:w="120" w:type="dxa"/>
            </w:tcMar>
            <w:vAlign w:val="center"/>
          </w:tcPr>
          <w:p w14:paraId="6CEB0C39" w14:textId="38BCEE13" w:rsidR="00C871D5" w:rsidRPr="005B0FA3" w:rsidRDefault="00C871D5" w:rsidP="00623C1B">
            <w:pPr>
              <w:spacing w:before="100" w:beforeAutospacing="1" w:after="100" w:afterAutospacing="1"/>
              <w:rPr>
                <w:rFonts w:cs="Arial"/>
              </w:rPr>
            </w:pPr>
            <w:r w:rsidRPr="005B0FA3">
              <w:rPr>
                <w:rFonts w:cs="Arial"/>
                <w:sz w:val="18"/>
                <w:szCs w:val="18"/>
              </w:rPr>
              <w:t xml:space="preserve">DOCUMENTED — distance-to-centroid quantified; full guard deferred to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1</m:t>
                  </m:r>
                </m:sub>
              </m:sSub>
            </m:oMath>
            <w:r w:rsidRPr="005B0FA3">
              <w:rPr>
                <w:rFonts w:cs="Arial"/>
                <w:sz w:val="18"/>
                <w:szCs w:val="18"/>
              </w:rPr>
              <w:t xml:space="preserve"> deployment pipeline</w:t>
            </w:r>
          </w:p>
        </w:tc>
      </w:tr>
      <w:tr w:rsidR="005643E7" w14:paraId="370D9993" w14:textId="77777777" w:rsidTr="005643E7">
        <w:tc>
          <w:tcPr>
            <w:tcW w:w="682" w:type="dxa"/>
            <w:shd w:val="clear" w:color="auto" w:fill="F0F4F9"/>
            <w:tcMar>
              <w:top w:w="80" w:type="dxa"/>
              <w:left w:w="120" w:type="dxa"/>
              <w:bottom w:w="80" w:type="dxa"/>
              <w:right w:w="120" w:type="dxa"/>
            </w:tcMar>
            <w:vAlign w:val="center"/>
          </w:tcPr>
          <w:p w14:paraId="03EC88AD" w14:textId="1566A259" w:rsidR="005643E7" w:rsidRPr="005B0FA3" w:rsidRDefault="005643E7" w:rsidP="00623C1B">
            <w:pPr>
              <w:spacing w:before="100" w:beforeAutospacing="1" w:after="100" w:afterAutospacing="1"/>
              <w:rPr>
                <w:rFonts w:cs="Arial"/>
                <w:sz w:val="18"/>
                <w:szCs w:val="18"/>
              </w:rPr>
            </w:pPr>
            <w:r>
              <w:rPr>
                <w:rFonts w:cs="Arial"/>
                <w:sz w:val="18"/>
                <w:szCs w:val="18"/>
              </w:rPr>
              <w:lastRenderedPageBreak/>
              <w:t>G12</w:t>
            </w:r>
          </w:p>
        </w:tc>
        <w:tc>
          <w:tcPr>
            <w:tcW w:w="2531" w:type="dxa"/>
            <w:shd w:val="clear" w:color="auto" w:fill="F0F4F9"/>
            <w:tcMar>
              <w:top w:w="80" w:type="dxa"/>
              <w:left w:w="120" w:type="dxa"/>
              <w:bottom w:w="80" w:type="dxa"/>
              <w:right w:w="120" w:type="dxa"/>
            </w:tcMar>
            <w:vAlign w:val="center"/>
          </w:tcPr>
          <w:p w14:paraId="244406FA" w14:textId="565A9EC6" w:rsidR="005643E7" w:rsidRPr="005B0FA3" w:rsidRDefault="005643E7" w:rsidP="00623C1B">
            <w:pPr>
              <w:spacing w:before="100" w:beforeAutospacing="1" w:after="100" w:afterAutospacing="1"/>
              <w:rPr>
                <w:rFonts w:cs="Arial"/>
                <w:sz w:val="18"/>
                <w:szCs w:val="18"/>
              </w:rPr>
            </w:pPr>
            <w:r>
              <w:rPr>
                <w:rFonts w:cs="Arial"/>
                <w:sz w:val="18"/>
                <w:szCs w:val="18"/>
              </w:rPr>
              <w:t>Survival analysis</w:t>
            </w:r>
          </w:p>
        </w:tc>
        <w:tc>
          <w:tcPr>
            <w:tcW w:w="1391" w:type="dxa"/>
            <w:shd w:val="clear" w:color="auto" w:fill="F0F4F9"/>
            <w:tcMar>
              <w:top w:w="80" w:type="dxa"/>
              <w:left w:w="120" w:type="dxa"/>
              <w:bottom w:w="80" w:type="dxa"/>
              <w:right w:w="120" w:type="dxa"/>
            </w:tcMar>
            <w:vAlign w:val="center"/>
          </w:tcPr>
          <w:p w14:paraId="60CC6C26" w14:textId="15719EAE" w:rsidR="005643E7" w:rsidRPr="005B0FA3" w:rsidRDefault="005643E7" w:rsidP="00623C1B">
            <w:pPr>
              <w:spacing w:before="100" w:beforeAutospacing="1" w:after="100" w:afterAutospacing="1"/>
              <w:rPr>
                <w:rFonts w:cs="Arial"/>
                <w:sz w:val="18"/>
                <w:szCs w:val="18"/>
              </w:rPr>
            </w:pPr>
            <w:r>
              <w:rPr>
                <w:rFonts w:cs="Arial"/>
                <w:sz w:val="18"/>
                <w:szCs w:val="18"/>
              </w:rPr>
              <w:t>DIAGNOSTIC</w:t>
            </w:r>
          </w:p>
        </w:tc>
        <w:tc>
          <w:tcPr>
            <w:tcW w:w="4605" w:type="dxa"/>
            <w:shd w:val="clear" w:color="auto" w:fill="F0F4F9"/>
            <w:tcMar>
              <w:top w:w="80" w:type="dxa"/>
              <w:left w:w="120" w:type="dxa"/>
              <w:bottom w:w="80" w:type="dxa"/>
              <w:right w:w="120" w:type="dxa"/>
            </w:tcMar>
            <w:vAlign w:val="center"/>
          </w:tcPr>
          <w:p w14:paraId="1D5DEB03" w14:textId="39FD3A4F" w:rsidR="005643E7" w:rsidRPr="005B0FA3" w:rsidRDefault="005643E7" w:rsidP="00623C1B">
            <w:pPr>
              <w:spacing w:before="100" w:beforeAutospacing="1" w:after="100" w:afterAutospacing="1"/>
              <w:rPr>
                <w:rFonts w:cs="Arial"/>
                <w:sz w:val="18"/>
                <w:szCs w:val="18"/>
              </w:rPr>
            </w:pPr>
            <w:r>
              <w:rPr>
                <w:rFonts w:cs="Arial"/>
                <w:sz w:val="18"/>
                <w:szCs w:val="18"/>
              </w:rPr>
              <w:t>DOCUMENTED</w:t>
            </w:r>
            <w:r w:rsidR="003C16CF">
              <w:rPr>
                <w:rFonts w:cs="Arial"/>
                <w:sz w:val="18"/>
                <w:szCs w:val="18"/>
              </w:rPr>
              <w:t xml:space="preserve"> </w:t>
            </w:r>
            <w:r>
              <w:rPr>
                <w:rFonts w:cs="Arial"/>
                <w:sz w:val="18"/>
                <w:szCs w:val="18"/>
              </w:rPr>
              <w:t>—</w:t>
            </w:r>
            <w:r w:rsidR="003C16CF">
              <w:rPr>
                <w:rFonts w:cs="Arial"/>
                <w:sz w:val="18"/>
                <w:szCs w:val="18"/>
              </w:rPr>
              <w:t xml:space="preserve"> </w:t>
            </w:r>
            <w:r>
              <w:rPr>
                <w:rFonts w:cs="Arial"/>
                <w:sz w:val="18"/>
                <w:szCs w:val="18"/>
              </w:rPr>
              <w:t>Kaplan-Meier and Cox PH diagnostic completed; scheduling integration deferred to Phase 5</w:t>
            </w:r>
          </w:p>
        </w:tc>
      </w:tr>
      <w:tr w:rsidR="005643E7" w14:paraId="338C379D" w14:textId="77777777" w:rsidTr="00C871D5">
        <w:tc>
          <w:tcPr>
            <w:tcW w:w="682" w:type="dxa"/>
            <w:shd w:val="clear" w:color="auto" w:fill="FFFFFF"/>
            <w:tcMar>
              <w:top w:w="80" w:type="dxa"/>
              <w:left w:w="120" w:type="dxa"/>
              <w:bottom w:w="80" w:type="dxa"/>
              <w:right w:w="120" w:type="dxa"/>
            </w:tcMar>
            <w:vAlign w:val="center"/>
          </w:tcPr>
          <w:p w14:paraId="5F2CE043" w14:textId="2C6C0A66" w:rsidR="005643E7" w:rsidRPr="005B0FA3" w:rsidRDefault="003C16CF" w:rsidP="00623C1B">
            <w:pPr>
              <w:spacing w:before="100" w:beforeAutospacing="1" w:after="100" w:afterAutospacing="1"/>
              <w:rPr>
                <w:rFonts w:cs="Arial"/>
                <w:sz w:val="18"/>
                <w:szCs w:val="18"/>
              </w:rPr>
            </w:pPr>
            <w:r>
              <w:rPr>
                <w:rFonts w:cs="Arial"/>
                <w:sz w:val="18"/>
                <w:szCs w:val="18"/>
              </w:rPr>
              <w:t>G13</w:t>
            </w:r>
          </w:p>
        </w:tc>
        <w:tc>
          <w:tcPr>
            <w:tcW w:w="2531" w:type="dxa"/>
            <w:shd w:val="clear" w:color="auto" w:fill="FFFFFF"/>
            <w:tcMar>
              <w:top w:w="80" w:type="dxa"/>
              <w:left w:w="120" w:type="dxa"/>
              <w:bottom w:w="80" w:type="dxa"/>
              <w:right w:w="120" w:type="dxa"/>
            </w:tcMar>
            <w:vAlign w:val="center"/>
          </w:tcPr>
          <w:p w14:paraId="57A44CB8" w14:textId="32464ACE" w:rsidR="005643E7" w:rsidRPr="005B0FA3" w:rsidRDefault="003C16CF" w:rsidP="00623C1B">
            <w:pPr>
              <w:spacing w:before="100" w:beforeAutospacing="1" w:after="100" w:afterAutospacing="1"/>
              <w:rPr>
                <w:rFonts w:cs="Arial"/>
                <w:sz w:val="18"/>
                <w:szCs w:val="18"/>
              </w:rPr>
            </w:pPr>
            <w:r>
              <w:rPr>
                <w:rFonts w:cs="Arial"/>
                <w:sz w:val="18"/>
                <w:szCs w:val="18"/>
              </w:rPr>
              <w:t xml:space="preserve">Per-fault-mode-family </w:t>
            </w:r>
            <w:r>
              <w:rPr>
                <w:rFonts w:cs="Arial"/>
                <w:sz w:val="18"/>
                <w:szCs w:val="18"/>
              </w:rPr>
              <w:br/>
              <w:t>UWL recalibration</w:t>
            </w:r>
          </w:p>
        </w:tc>
        <w:tc>
          <w:tcPr>
            <w:tcW w:w="1391" w:type="dxa"/>
            <w:shd w:val="clear" w:color="auto" w:fill="FFFFFF"/>
            <w:tcMar>
              <w:top w:w="80" w:type="dxa"/>
              <w:left w:w="120" w:type="dxa"/>
              <w:bottom w:w="80" w:type="dxa"/>
              <w:right w:w="120" w:type="dxa"/>
            </w:tcMar>
            <w:vAlign w:val="center"/>
          </w:tcPr>
          <w:p w14:paraId="55201BA3" w14:textId="2665F6ED" w:rsidR="005643E7" w:rsidRPr="005B0FA3" w:rsidRDefault="003C16CF" w:rsidP="00623C1B">
            <w:pPr>
              <w:spacing w:before="100" w:beforeAutospacing="1" w:after="100" w:afterAutospacing="1"/>
              <w:rPr>
                <w:rFonts w:cs="Arial"/>
                <w:sz w:val="18"/>
                <w:szCs w:val="18"/>
              </w:rPr>
            </w:pPr>
            <w:r>
              <w:rPr>
                <w:rFonts w:cs="Arial"/>
                <w:sz w:val="18"/>
                <w:szCs w:val="18"/>
              </w:rPr>
              <w:t>DIAGNOSTIC</w:t>
            </w:r>
          </w:p>
        </w:tc>
        <w:tc>
          <w:tcPr>
            <w:tcW w:w="4605" w:type="dxa"/>
            <w:shd w:val="clear" w:color="auto" w:fill="FFFFFF"/>
            <w:tcMar>
              <w:top w:w="80" w:type="dxa"/>
              <w:left w:w="120" w:type="dxa"/>
              <w:bottom w:w="80" w:type="dxa"/>
              <w:right w:w="120" w:type="dxa"/>
            </w:tcMar>
            <w:vAlign w:val="center"/>
          </w:tcPr>
          <w:p w14:paraId="4BD13287" w14:textId="29FEE033" w:rsidR="005643E7" w:rsidRPr="005B0FA3" w:rsidRDefault="003C16CF" w:rsidP="00623C1B">
            <w:pPr>
              <w:spacing w:before="100" w:beforeAutospacing="1" w:after="100" w:afterAutospacing="1"/>
              <w:rPr>
                <w:rFonts w:cs="Arial"/>
                <w:sz w:val="18"/>
                <w:szCs w:val="18"/>
              </w:rPr>
            </w:pPr>
            <w:r>
              <w:rPr>
                <w:rFonts w:cs="Arial"/>
                <w:sz w:val="18"/>
                <w:szCs w:val="18"/>
              </w:rPr>
              <w:t>DOCUMENTED — family-specific P-F distributions quantified; adaptive thresholds calibrated; deployment deferred to Phase 5</w:t>
            </w:r>
          </w:p>
        </w:tc>
      </w:tr>
    </w:tbl>
    <w:p w14:paraId="7065CCBC" w14:textId="31CA09E2" w:rsidR="00A807E4" w:rsidRPr="005B0FA3" w:rsidRDefault="00A717CE" w:rsidP="00623C1B">
      <w:pPr>
        <w:pStyle w:val="Heading2"/>
        <w:spacing w:before="100" w:beforeAutospacing="1" w:after="100" w:afterAutospacing="1"/>
      </w:pPr>
      <w:r w:rsidRPr="005B0FA3">
        <w:t>4.1  G1 &amp; G2 — Composite Key Enforcement and Temporal Ordering</w:t>
      </w:r>
      <w:r w:rsidR="007B5427" w:rsidRPr="005B0FA3">
        <w:t xml:space="preserve"> (Cell 7)</w:t>
      </w:r>
    </w:p>
    <w:p w14:paraId="0C6C297B" w14:textId="5997C366" w:rsidR="00A807E4" w:rsidRPr="00F24BF5" w:rsidRDefault="00000000" w:rsidP="00623C1B">
      <w:pPr>
        <w:spacing w:before="100" w:beforeAutospacing="1" w:after="100" w:afterAutospacing="1"/>
        <w:jc w:val="both"/>
        <w:rPr>
          <w:rFonts w:cs="Arial"/>
          <w:szCs w:val="20"/>
        </w:rPr>
      </w:pPr>
      <w:r w:rsidRPr="00F24BF5">
        <w:rPr>
          <w:rFonts w:cs="Arial"/>
          <w:szCs w:val="20"/>
        </w:rPr>
        <w:t xml:space="preserve">The C-MAPSS dataset assigns unit_id integers independently within each of the four subsets, meaning that </w:t>
      </w:r>
      <m:oMath>
        <m:r>
          <w:rPr>
            <w:rFonts w:ascii="Cambria Math" w:hAnsi="Cambria Math" w:cs="Arial"/>
            <w:szCs w:val="20"/>
          </w:rPr>
          <m:t>unit_id=1</m:t>
        </m:r>
      </m:oMath>
      <w:r w:rsidRPr="00F24BF5">
        <w:rPr>
          <w:rFonts w:cs="Arial"/>
          <w:szCs w:val="20"/>
        </w:rPr>
        <w:t xml:space="preserve"> in FD001 and </w:t>
      </w:r>
      <m:oMath>
        <m:r>
          <w:rPr>
            <w:rFonts w:ascii="Cambria Math" w:hAnsi="Cambria Math" w:cs="Arial"/>
            <w:szCs w:val="20"/>
          </w:rPr>
          <m:t>unit_id=1</m:t>
        </m:r>
      </m:oMath>
      <w:r w:rsidRPr="00F24BF5">
        <w:rPr>
          <w:rFonts w:cs="Arial"/>
          <w:szCs w:val="20"/>
        </w:rPr>
        <w:t xml:space="preserve"> in FD002 refer to two entirely distinct engine trajectories. Failure to account for this ambiguity would corrupt any groupby-based temporal operation (rolling windows, first-order differences, cumulative sums), producing cross-engine contamination that constitutes a form of data leakage.</w:t>
      </w:r>
    </w:p>
    <w:p w14:paraId="2C801DCA" w14:textId="77777777" w:rsidR="00A807E4" w:rsidRPr="00F24BF5" w:rsidRDefault="00000000" w:rsidP="00623C1B">
      <w:pPr>
        <w:spacing w:before="100" w:beforeAutospacing="1" w:after="100" w:afterAutospacing="1"/>
        <w:jc w:val="both"/>
        <w:rPr>
          <w:rFonts w:cs="Arial"/>
          <w:szCs w:val="20"/>
        </w:rPr>
      </w:pPr>
      <w:r w:rsidRPr="00F24BF5">
        <w:rPr>
          <w:rFonts w:cs="Arial"/>
          <w:szCs w:val="20"/>
        </w:rPr>
        <w:t xml:space="preserve">Resolution was achieved by defining the composite key </w:t>
      </w:r>
      <w:r w:rsidRPr="00F24BF5">
        <w:rPr>
          <w:rFonts w:ascii="Courier New" w:hAnsi="Courier New" w:cs="Courier New"/>
          <w:szCs w:val="20"/>
        </w:rPr>
        <w:t>UNIT_KEY = [subset_origin, unit_id]</w:t>
      </w:r>
      <w:r w:rsidRPr="00F24BF5">
        <w:rPr>
          <w:rFonts w:cs="Arial"/>
          <w:szCs w:val="20"/>
        </w:rPr>
        <w:t xml:space="preserve"> and applying this key in all groupby calls throughout the notebook. A deterministic sort over </w:t>
      </w:r>
      <w:r w:rsidRPr="00F24BF5">
        <w:rPr>
          <w:rFonts w:ascii="Courier New" w:hAnsi="Courier New" w:cs="Courier New"/>
          <w:szCs w:val="20"/>
        </w:rPr>
        <w:t>(subset_origin, unit_id, cycle)</w:t>
      </w:r>
      <w:r w:rsidRPr="00F24BF5">
        <w:rPr>
          <w:rFonts w:cs="Arial"/>
          <w:szCs w:val="20"/>
        </w:rPr>
        <w:t xml:space="preserve"> was applied, and two assertions were programmatically verified: (i) zero duplicate </w:t>
      </w:r>
      <w:r w:rsidRPr="00F24BF5">
        <w:rPr>
          <w:rFonts w:ascii="Courier New" w:hAnsi="Courier New" w:cs="Courier New"/>
          <w:szCs w:val="20"/>
        </w:rPr>
        <w:t>(subset_origin, unit_id, cycle)</w:t>
      </w:r>
      <w:r w:rsidRPr="00F24BF5">
        <w:rPr>
          <w:rFonts w:cs="Arial"/>
          <w:szCs w:val="20"/>
        </w:rPr>
        <w:t xml:space="preserve"> tuples across the entire dataset, and (ii) strictly monotonically increasing cycle values within every engine trajectory. Both assertions passed for the 129,331-row training partition (567 engines) and the 31,028-row validation partition (142 engines).</w:t>
      </w:r>
    </w:p>
    <w:p w14:paraId="4A039A82" w14:textId="441CBB23" w:rsidR="00A807E4" w:rsidRPr="005B0FA3" w:rsidRDefault="00A717CE" w:rsidP="00F72CE8">
      <w:pPr>
        <w:pStyle w:val="Heading2"/>
      </w:pPr>
      <w:r w:rsidRPr="005B0FA3">
        <w:t>4.2  G3 — Dataset Class Imbalance</w:t>
      </w:r>
      <w:r w:rsidR="007B5427" w:rsidRPr="005B0FA3">
        <w:t xml:space="preserve"> (Cell 8)</w:t>
      </w:r>
    </w:p>
    <w:p w14:paraId="074B5C0D" w14:textId="77777777" w:rsidR="00A807E4" w:rsidRPr="00F24BF5" w:rsidRDefault="00000000" w:rsidP="00623C1B">
      <w:pPr>
        <w:spacing w:before="100" w:beforeAutospacing="1" w:after="100" w:afterAutospacing="1"/>
        <w:jc w:val="both"/>
        <w:rPr>
          <w:rFonts w:cs="Arial"/>
          <w:szCs w:val="20"/>
        </w:rPr>
      </w:pPr>
      <w:r w:rsidRPr="00F24BF5">
        <w:rPr>
          <w:rFonts w:cs="Arial"/>
          <w:szCs w:val="20"/>
        </w:rPr>
        <w:t>The row distribution across subsets is substantially non-uniform. FD004 contributes 38.1% of all training rows, whilst FD001 contributes only 12.8%. This disparity arises from the operational complexity of each subset: FD002 and FD004 are multi-regime datasets (six K-Means regimes) whilst FD001 and FD003 operate under a single fixed regime. The number of engines and the distribution of failure cycle lengths differ accordingly.</w:t>
      </w:r>
    </w:p>
    <w:p w14:paraId="1B19B79C" w14:textId="3FD4E948" w:rsidR="00A807E4" w:rsidRPr="005B0FA3" w:rsidRDefault="00000000" w:rsidP="00623C1B">
      <w:pPr>
        <w:spacing w:before="100" w:beforeAutospacing="1" w:after="100" w:afterAutospacing="1"/>
        <w:rPr>
          <w:rFonts w:cs="Arial"/>
          <w:i/>
          <w:iCs/>
        </w:rPr>
      </w:pPr>
      <w:r w:rsidRPr="005B0FA3">
        <w:rPr>
          <w:rFonts w:cs="Arial"/>
          <w:b/>
          <w:bCs/>
          <w:i/>
          <w:iCs/>
          <w:color w:val="1B3A5C"/>
        </w:rPr>
        <w:t>Table 3</w:t>
      </w:r>
      <w:r w:rsidR="00BD4886">
        <w:rPr>
          <w:rFonts w:cs="Arial"/>
          <w:b/>
          <w:bCs/>
          <w:i/>
          <w:iCs/>
          <w:color w:val="1B3A5C"/>
        </w:rPr>
        <w:t>.</w:t>
      </w:r>
      <w:r w:rsidRPr="005B0FA3">
        <w:rPr>
          <w:rFonts w:cs="Arial"/>
          <w:b/>
          <w:bCs/>
          <w:i/>
          <w:iCs/>
          <w:color w:val="1B3A5C"/>
        </w:rPr>
        <w:t xml:space="preserve"> G3 Subset Row Distribution and Terminal Fraction (Internal Train)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275"/>
        <w:gridCol w:w="1560"/>
        <w:gridCol w:w="2409"/>
        <w:gridCol w:w="1560"/>
      </w:tblGrid>
      <w:tr w:rsidR="000D6D4B" w:rsidRPr="005B0FA3" w14:paraId="3A43686A" w14:textId="77777777" w:rsidTr="00F24BF5">
        <w:trPr>
          <w:tblHeader/>
        </w:trPr>
        <w:tc>
          <w:tcPr>
            <w:tcW w:w="2122"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44A59FC8"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Subset</w:t>
            </w:r>
          </w:p>
        </w:tc>
        <w:tc>
          <w:tcPr>
            <w:tcW w:w="127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0EF99C5"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Row Count</w:t>
            </w:r>
          </w:p>
        </w:tc>
        <w:tc>
          <w:tcPr>
            <w:tcW w:w="156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2EAD370"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Proportion (%)</w:t>
            </w:r>
          </w:p>
        </w:tc>
        <w:tc>
          <w:tcPr>
            <w:tcW w:w="240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5BE445C"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Fault Modes</w:t>
            </w:r>
          </w:p>
        </w:tc>
        <w:tc>
          <w:tcPr>
            <w:tcW w:w="156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0F513AA4"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Regime Count</w:t>
            </w:r>
          </w:p>
        </w:tc>
      </w:tr>
      <w:tr w:rsidR="004C002F" w14:paraId="375FA90B" w14:textId="77777777" w:rsidTr="00F24BF5">
        <w:tc>
          <w:tcPr>
            <w:tcW w:w="2122" w:type="dxa"/>
            <w:shd w:val="clear" w:color="auto" w:fill="FFFFFF"/>
            <w:tcMar>
              <w:top w:w="80" w:type="dxa"/>
              <w:left w:w="120" w:type="dxa"/>
              <w:bottom w:w="80" w:type="dxa"/>
              <w:right w:w="120" w:type="dxa"/>
            </w:tcMar>
            <w:vAlign w:val="center"/>
          </w:tcPr>
          <w:p w14:paraId="4709853F" w14:textId="77777777" w:rsidR="00A807E4" w:rsidRPr="005B0FA3" w:rsidRDefault="00000000" w:rsidP="00623C1B">
            <w:pPr>
              <w:spacing w:before="100" w:beforeAutospacing="1" w:after="100" w:afterAutospacing="1"/>
              <w:rPr>
                <w:rFonts w:cs="Arial"/>
              </w:rPr>
            </w:pPr>
            <w:r w:rsidRPr="005B0FA3">
              <w:rPr>
                <w:rFonts w:cs="Arial"/>
                <w:sz w:val="18"/>
                <w:szCs w:val="18"/>
              </w:rPr>
              <w:t>FD001</w:t>
            </w:r>
          </w:p>
        </w:tc>
        <w:tc>
          <w:tcPr>
            <w:tcW w:w="1275" w:type="dxa"/>
            <w:shd w:val="clear" w:color="auto" w:fill="FFFFFF"/>
            <w:tcMar>
              <w:top w:w="80" w:type="dxa"/>
              <w:left w:w="120" w:type="dxa"/>
              <w:bottom w:w="80" w:type="dxa"/>
              <w:right w:w="120" w:type="dxa"/>
            </w:tcMar>
            <w:vAlign w:val="center"/>
          </w:tcPr>
          <w:p w14:paraId="53499A73" w14:textId="77777777" w:rsidR="00A807E4" w:rsidRPr="005B0FA3" w:rsidRDefault="00000000" w:rsidP="00623C1B">
            <w:pPr>
              <w:spacing w:before="100" w:beforeAutospacing="1" w:after="100" w:afterAutospacing="1"/>
              <w:rPr>
                <w:rFonts w:cs="Arial"/>
              </w:rPr>
            </w:pPr>
            <w:r w:rsidRPr="005B0FA3">
              <w:rPr>
                <w:rFonts w:cs="Arial"/>
                <w:sz w:val="18"/>
                <w:szCs w:val="18"/>
              </w:rPr>
              <w:t>16,561</w:t>
            </w:r>
          </w:p>
        </w:tc>
        <w:tc>
          <w:tcPr>
            <w:tcW w:w="1560" w:type="dxa"/>
            <w:shd w:val="clear" w:color="auto" w:fill="FFFFFF"/>
            <w:tcMar>
              <w:top w:w="80" w:type="dxa"/>
              <w:left w:w="120" w:type="dxa"/>
              <w:bottom w:w="80" w:type="dxa"/>
              <w:right w:w="120" w:type="dxa"/>
            </w:tcMar>
            <w:vAlign w:val="center"/>
          </w:tcPr>
          <w:p w14:paraId="49B72271" w14:textId="77777777" w:rsidR="00A807E4" w:rsidRPr="005B0FA3" w:rsidRDefault="00000000" w:rsidP="00623C1B">
            <w:pPr>
              <w:spacing w:before="100" w:beforeAutospacing="1" w:after="100" w:afterAutospacing="1"/>
              <w:rPr>
                <w:rFonts w:cs="Arial"/>
              </w:rPr>
            </w:pPr>
            <w:r w:rsidRPr="005B0FA3">
              <w:rPr>
                <w:rFonts w:cs="Arial"/>
                <w:sz w:val="18"/>
                <w:szCs w:val="18"/>
              </w:rPr>
              <w:t>12.8</w:t>
            </w:r>
          </w:p>
        </w:tc>
        <w:tc>
          <w:tcPr>
            <w:tcW w:w="2409" w:type="dxa"/>
            <w:shd w:val="clear" w:color="auto" w:fill="FFFFFF"/>
            <w:tcMar>
              <w:top w:w="80" w:type="dxa"/>
              <w:left w:w="120" w:type="dxa"/>
              <w:bottom w:w="80" w:type="dxa"/>
              <w:right w:w="120" w:type="dxa"/>
            </w:tcMar>
            <w:vAlign w:val="center"/>
          </w:tcPr>
          <w:p w14:paraId="11B11BC6" w14:textId="77777777" w:rsidR="00A807E4" w:rsidRPr="005B0FA3" w:rsidRDefault="00000000" w:rsidP="00623C1B">
            <w:pPr>
              <w:spacing w:before="100" w:beforeAutospacing="1" w:after="100" w:afterAutospacing="1"/>
              <w:rPr>
                <w:rFonts w:cs="Arial"/>
              </w:rPr>
            </w:pPr>
            <w:r w:rsidRPr="005B0FA3">
              <w:rPr>
                <w:rFonts w:cs="Arial"/>
                <w:sz w:val="18"/>
                <w:szCs w:val="18"/>
              </w:rPr>
              <w:t>Single (HPC degradation)</w:t>
            </w:r>
          </w:p>
        </w:tc>
        <w:tc>
          <w:tcPr>
            <w:tcW w:w="1560" w:type="dxa"/>
            <w:shd w:val="clear" w:color="auto" w:fill="FFFFFF"/>
            <w:tcMar>
              <w:top w:w="80" w:type="dxa"/>
              <w:left w:w="120" w:type="dxa"/>
              <w:bottom w:w="80" w:type="dxa"/>
              <w:right w:w="120" w:type="dxa"/>
            </w:tcMar>
            <w:vAlign w:val="center"/>
          </w:tcPr>
          <w:p w14:paraId="528342C9" w14:textId="77777777" w:rsidR="00A807E4" w:rsidRPr="005B0FA3" w:rsidRDefault="00000000" w:rsidP="00623C1B">
            <w:pPr>
              <w:spacing w:before="100" w:beforeAutospacing="1" w:after="100" w:afterAutospacing="1"/>
              <w:rPr>
                <w:rFonts w:cs="Arial"/>
              </w:rPr>
            </w:pPr>
            <w:r w:rsidRPr="005B0FA3">
              <w:rPr>
                <w:rFonts w:cs="Arial"/>
                <w:sz w:val="18"/>
                <w:szCs w:val="18"/>
              </w:rPr>
              <w:t>1</w:t>
            </w:r>
          </w:p>
        </w:tc>
      </w:tr>
      <w:tr w:rsidR="004C002F" w14:paraId="456E2B76" w14:textId="77777777" w:rsidTr="00F24BF5">
        <w:tc>
          <w:tcPr>
            <w:tcW w:w="2122" w:type="dxa"/>
            <w:shd w:val="clear" w:color="auto" w:fill="F0F4F8"/>
            <w:tcMar>
              <w:top w:w="80" w:type="dxa"/>
              <w:left w:w="120" w:type="dxa"/>
              <w:bottom w:w="80" w:type="dxa"/>
              <w:right w:w="120" w:type="dxa"/>
            </w:tcMar>
            <w:vAlign w:val="center"/>
          </w:tcPr>
          <w:p w14:paraId="4A7F46CA" w14:textId="77777777" w:rsidR="00A807E4" w:rsidRPr="005B0FA3" w:rsidRDefault="00000000" w:rsidP="00623C1B">
            <w:pPr>
              <w:spacing w:before="100" w:beforeAutospacing="1" w:after="100" w:afterAutospacing="1"/>
              <w:rPr>
                <w:rFonts w:cs="Arial"/>
              </w:rPr>
            </w:pPr>
            <w:r w:rsidRPr="005B0FA3">
              <w:rPr>
                <w:rFonts w:cs="Arial"/>
                <w:sz w:val="18"/>
                <w:szCs w:val="18"/>
              </w:rPr>
              <w:t>FD002</w:t>
            </w:r>
          </w:p>
        </w:tc>
        <w:tc>
          <w:tcPr>
            <w:tcW w:w="1275" w:type="dxa"/>
            <w:shd w:val="clear" w:color="auto" w:fill="F0F4F8"/>
            <w:tcMar>
              <w:top w:w="80" w:type="dxa"/>
              <w:left w:w="120" w:type="dxa"/>
              <w:bottom w:w="80" w:type="dxa"/>
              <w:right w:w="120" w:type="dxa"/>
            </w:tcMar>
            <w:vAlign w:val="center"/>
          </w:tcPr>
          <w:p w14:paraId="0FCB9ACA" w14:textId="77777777" w:rsidR="00A807E4" w:rsidRPr="005B0FA3" w:rsidRDefault="00000000" w:rsidP="00623C1B">
            <w:pPr>
              <w:spacing w:before="100" w:beforeAutospacing="1" w:after="100" w:afterAutospacing="1"/>
              <w:rPr>
                <w:rFonts w:cs="Arial"/>
              </w:rPr>
            </w:pPr>
            <w:r w:rsidRPr="005B0FA3">
              <w:rPr>
                <w:rFonts w:cs="Arial"/>
                <w:sz w:val="18"/>
                <w:szCs w:val="18"/>
              </w:rPr>
              <w:t>43,464</w:t>
            </w:r>
          </w:p>
        </w:tc>
        <w:tc>
          <w:tcPr>
            <w:tcW w:w="1560" w:type="dxa"/>
            <w:shd w:val="clear" w:color="auto" w:fill="F0F4F8"/>
            <w:tcMar>
              <w:top w:w="80" w:type="dxa"/>
              <w:left w:w="120" w:type="dxa"/>
              <w:bottom w:w="80" w:type="dxa"/>
              <w:right w:w="120" w:type="dxa"/>
            </w:tcMar>
            <w:vAlign w:val="center"/>
          </w:tcPr>
          <w:p w14:paraId="10FDDDF9" w14:textId="77777777" w:rsidR="00A807E4" w:rsidRPr="005B0FA3" w:rsidRDefault="00000000" w:rsidP="00623C1B">
            <w:pPr>
              <w:spacing w:before="100" w:beforeAutospacing="1" w:after="100" w:afterAutospacing="1"/>
              <w:rPr>
                <w:rFonts w:cs="Arial"/>
              </w:rPr>
            </w:pPr>
            <w:r w:rsidRPr="005B0FA3">
              <w:rPr>
                <w:rFonts w:cs="Arial"/>
                <w:sz w:val="18"/>
                <w:szCs w:val="18"/>
              </w:rPr>
              <w:t>33.6</w:t>
            </w:r>
          </w:p>
        </w:tc>
        <w:tc>
          <w:tcPr>
            <w:tcW w:w="2409" w:type="dxa"/>
            <w:shd w:val="clear" w:color="auto" w:fill="F0F4F8"/>
            <w:tcMar>
              <w:top w:w="80" w:type="dxa"/>
              <w:left w:w="120" w:type="dxa"/>
              <w:bottom w:w="80" w:type="dxa"/>
              <w:right w:w="120" w:type="dxa"/>
            </w:tcMar>
            <w:vAlign w:val="center"/>
          </w:tcPr>
          <w:p w14:paraId="763961D6" w14:textId="77777777" w:rsidR="00A807E4" w:rsidRPr="005B0FA3" w:rsidRDefault="00000000" w:rsidP="00623C1B">
            <w:pPr>
              <w:spacing w:before="100" w:beforeAutospacing="1" w:after="100" w:afterAutospacing="1"/>
              <w:rPr>
                <w:rFonts w:cs="Arial"/>
              </w:rPr>
            </w:pPr>
            <w:r w:rsidRPr="005B0FA3">
              <w:rPr>
                <w:rFonts w:cs="Arial"/>
                <w:sz w:val="18"/>
                <w:szCs w:val="18"/>
              </w:rPr>
              <w:t>Single (HPC degradation)</w:t>
            </w:r>
          </w:p>
        </w:tc>
        <w:tc>
          <w:tcPr>
            <w:tcW w:w="1560" w:type="dxa"/>
            <w:shd w:val="clear" w:color="auto" w:fill="F0F4F8"/>
            <w:tcMar>
              <w:top w:w="80" w:type="dxa"/>
              <w:left w:w="120" w:type="dxa"/>
              <w:bottom w:w="80" w:type="dxa"/>
              <w:right w:w="120" w:type="dxa"/>
            </w:tcMar>
            <w:vAlign w:val="center"/>
          </w:tcPr>
          <w:p w14:paraId="126B3A6B" w14:textId="77777777" w:rsidR="00A807E4" w:rsidRPr="005B0FA3" w:rsidRDefault="00000000" w:rsidP="00623C1B">
            <w:pPr>
              <w:spacing w:before="100" w:beforeAutospacing="1" w:after="100" w:afterAutospacing="1"/>
              <w:rPr>
                <w:rFonts w:cs="Arial"/>
              </w:rPr>
            </w:pPr>
            <w:r w:rsidRPr="005B0FA3">
              <w:rPr>
                <w:rFonts w:cs="Arial"/>
                <w:sz w:val="18"/>
                <w:szCs w:val="18"/>
              </w:rPr>
              <w:t>6</w:t>
            </w:r>
          </w:p>
        </w:tc>
      </w:tr>
      <w:tr w:rsidR="004C002F" w14:paraId="699D3438" w14:textId="77777777" w:rsidTr="00F24BF5">
        <w:trPr>
          <w:trHeight w:val="344"/>
        </w:trPr>
        <w:tc>
          <w:tcPr>
            <w:tcW w:w="2122" w:type="dxa"/>
            <w:shd w:val="clear" w:color="auto" w:fill="FFFFFF"/>
            <w:tcMar>
              <w:top w:w="80" w:type="dxa"/>
              <w:left w:w="120" w:type="dxa"/>
              <w:bottom w:w="80" w:type="dxa"/>
              <w:right w:w="120" w:type="dxa"/>
            </w:tcMar>
            <w:vAlign w:val="center"/>
          </w:tcPr>
          <w:p w14:paraId="1E91BCB7" w14:textId="77777777" w:rsidR="00A807E4" w:rsidRPr="005B0FA3" w:rsidRDefault="00000000" w:rsidP="00623C1B">
            <w:pPr>
              <w:spacing w:before="100" w:beforeAutospacing="1" w:after="100" w:afterAutospacing="1"/>
              <w:rPr>
                <w:rFonts w:cs="Arial"/>
              </w:rPr>
            </w:pPr>
            <w:r w:rsidRPr="005B0FA3">
              <w:rPr>
                <w:rFonts w:cs="Arial"/>
                <w:sz w:val="18"/>
                <w:szCs w:val="18"/>
              </w:rPr>
              <w:t>FD003</w:t>
            </w:r>
          </w:p>
        </w:tc>
        <w:tc>
          <w:tcPr>
            <w:tcW w:w="1275" w:type="dxa"/>
            <w:shd w:val="clear" w:color="auto" w:fill="FFFFFF"/>
            <w:tcMar>
              <w:top w:w="80" w:type="dxa"/>
              <w:left w:w="120" w:type="dxa"/>
              <w:bottom w:w="80" w:type="dxa"/>
              <w:right w:w="120" w:type="dxa"/>
            </w:tcMar>
            <w:vAlign w:val="center"/>
          </w:tcPr>
          <w:p w14:paraId="580168A9" w14:textId="77777777" w:rsidR="00A807E4" w:rsidRPr="005B0FA3" w:rsidRDefault="00000000" w:rsidP="00623C1B">
            <w:pPr>
              <w:spacing w:before="100" w:beforeAutospacing="1" w:after="100" w:afterAutospacing="1"/>
              <w:rPr>
                <w:rFonts w:cs="Arial"/>
              </w:rPr>
            </w:pPr>
            <w:r w:rsidRPr="005B0FA3">
              <w:rPr>
                <w:rFonts w:cs="Arial"/>
                <w:sz w:val="18"/>
                <w:szCs w:val="18"/>
              </w:rPr>
              <w:t>20,012</w:t>
            </w:r>
          </w:p>
        </w:tc>
        <w:tc>
          <w:tcPr>
            <w:tcW w:w="1560" w:type="dxa"/>
            <w:shd w:val="clear" w:color="auto" w:fill="FFFFFF"/>
            <w:tcMar>
              <w:top w:w="80" w:type="dxa"/>
              <w:left w:w="120" w:type="dxa"/>
              <w:bottom w:w="80" w:type="dxa"/>
              <w:right w:w="120" w:type="dxa"/>
            </w:tcMar>
            <w:vAlign w:val="center"/>
          </w:tcPr>
          <w:p w14:paraId="4918ED5E" w14:textId="77777777" w:rsidR="00A807E4" w:rsidRPr="005B0FA3" w:rsidRDefault="00000000" w:rsidP="00623C1B">
            <w:pPr>
              <w:spacing w:before="100" w:beforeAutospacing="1" w:after="100" w:afterAutospacing="1"/>
              <w:rPr>
                <w:rFonts w:cs="Arial"/>
              </w:rPr>
            </w:pPr>
            <w:r w:rsidRPr="005B0FA3">
              <w:rPr>
                <w:rFonts w:cs="Arial"/>
                <w:sz w:val="18"/>
                <w:szCs w:val="18"/>
              </w:rPr>
              <w:t>15.5</w:t>
            </w:r>
          </w:p>
        </w:tc>
        <w:tc>
          <w:tcPr>
            <w:tcW w:w="2409" w:type="dxa"/>
            <w:shd w:val="clear" w:color="auto" w:fill="FFFFFF"/>
            <w:tcMar>
              <w:top w:w="80" w:type="dxa"/>
              <w:left w:w="120" w:type="dxa"/>
              <w:bottom w:w="80" w:type="dxa"/>
              <w:right w:w="120" w:type="dxa"/>
            </w:tcMar>
            <w:vAlign w:val="center"/>
          </w:tcPr>
          <w:p w14:paraId="5C56FE0C" w14:textId="77777777" w:rsidR="00A807E4" w:rsidRPr="005B0FA3" w:rsidRDefault="00000000" w:rsidP="00623C1B">
            <w:pPr>
              <w:spacing w:before="100" w:beforeAutospacing="1" w:after="100" w:afterAutospacing="1"/>
              <w:rPr>
                <w:rFonts w:cs="Arial"/>
              </w:rPr>
            </w:pPr>
            <w:r w:rsidRPr="005B0FA3">
              <w:rPr>
                <w:rFonts w:cs="Arial"/>
                <w:sz w:val="18"/>
                <w:szCs w:val="18"/>
              </w:rPr>
              <w:t>Dual (HPC + Fan)</w:t>
            </w:r>
          </w:p>
        </w:tc>
        <w:tc>
          <w:tcPr>
            <w:tcW w:w="1560" w:type="dxa"/>
            <w:shd w:val="clear" w:color="auto" w:fill="FFFFFF"/>
            <w:tcMar>
              <w:top w:w="80" w:type="dxa"/>
              <w:left w:w="120" w:type="dxa"/>
              <w:bottom w:w="80" w:type="dxa"/>
              <w:right w:w="120" w:type="dxa"/>
            </w:tcMar>
            <w:vAlign w:val="center"/>
          </w:tcPr>
          <w:p w14:paraId="105CF678" w14:textId="77777777" w:rsidR="00A807E4" w:rsidRPr="005B0FA3" w:rsidRDefault="00000000" w:rsidP="00623C1B">
            <w:pPr>
              <w:spacing w:before="100" w:beforeAutospacing="1" w:after="100" w:afterAutospacing="1"/>
              <w:rPr>
                <w:rFonts w:cs="Arial"/>
              </w:rPr>
            </w:pPr>
            <w:r w:rsidRPr="005B0FA3">
              <w:rPr>
                <w:rFonts w:cs="Arial"/>
                <w:sz w:val="18"/>
                <w:szCs w:val="18"/>
              </w:rPr>
              <w:t>1</w:t>
            </w:r>
          </w:p>
        </w:tc>
      </w:tr>
      <w:tr w:rsidR="004C002F" w14:paraId="6526C4D3" w14:textId="77777777" w:rsidTr="00F24BF5">
        <w:tc>
          <w:tcPr>
            <w:tcW w:w="2122" w:type="dxa"/>
            <w:shd w:val="clear" w:color="auto" w:fill="F0F4F8"/>
            <w:tcMar>
              <w:top w:w="80" w:type="dxa"/>
              <w:left w:w="120" w:type="dxa"/>
              <w:bottom w:w="80" w:type="dxa"/>
              <w:right w:w="120" w:type="dxa"/>
            </w:tcMar>
            <w:vAlign w:val="center"/>
          </w:tcPr>
          <w:p w14:paraId="05E752F1" w14:textId="77777777" w:rsidR="00A807E4" w:rsidRPr="005B0FA3" w:rsidRDefault="00000000" w:rsidP="00623C1B">
            <w:pPr>
              <w:spacing w:before="100" w:beforeAutospacing="1" w:after="100" w:afterAutospacing="1"/>
              <w:rPr>
                <w:rFonts w:cs="Arial"/>
              </w:rPr>
            </w:pPr>
            <w:r w:rsidRPr="005B0FA3">
              <w:rPr>
                <w:rFonts w:cs="Arial"/>
                <w:sz w:val="18"/>
                <w:szCs w:val="18"/>
              </w:rPr>
              <w:t>FD004</w:t>
            </w:r>
          </w:p>
        </w:tc>
        <w:tc>
          <w:tcPr>
            <w:tcW w:w="1275" w:type="dxa"/>
            <w:shd w:val="clear" w:color="auto" w:fill="F0F4F8"/>
            <w:tcMar>
              <w:top w:w="80" w:type="dxa"/>
              <w:left w:w="120" w:type="dxa"/>
              <w:bottom w:w="80" w:type="dxa"/>
              <w:right w:w="120" w:type="dxa"/>
            </w:tcMar>
            <w:vAlign w:val="center"/>
          </w:tcPr>
          <w:p w14:paraId="16659C61" w14:textId="77777777" w:rsidR="00A807E4" w:rsidRPr="005B0FA3" w:rsidRDefault="00000000" w:rsidP="00623C1B">
            <w:pPr>
              <w:spacing w:before="100" w:beforeAutospacing="1" w:after="100" w:afterAutospacing="1"/>
              <w:rPr>
                <w:rFonts w:cs="Arial"/>
              </w:rPr>
            </w:pPr>
            <w:r w:rsidRPr="005B0FA3">
              <w:rPr>
                <w:rFonts w:cs="Arial"/>
                <w:sz w:val="18"/>
                <w:szCs w:val="18"/>
              </w:rPr>
              <w:t>49,294</w:t>
            </w:r>
          </w:p>
        </w:tc>
        <w:tc>
          <w:tcPr>
            <w:tcW w:w="1560" w:type="dxa"/>
            <w:shd w:val="clear" w:color="auto" w:fill="F0F4F8"/>
            <w:tcMar>
              <w:top w:w="80" w:type="dxa"/>
              <w:left w:w="120" w:type="dxa"/>
              <w:bottom w:w="80" w:type="dxa"/>
              <w:right w:w="120" w:type="dxa"/>
            </w:tcMar>
            <w:vAlign w:val="center"/>
          </w:tcPr>
          <w:p w14:paraId="532CEAE3" w14:textId="77777777" w:rsidR="00A807E4" w:rsidRPr="005B0FA3" w:rsidRDefault="00000000" w:rsidP="00623C1B">
            <w:pPr>
              <w:spacing w:before="100" w:beforeAutospacing="1" w:after="100" w:afterAutospacing="1"/>
              <w:rPr>
                <w:rFonts w:cs="Arial"/>
              </w:rPr>
            </w:pPr>
            <w:r w:rsidRPr="005B0FA3">
              <w:rPr>
                <w:rFonts w:cs="Arial"/>
                <w:sz w:val="18"/>
                <w:szCs w:val="18"/>
              </w:rPr>
              <w:t>38.1</w:t>
            </w:r>
          </w:p>
        </w:tc>
        <w:tc>
          <w:tcPr>
            <w:tcW w:w="2409" w:type="dxa"/>
            <w:shd w:val="clear" w:color="auto" w:fill="F0F4F8"/>
            <w:tcMar>
              <w:top w:w="80" w:type="dxa"/>
              <w:left w:w="120" w:type="dxa"/>
              <w:bottom w:w="80" w:type="dxa"/>
              <w:right w:w="120" w:type="dxa"/>
            </w:tcMar>
            <w:vAlign w:val="center"/>
          </w:tcPr>
          <w:p w14:paraId="7D3BE266" w14:textId="77777777" w:rsidR="00A807E4" w:rsidRPr="005B0FA3" w:rsidRDefault="00000000" w:rsidP="00623C1B">
            <w:pPr>
              <w:spacing w:before="100" w:beforeAutospacing="1" w:after="100" w:afterAutospacing="1"/>
              <w:rPr>
                <w:rFonts w:cs="Arial"/>
              </w:rPr>
            </w:pPr>
            <w:r w:rsidRPr="005B0FA3">
              <w:rPr>
                <w:rFonts w:cs="Arial"/>
                <w:sz w:val="18"/>
                <w:szCs w:val="18"/>
              </w:rPr>
              <w:t>Dual (HPC + Fan)</w:t>
            </w:r>
          </w:p>
        </w:tc>
        <w:tc>
          <w:tcPr>
            <w:tcW w:w="1560" w:type="dxa"/>
            <w:shd w:val="clear" w:color="auto" w:fill="F0F4F8"/>
            <w:tcMar>
              <w:top w:w="80" w:type="dxa"/>
              <w:left w:w="120" w:type="dxa"/>
              <w:bottom w:w="80" w:type="dxa"/>
              <w:right w:w="120" w:type="dxa"/>
            </w:tcMar>
            <w:vAlign w:val="center"/>
          </w:tcPr>
          <w:p w14:paraId="7D695E62" w14:textId="77777777" w:rsidR="00A807E4" w:rsidRPr="005B0FA3" w:rsidRDefault="00000000" w:rsidP="00623C1B">
            <w:pPr>
              <w:spacing w:before="100" w:beforeAutospacing="1" w:after="100" w:afterAutospacing="1"/>
              <w:rPr>
                <w:rFonts w:cs="Arial"/>
              </w:rPr>
            </w:pPr>
            <w:r w:rsidRPr="005B0FA3">
              <w:rPr>
                <w:rFonts w:cs="Arial"/>
                <w:sz w:val="18"/>
                <w:szCs w:val="18"/>
              </w:rPr>
              <w:t>6</w:t>
            </w:r>
          </w:p>
        </w:tc>
      </w:tr>
      <w:tr w:rsidR="004C002F" w14:paraId="5D3D8CC9" w14:textId="77777777" w:rsidTr="00F24BF5">
        <w:tc>
          <w:tcPr>
            <w:tcW w:w="2122" w:type="dxa"/>
            <w:shd w:val="clear" w:color="auto" w:fill="FFFFFF"/>
            <w:tcMar>
              <w:top w:w="80" w:type="dxa"/>
              <w:left w:w="120" w:type="dxa"/>
              <w:bottom w:w="80" w:type="dxa"/>
              <w:right w:w="120" w:type="dxa"/>
            </w:tcMar>
            <w:vAlign w:val="center"/>
          </w:tcPr>
          <w:p w14:paraId="743852E0" w14:textId="55823902" w:rsidR="00A807E4" w:rsidRPr="005B0FA3" w:rsidRDefault="00000000" w:rsidP="00623C1B">
            <w:pPr>
              <w:spacing w:before="100" w:beforeAutospacing="1" w:after="100" w:afterAutospacing="1"/>
              <w:rPr>
                <w:rFonts w:cs="Arial"/>
              </w:rPr>
            </w:pPr>
            <w:r w:rsidRPr="005B0FA3">
              <w:rPr>
                <w:rFonts w:cs="Arial"/>
                <w:sz w:val="18"/>
                <w:szCs w:val="18"/>
              </w:rPr>
              <w:t xml:space="preserve">Terminal </w:t>
            </w:r>
            <m:oMath>
              <m:r>
                <w:rPr>
                  <w:rFonts w:ascii="Cambria Math" w:hAnsi="Cambria Math" w:cs="Arial"/>
                  <w:sz w:val="18"/>
                  <w:szCs w:val="18"/>
                </w:rPr>
                <m:t>(RUL &lt; 30)</m:t>
              </m:r>
            </m:oMath>
          </w:p>
        </w:tc>
        <w:tc>
          <w:tcPr>
            <w:tcW w:w="1275" w:type="dxa"/>
            <w:shd w:val="clear" w:color="auto" w:fill="FFFFFF"/>
            <w:tcMar>
              <w:top w:w="80" w:type="dxa"/>
              <w:left w:w="120" w:type="dxa"/>
              <w:bottom w:w="80" w:type="dxa"/>
              <w:right w:w="120" w:type="dxa"/>
            </w:tcMar>
            <w:vAlign w:val="center"/>
          </w:tcPr>
          <w:p w14:paraId="2FD03E95" w14:textId="77777777" w:rsidR="00A807E4" w:rsidRPr="005B0FA3" w:rsidRDefault="00000000" w:rsidP="00623C1B">
            <w:pPr>
              <w:spacing w:before="100" w:beforeAutospacing="1" w:after="100" w:afterAutospacing="1"/>
              <w:rPr>
                <w:rFonts w:cs="Arial"/>
              </w:rPr>
            </w:pPr>
            <w:r w:rsidRPr="005B0FA3">
              <w:rPr>
                <w:rFonts w:cs="Arial"/>
                <w:sz w:val="18"/>
                <w:szCs w:val="18"/>
              </w:rPr>
              <w:t>17,010</w:t>
            </w:r>
          </w:p>
        </w:tc>
        <w:tc>
          <w:tcPr>
            <w:tcW w:w="1560" w:type="dxa"/>
            <w:shd w:val="clear" w:color="auto" w:fill="FFFFFF"/>
            <w:tcMar>
              <w:top w:w="80" w:type="dxa"/>
              <w:left w:w="120" w:type="dxa"/>
              <w:bottom w:w="80" w:type="dxa"/>
              <w:right w:w="120" w:type="dxa"/>
            </w:tcMar>
            <w:vAlign w:val="center"/>
          </w:tcPr>
          <w:p w14:paraId="62FDA07C" w14:textId="77777777" w:rsidR="00A807E4" w:rsidRPr="005B0FA3" w:rsidRDefault="00000000" w:rsidP="00623C1B">
            <w:pPr>
              <w:spacing w:before="100" w:beforeAutospacing="1" w:after="100" w:afterAutospacing="1"/>
              <w:rPr>
                <w:rFonts w:cs="Arial"/>
              </w:rPr>
            </w:pPr>
            <w:r w:rsidRPr="005B0FA3">
              <w:rPr>
                <w:rFonts w:cs="Arial"/>
                <w:sz w:val="18"/>
                <w:szCs w:val="18"/>
              </w:rPr>
              <w:t>13.2</w:t>
            </w:r>
          </w:p>
        </w:tc>
        <w:tc>
          <w:tcPr>
            <w:tcW w:w="2409" w:type="dxa"/>
            <w:shd w:val="clear" w:color="auto" w:fill="FFFFFF"/>
            <w:tcMar>
              <w:top w:w="80" w:type="dxa"/>
              <w:left w:w="120" w:type="dxa"/>
              <w:bottom w:w="80" w:type="dxa"/>
              <w:right w:w="120" w:type="dxa"/>
            </w:tcMar>
            <w:vAlign w:val="center"/>
          </w:tcPr>
          <w:p w14:paraId="3702A464" w14:textId="77777777" w:rsidR="00A807E4" w:rsidRPr="005B0FA3" w:rsidRDefault="00000000" w:rsidP="00623C1B">
            <w:pPr>
              <w:spacing w:before="100" w:beforeAutospacing="1" w:after="100" w:afterAutospacing="1"/>
              <w:rPr>
                <w:rFonts w:cs="Arial"/>
              </w:rPr>
            </w:pPr>
            <w:r w:rsidRPr="005B0FA3">
              <w:rPr>
                <w:rFonts w:cs="Arial"/>
                <w:sz w:val="18"/>
                <w:szCs w:val="18"/>
              </w:rPr>
              <w:t>—</w:t>
            </w:r>
          </w:p>
        </w:tc>
        <w:tc>
          <w:tcPr>
            <w:tcW w:w="1560" w:type="dxa"/>
            <w:shd w:val="clear" w:color="auto" w:fill="FFFFFF"/>
            <w:tcMar>
              <w:top w:w="80" w:type="dxa"/>
              <w:left w:w="120" w:type="dxa"/>
              <w:bottom w:w="80" w:type="dxa"/>
              <w:right w:w="120" w:type="dxa"/>
            </w:tcMar>
            <w:vAlign w:val="center"/>
          </w:tcPr>
          <w:p w14:paraId="7B696704" w14:textId="77777777" w:rsidR="00A807E4" w:rsidRPr="005B0FA3" w:rsidRDefault="00000000" w:rsidP="00623C1B">
            <w:pPr>
              <w:spacing w:before="100" w:beforeAutospacing="1" w:after="100" w:afterAutospacing="1"/>
              <w:rPr>
                <w:rFonts w:cs="Arial"/>
              </w:rPr>
            </w:pPr>
            <w:r w:rsidRPr="005B0FA3">
              <w:rPr>
                <w:rFonts w:cs="Arial"/>
                <w:sz w:val="18"/>
                <w:szCs w:val="18"/>
              </w:rPr>
              <w:t>—</w:t>
            </w:r>
          </w:p>
        </w:tc>
      </w:tr>
    </w:tbl>
    <w:p w14:paraId="275D965D" w14:textId="11A7D335" w:rsidR="000E1C63" w:rsidRPr="00F24BF5" w:rsidRDefault="000E1C63" w:rsidP="000E1C63">
      <w:pPr>
        <w:spacing w:before="100" w:beforeAutospacing="1" w:after="100" w:afterAutospacing="1"/>
        <w:jc w:val="both"/>
        <w:rPr>
          <w:rFonts w:cs="Arial"/>
          <w:szCs w:val="20"/>
        </w:rPr>
      </w:pPr>
      <w:r w:rsidRPr="00F24BF5">
        <w:rPr>
          <w:rFonts w:cs="Arial"/>
          <w:szCs w:val="20"/>
        </w:rPr>
        <w:t>The terminal fraction of 13.2%</w:t>
      </w:r>
      <w:r w:rsidR="00B45DA7" w:rsidRPr="00F24BF5">
        <w:rPr>
          <w:rStyle w:val="FootnoteReference"/>
          <w:rFonts w:cs="Arial"/>
          <w:color w:val="E97132" w:themeColor="accent2"/>
          <w:szCs w:val="20"/>
        </w:rPr>
        <w:footnoteReference w:id="1"/>
      </w:r>
      <w:r w:rsidRPr="00F24BF5">
        <w:rPr>
          <w:rFonts w:cs="Arial"/>
          <w:szCs w:val="20"/>
        </w:rPr>
        <w:t xml:space="preserve"> is computed at the row (cycle-observation) level; all engines in FD00u reach failure by construction. Each engine contributes one row per operating cycle, meaning a long-trajectory engine of 300 cycles contributes 270 observations to the healthy regime and only 30 to the </w:t>
      </w:r>
      <w:r w:rsidRPr="00F24BF5">
        <w:rPr>
          <w:rFonts w:cs="Arial"/>
          <w:szCs w:val="20"/>
        </w:rPr>
        <w:lastRenderedPageBreak/>
        <w:t>terminal window, whilst a short-trajectory engine of 50 cycles contributes 20 healthy rows and 30 terminal rows. The consequence is that when the model processes any given observation during training, 86.8% of the time it is presented with healthy operating data, and only 13.2% of the time with a terminal degradation signal. The critical degradation behaviour — the very dynamics the model must learn most precisely — therefore appears relatively rarely in the row-level training corpus. This structural imbalance is analogous to the class imbalance problem in binary classification: the model must infer RUL dynamics from a sparse terminal signal embedded within abundant healthy-operating data, a condition that is not remedied by the run-to-failure construction of the dataset and which persists regardless of engine count.</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0E1C63" w:rsidRPr="005B0FA3" w14:paraId="54178306" w14:textId="77777777" w:rsidTr="00E90413">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4C5E2E00" w14:textId="5285BBD2" w:rsidR="000E1C63" w:rsidRPr="005B0FA3" w:rsidRDefault="000E1C63" w:rsidP="00885E3D">
            <w:pPr>
              <w:spacing w:before="100" w:beforeAutospacing="1" w:after="100" w:afterAutospacing="1"/>
              <w:jc w:val="both"/>
              <w:rPr>
                <w:rFonts w:cs="Arial"/>
                <w:color w:val="91192E"/>
                <w:sz w:val="18"/>
                <w:szCs w:val="18"/>
              </w:rPr>
            </w:pPr>
            <w:r w:rsidRPr="005B0FA3">
              <w:rPr>
                <w:rFonts w:cs="Arial"/>
                <w:color w:val="91192E"/>
                <w:sz w:val="18"/>
                <w:szCs w:val="18"/>
              </w:rPr>
              <w:t>Disposition: XGBoost uses gradient boosting, which iteratively re-weights residuals, providing inherent robustness to output-space imbalance</w:t>
            </w:r>
            <w:sdt>
              <w:sdtPr>
                <w:rPr>
                  <w:rFonts w:cs="Arial"/>
                  <w:color w:val="91192E"/>
                  <w:sz w:val="18"/>
                  <w:szCs w:val="18"/>
                </w:rPr>
                <w:id w:val="1042325122"/>
                <w:citation/>
              </w:sdtPr>
              <w:sdtContent>
                <w:r w:rsidRPr="005B0FA3">
                  <w:rPr>
                    <w:rFonts w:cs="Arial"/>
                    <w:color w:val="91192E"/>
                    <w:sz w:val="18"/>
                    <w:szCs w:val="18"/>
                  </w:rPr>
                  <w:fldChar w:fldCharType="begin"/>
                </w:r>
                <w:r w:rsidRPr="005B0FA3">
                  <w:rPr>
                    <w:rFonts w:cs="Arial"/>
                    <w:color w:val="91192E"/>
                    <w:sz w:val="18"/>
                    <w:szCs w:val="18"/>
                  </w:rPr>
                  <w:instrText xml:space="preserve"> CITATION Che16 \l 2057 </w:instrText>
                </w:r>
                <w:r w:rsidRPr="005B0FA3">
                  <w:rPr>
                    <w:rFonts w:cs="Arial"/>
                    <w:color w:val="91192E"/>
                    <w:sz w:val="18"/>
                    <w:szCs w:val="18"/>
                  </w:rPr>
                  <w:fldChar w:fldCharType="separate"/>
                </w:r>
                <w:r w:rsidR="0074017E">
                  <w:rPr>
                    <w:rFonts w:cs="Arial"/>
                    <w:noProof/>
                    <w:color w:val="91192E"/>
                    <w:sz w:val="18"/>
                    <w:szCs w:val="18"/>
                  </w:rPr>
                  <w:t xml:space="preserve"> </w:t>
                </w:r>
                <w:r w:rsidR="0074017E" w:rsidRPr="0074017E">
                  <w:rPr>
                    <w:rFonts w:cs="Arial"/>
                    <w:noProof/>
                    <w:color w:val="91192E"/>
                    <w:sz w:val="18"/>
                    <w:szCs w:val="18"/>
                  </w:rPr>
                  <w:t>[4]</w:t>
                </w:r>
                <w:r w:rsidRPr="005B0FA3">
                  <w:rPr>
                    <w:rFonts w:cs="Arial"/>
                    <w:color w:val="91192E"/>
                    <w:sz w:val="18"/>
                    <w:szCs w:val="18"/>
                  </w:rPr>
                  <w:fldChar w:fldCharType="end"/>
                </w:r>
              </w:sdtContent>
            </w:sdt>
            <w:r w:rsidRPr="005B0FA3">
              <w:rPr>
                <w:rFonts w:cs="Arial"/>
                <w:color w:val="91192E"/>
                <w:sz w:val="18"/>
                <w:szCs w:val="18"/>
              </w:rPr>
              <w:t>. Subset-stratified sampling will be evaluated empirically in Phase 4 if SHAP analysis or residual diagnostics reveal systematic bias against terminal predictions. No corrective action is taken at Phase 3.</w:t>
            </w:r>
          </w:p>
        </w:tc>
      </w:tr>
    </w:tbl>
    <w:p w14:paraId="08C20B4E" w14:textId="635D3361" w:rsidR="001065D2" w:rsidRPr="00F24BF5" w:rsidRDefault="00F24BF5" w:rsidP="001065D2">
      <w:pPr>
        <w:spacing w:before="100" w:beforeAutospacing="1" w:after="100" w:afterAutospacing="1"/>
        <w:rPr>
          <w:rFonts w:cs="Arial"/>
          <w:i/>
          <w:iCs/>
          <w:szCs w:val="20"/>
        </w:rPr>
      </w:pPr>
      <w:r w:rsidRPr="005B0FA3">
        <w:rPr>
          <w:rFonts w:cs="Arial"/>
          <w:noProof/>
        </w:rPr>
        <w:drawing>
          <wp:anchor distT="0" distB="0" distL="114300" distR="114300" simplePos="0" relativeHeight="251660288" behindDoc="0" locked="0" layoutInCell="1" allowOverlap="1" wp14:anchorId="01051863" wp14:editId="6D018F88">
            <wp:simplePos x="0" y="0"/>
            <wp:positionH relativeFrom="column">
              <wp:align>left</wp:align>
            </wp:positionH>
            <wp:positionV relativeFrom="paragraph">
              <wp:posOffset>500380</wp:posOffset>
            </wp:positionV>
            <wp:extent cx="5324400" cy="1872000"/>
            <wp:effectExtent l="0" t="0" r="0" b="0"/>
            <wp:wrapSquare wrapText="bothSides"/>
            <wp:docPr id="1706362380"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62380" name="Picture 1" descr="A graph of different sizes and colo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4400" cy="187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065D2" w:rsidRPr="00F24BF5">
        <w:rPr>
          <w:rFonts w:cs="Arial"/>
          <w:b/>
          <w:bCs/>
          <w:i/>
          <w:iCs/>
          <w:color w:val="1B3A5C"/>
          <w:szCs w:val="20"/>
        </w:rPr>
        <w:t>Figure 1. Row Count Distribution and RUL Density by Subset (Internal Train)</w:t>
      </w:r>
    </w:p>
    <w:p w14:paraId="47B9A4ED" w14:textId="7843FD66" w:rsidR="001065D2" w:rsidRPr="005B0FA3" w:rsidRDefault="001065D2" w:rsidP="00B80538">
      <w:pPr>
        <w:pStyle w:val="font-claude-response-body"/>
        <w:jc w:val="both"/>
        <w:rPr>
          <w:rFonts w:cs="Arial"/>
          <w:szCs w:val="20"/>
        </w:rPr>
      </w:pPr>
      <w:r w:rsidRPr="005B0FA3">
        <w:rPr>
          <w:rFonts w:cs="Arial"/>
          <w:szCs w:val="20"/>
        </w:rPr>
        <w:t>Figure 1: The left panel confirms the structural row imbalance across FD00u: FD004 dominates the corpus at approximately 49,000 rows, whilst FD001 contributes the fewest at approximately 16,500 rows — a disparity of roughly 3:1 driven by the greater number of engines and longer average trajectories in the multi-regime subsets</w:t>
      </w:r>
      <w:r w:rsidR="00D461C5" w:rsidRPr="005B0FA3">
        <w:rPr>
          <w:rFonts w:cs="Arial"/>
          <w:szCs w:val="20"/>
        </w:rPr>
        <w:t xml:space="preserve"> </w:t>
      </w:r>
      <w:r w:rsidRPr="005B0FA3">
        <w:rPr>
          <w:rFonts w:cs="Arial"/>
          <w:szCs w:val="20"/>
        </w:rPr>
        <w:t>. The right panel reveals why this imbalance carries modelling implications beyond simple sample size: all four subsets share a near-identical RUL density profile, with a pronounced mass concentrated at the piecewise-linear plateau ceiling of 125 cycles and a sharp left-side truncation at end of life</w:t>
      </w:r>
      <w:r w:rsidRPr="005B0FA3">
        <w:rPr>
          <w:rStyle w:val="FootnoteReference"/>
          <w:rFonts w:cs="Arial"/>
          <w:color w:val="E97132" w:themeColor="accent2"/>
          <w:szCs w:val="20"/>
        </w:rPr>
        <w:footnoteReference w:id="2"/>
      </w:r>
      <w:r w:rsidRPr="005B0FA3">
        <w:rPr>
          <w:rFonts w:cs="Arial"/>
          <w:szCs w:val="20"/>
        </w:rPr>
        <w:t>. The plateau arises directly from the clipped RUL target construction, where all cycles beyond 125 cycles from failure are assigned a capped value. The consequence is that the majority of row-level observations — irrespective of subset — are drawn from the plateau regime rather than the degradation window, reinforcing the terminal sparsity problem identified in Table 3. The near-perfect overlap of the four density curves further confirms that the RUL target distribution is structurally consistent across subsets, meaning the class imbalance is a property of the dataset construction, not a subset-specific artefact.</w:t>
      </w:r>
    </w:p>
    <w:p w14:paraId="130A6E01" w14:textId="77777777" w:rsidR="009B23CF" w:rsidRDefault="009B23CF">
      <w:pPr>
        <w:rPr>
          <w:rFonts w:eastAsia="Arial" w:cs="Arial"/>
          <w:b/>
          <w:bCs/>
          <w:color w:val="1B3A5C"/>
          <w:sz w:val="28"/>
        </w:rPr>
      </w:pPr>
      <w:r>
        <w:br w:type="page"/>
      </w:r>
    </w:p>
    <w:p w14:paraId="3B5DD8BE" w14:textId="0D8DC6A5" w:rsidR="00A807E4" w:rsidRPr="005B0FA3" w:rsidRDefault="000D6D4B" w:rsidP="00623C1B">
      <w:pPr>
        <w:pStyle w:val="Heading2"/>
        <w:spacing w:before="100" w:beforeAutospacing="1" w:after="100" w:afterAutospacing="1"/>
      </w:pPr>
      <w:r w:rsidRPr="005B0FA3">
        <w:lastRenderedPageBreak/>
        <w:t>4.3  G4 — Regime Row Imbalance</w:t>
      </w:r>
      <w:r w:rsidR="004313AF" w:rsidRPr="005B0FA3">
        <w:t xml:space="preserve"> (Cell 9)</w:t>
      </w:r>
    </w:p>
    <w:p w14:paraId="2946C92A" w14:textId="79BE0E2F" w:rsidR="00A807E4" w:rsidRPr="00F24BF5" w:rsidRDefault="00000000" w:rsidP="00623C1B">
      <w:pPr>
        <w:spacing w:before="100" w:beforeAutospacing="1" w:after="100" w:afterAutospacing="1"/>
        <w:jc w:val="both"/>
        <w:rPr>
          <w:rFonts w:cs="Arial"/>
          <w:szCs w:val="20"/>
        </w:rPr>
      </w:pPr>
      <w:r w:rsidRPr="00F24BF5">
        <w:rPr>
          <w:rFonts w:cs="Arial"/>
          <w:szCs w:val="20"/>
        </w:rPr>
        <w:t>Within the multi-regime subsets (FD002, FD004), the K-Means regime assignment produces a non-uniform distribution of rows across the six operational regimes. The overall distribution across all training data is shown in Table 4.</w:t>
      </w:r>
    </w:p>
    <w:p w14:paraId="60344459" w14:textId="46230E2F" w:rsidR="009F583B" w:rsidRPr="00F24BF5" w:rsidRDefault="00000000" w:rsidP="009F583B">
      <w:pPr>
        <w:spacing w:before="100" w:beforeAutospacing="1" w:after="100" w:afterAutospacing="1"/>
        <w:rPr>
          <w:rFonts w:cs="Arial"/>
          <w:b/>
          <w:bCs/>
          <w:i/>
          <w:iCs/>
          <w:color w:val="1B3A5C"/>
          <w:szCs w:val="20"/>
        </w:rPr>
      </w:pPr>
      <w:r w:rsidRPr="00F24BF5">
        <w:rPr>
          <w:rFonts w:cs="Arial"/>
          <w:b/>
          <w:bCs/>
          <w:i/>
          <w:iCs/>
          <w:color w:val="1B3A5C"/>
          <w:szCs w:val="20"/>
        </w:rPr>
        <w:t>Table 4</w:t>
      </w:r>
      <w:r w:rsidR="00BD4886">
        <w:rPr>
          <w:rFonts w:cs="Arial"/>
          <w:b/>
          <w:bCs/>
          <w:i/>
          <w:iCs/>
          <w:color w:val="1B3A5C"/>
          <w:szCs w:val="20"/>
        </w:rPr>
        <w:t>.</w:t>
      </w:r>
      <w:r w:rsidRPr="00F24BF5">
        <w:rPr>
          <w:rFonts w:cs="Arial"/>
          <w:b/>
          <w:bCs/>
          <w:i/>
          <w:iCs/>
          <w:color w:val="1B3A5C"/>
          <w:szCs w:val="20"/>
        </w:rPr>
        <w:t xml:space="preserve"> G4 Regime Row Distribution </w:t>
      </w:r>
      <w:r w:rsidR="009F583B" w:rsidRPr="00F24BF5">
        <w:rPr>
          <w:rFonts w:cs="Arial"/>
          <w:b/>
          <w:bCs/>
          <w:i/>
          <w:iCs/>
          <w:color w:val="1B3A5C"/>
          <w:szCs w:val="20"/>
        </w:rPr>
        <w:t>by Subset (Internal Train)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296"/>
        <w:gridCol w:w="1295"/>
        <w:gridCol w:w="1295"/>
        <w:gridCol w:w="1295"/>
        <w:gridCol w:w="1295"/>
        <w:gridCol w:w="1295"/>
      </w:tblGrid>
      <w:tr w:rsidR="009F583B" w:rsidRPr="005B0FA3" w14:paraId="163DBC57" w14:textId="77777777" w:rsidTr="009F583B">
        <w:trPr>
          <w:tblHeader/>
        </w:trPr>
        <w:tc>
          <w:tcPr>
            <w:tcW w:w="1296"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502EFF25" w14:textId="7969AE51" w:rsidR="009F583B" w:rsidRPr="005B0FA3" w:rsidRDefault="009F583B" w:rsidP="00885E3D">
            <w:pPr>
              <w:spacing w:before="100" w:beforeAutospacing="1" w:after="100" w:afterAutospacing="1"/>
              <w:jc w:val="center"/>
              <w:rPr>
                <w:rFonts w:cs="Arial"/>
              </w:rPr>
            </w:pPr>
            <w:r w:rsidRPr="005B0FA3">
              <w:rPr>
                <w:rFonts w:cs="Arial"/>
                <w:b/>
                <w:bCs/>
                <w:color w:val="FFFFFF"/>
                <w:sz w:val="18"/>
                <w:szCs w:val="18"/>
              </w:rPr>
              <w:t>Regime</w:t>
            </w:r>
          </w:p>
        </w:tc>
        <w:tc>
          <w:tcPr>
            <w:tcW w:w="129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5FF0F1A" w14:textId="26E13468" w:rsidR="009F583B" w:rsidRPr="005B0FA3" w:rsidRDefault="009F583B" w:rsidP="00885E3D">
            <w:pPr>
              <w:spacing w:before="100" w:beforeAutospacing="1" w:after="100" w:afterAutospacing="1"/>
              <w:jc w:val="center"/>
              <w:rPr>
                <w:rFonts w:cs="Arial"/>
              </w:rPr>
            </w:pPr>
            <w:r w:rsidRPr="005B0FA3">
              <w:rPr>
                <w:rFonts w:cs="Arial"/>
                <w:b/>
                <w:bCs/>
                <w:color w:val="FFFFFF"/>
                <w:sz w:val="18"/>
                <w:szCs w:val="18"/>
              </w:rPr>
              <w:t>FD001</w:t>
            </w:r>
          </w:p>
        </w:tc>
        <w:tc>
          <w:tcPr>
            <w:tcW w:w="129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4F31810" w14:textId="7BF18A37" w:rsidR="009F583B" w:rsidRPr="005B0FA3" w:rsidRDefault="009F583B" w:rsidP="00885E3D">
            <w:pPr>
              <w:spacing w:before="100" w:beforeAutospacing="1" w:after="100" w:afterAutospacing="1"/>
              <w:jc w:val="center"/>
              <w:rPr>
                <w:rFonts w:cs="Arial"/>
              </w:rPr>
            </w:pPr>
            <w:r w:rsidRPr="005B0FA3">
              <w:rPr>
                <w:rFonts w:cs="Arial"/>
                <w:b/>
                <w:bCs/>
                <w:color w:val="FFFFFF"/>
                <w:sz w:val="18"/>
                <w:szCs w:val="18"/>
              </w:rPr>
              <w:t>FD002</w:t>
            </w:r>
          </w:p>
        </w:tc>
        <w:tc>
          <w:tcPr>
            <w:tcW w:w="129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CEED974" w14:textId="0787D80A" w:rsidR="009F583B" w:rsidRPr="005B0FA3" w:rsidRDefault="009F583B" w:rsidP="00885E3D">
            <w:pPr>
              <w:spacing w:before="100" w:beforeAutospacing="1" w:after="100" w:afterAutospacing="1"/>
              <w:jc w:val="center"/>
              <w:rPr>
                <w:rFonts w:cs="Arial"/>
              </w:rPr>
            </w:pPr>
            <w:r w:rsidRPr="005B0FA3">
              <w:rPr>
                <w:rFonts w:cs="Arial"/>
                <w:b/>
                <w:bCs/>
                <w:color w:val="FFFFFF"/>
                <w:sz w:val="18"/>
                <w:szCs w:val="18"/>
              </w:rPr>
              <w:t>FD003</w:t>
            </w:r>
          </w:p>
        </w:tc>
        <w:tc>
          <w:tcPr>
            <w:tcW w:w="129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2192776" w14:textId="0E6F6339" w:rsidR="009F583B" w:rsidRPr="005B0FA3" w:rsidRDefault="009F583B" w:rsidP="00885E3D">
            <w:pPr>
              <w:spacing w:before="100" w:beforeAutospacing="1" w:after="100" w:afterAutospacing="1"/>
              <w:jc w:val="center"/>
              <w:rPr>
                <w:rFonts w:cs="Arial"/>
              </w:rPr>
            </w:pPr>
            <w:r w:rsidRPr="005B0FA3">
              <w:rPr>
                <w:rFonts w:cs="Arial"/>
                <w:b/>
                <w:bCs/>
                <w:color w:val="FFFFFF"/>
                <w:sz w:val="18"/>
                <w:szCs w:val="18"/>
              </w:rPr>
              <w:t>FD004</w:t>
            </w:r>
          </w:p>
        </w:tc>
        <w:tc>
          <w:tcPr>
            <w:tcW w:w="129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A0B980F" w14:textId="3A5FCFD2" w:rsidR="009F583B" w:rsidRPr="005B0FA3" w:rsidRDefault="009F583B" w:rsidP="00885E3D">
            <w:pPr>
              <w:spacing w:before="100" w:beforeAutospacing="1" w:after="100" w:afterAutospacing="1"/>
              <w:jc w:val="center"/>
              <w:rPr>
                <w:rFonts w:cs="Arial"/>
                <w:b/>
                <w:bCs/>
                <w:color w:val="FFFFFF"/>
                <w:sz w:val="18"/>
                <w:szCs w:val="18"/>
              </w:rPr>
            </w:pPr>
            <w:r w:rsidRPr="005B0FA3">
              <w:rPr>
                <w:rFonts w:cs="Arial"/>
                <w:b/>
                <w:bCs/>
                <w:color w:val="FFFFFF"/>
                <w:sz w:val="18"/>
                <w:szCs w:val="18"/>
              </w:rPr>
              <w:t>Total</w:t>
            </w:r>
          </w:p>
        </w:tc>
        <w:tc>
          <w:tcPr>
            <w:tcW w:w="129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49D54826" w14:textId="22C401E8" w:rsidR="009F583B" w:rsidRPr="005B0FA3" w:rsidRDefault="009F583B" w:rsidP="00885E3D">
            <w:pPr>
              <w:spacing w:before="100" w:beforeAutospacing="1" w:after="100" w:afterAutospacing="1"/>
              <w:jc w:val="center"/>
              <w:rPr>
                <w:rFonts w:cs="Arial"/>
              </w:rPr>
            </w:pPr>
            <w:r w:rsidRPr="005B0FA3">
              <w:rPr>
                <w:rFonts w:cs="Arial"/>
                <w:b/>
                <w:bCs/>
                <w:color w:val="FFFFFF"/>
                <w:sz w:val="18"/>
                <w:szCs w:val="18"/>
              </w:rPr>
              <w:t>Overall (%)</w:t>
            </w:r>
          </w:p>
        </w:tc>
      </w:tr>
      <w:tr w:rsidR="004C002F" w14:paraId="756E0066" w14:textId="77777777" w:rsidTr="009F583B">
        <w:tc>
          <w:tcPr>
            <w:tcW w:w="1296" w:type="dxa"/>
            <w:shd w:val="clear" w:color="auto" w:fill="FFFFFF"/>
            <w:tcMar>
              <w:top w:w="80" w:type="dxa"/>
              <w:left w:w="120" w:type="dxa"/>
              <w:bottom w:w="80" w:type="dxa"/>
              <w:right w:w="120" w:type="dxa"/>
            </w:tcMar>
            <w:vAlign w:val="center"/>
          </w:tcPr>
          <w:p w14:paraId="596F039C" w14:textId="7BB5BCA4"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6" w:type="dxa"/>
            <w:shd w:val="clear" w:color="auto" w:fill="FFFFFF"/>
            <w:tcMar>
              <w:top w:w="80" w:type="dxa"/>
              <w:left w:w="120" w:type="dxa"/>
              <w:bottom w:w="80" w:type="dxa"/>
              <w:right w:w="120" w:type="dxa"/>
            </w:tcMar>
            <w:vAlign w:val="center"/>
          </w:tcPr>
          <w:p w14:paraId="12EA65BF" w14:textId="6F52A887" w:rsidR="009F583B" w:rsidRPr="00F24BF5" w:rsidRDefault="009F583B" w:rsidP="00885E3D">
            <w:pPr>
              <w:spacing w:before="100" w:beforeAutospacing="1" w:after="100" w:afterAutospacing="1"/>
              <w:rPr>
                <w:rFonts w:cs="Arial"/>
                <w:sz w:val="18"/>
                <w:szCs w:val="18"/>
              </w:rPr>
            </w:pPr>
            <w:r w:rsidRPr="00F24BF5">
              <w:rPr>
                <w:rFonts w:cs="Arial"/>
                <w:sz w:val="18"/>
                <w:szCs w:val="18"/>
              </w:rPr>
              <w:t>16,561</w:t>
            </w:r>
          </w:p>
        </w:tc>
        <w:tc>
          <w:tcPr>
            <w:tcW w:w="1295" w:type="dxa"/>
            <w:shd w:val="clear" w:color="auto" w:fill="FFFFFF"/>
            <w:tcMar>
              <w:top w:w="80" w:type="dxa"/>
              <w:left w:w="120" w:type="dxa"/>
              <w:bottom w:w="80" w:type="dxa"/>
              <w:right w:w="120" w:type="dxa"/>
            </w:tcMar>
            <w:vAlign w:val="center"/>
          </w:tcPr>
          <w:p w14:paraId="454DFD58" w14:textId="74487648" w:rsidR="009F583B" w:rsidRPr="00F24BF5" w:rsidRDefault="009F583B" w:rsidP="00885E3D">
            <w:pPr>
              <w:spacing w:before="100" w:beforeAutospacing="1" w:after="100" w:afterAutospacing="1"/>
              <w:rPr>
                <w:rFonts w:cs="Arial"/>
                <w:sz w:val="18"/>
                <w:szCs w:val="18"/>
              </w:rPr>
            </w:pPr>
            <w:r w:rsidRPr="00F24BF5">
              <w:rPr>
                <w:rFonts w:cs="Arial"/>
                <w:sz w:val="18"/>
                <w:szCs w:val="18"/>
              </w:rPr>
              <w:t>10,857</w:t>
            </w:r>
          </w:p>
        </w:tc>
        <w:tc>
          <w:tcPr>
            <w:tcW w:w="1295" w:type="dxa"/>
            <w:shd w:val="clear" w:color="auto" w:fill="FFFFFF"/>
            <w:tcMar>
              <w:top w:w="80" w:type="dxa"/>
              <w:left w:w="120" w:type="dxa"/>
              <w:bottom w:w="80" w:type="dxa"/>
              <w:right w:w="120" w:type="dxa"/>
            </w:tcMar>
            <w:vAlign w:val="center"/>
          </w:tcPr>
          <w:p w14:paraId="5BFCF235" w14:textId="26B78CA2" w:rsidR="009F583B" w:rsidRPr="00F24BF5" w:rsidRDefault="009F583B" w:rsidP="00885E3D">
            <w:pPr>
              <w:spacing w:before="100" w:beforeAutospacing="1" w:after="100" w:afterAutospacing="1"/>
              <w:rPr>
                <w:rFonts w:cs="Arial"/>
                <w:sz w:val="18"/>
                <w:szCs w:val="18"/>
              </w:rPr>
            </w:pPr>
            <w:r w:rsidRPr="00F24BF5">
              <w:rPr>
                <w:rFonts w:cs="Arial"/>
                <w:sz w:val="18"/>
                <w:szCs w:val="18"/>
              </w:rPr>
              <w:t>20,012</w:t>
            </w:r>
          </w:p>
        </w:tc>
        <w:tc>
          <w:tcPr>
            <w:tcW w:w="1295" w:type="dxa"/>
            <w:shd w:val="clear" w:color="auto" w:fill="FFFFFF"/>
            <w:tcMar>
              <w:top w:w="80" w:type="dxa"/>
              <w:left w:w="120" w:type="dxa"/>
              <w:bottom w:w="80" w:type="dxa"/>
              <w:right w:w="120" w:type="dxa"/>
            </w:tcMar>
            <w:vAlign w:val="center"/>
          </w:tcPr>
          <w:p w14:paraId="11E4C1E9" w14:textId="238B4545" w:rsidR="009F583B" w:rsidRPr="00F24BF5" w:rsidRDefault="009F583B" w:rsidP="00885E3D">
            <w:pPr>
              <w:spacing w:before="100" w:beforeAutospacing="1" w:after="100" w:afterAutospacing="1"/>
              <w:rPr>
                <w:rFonts w:cs="Arial"/>
                <w:sz w:val="18"/>
                <w:szCs w:val="18"/>
              </w:rPr>
            </w:pPr>
            <w:r w:rsidRPr="00F24BF5">
              <w:rPr>
                <w:rFonts w:cs="Arial"/>
                <w:sz w:val="18"/>
                <w:szCs w:val="18"/>
              </w:rPr>
              <w:t>7,375</w:t>
            </w:r>
          </w:p>
        </w:tc>
        <w:tc>
          <w:tcPr>
            <w:tcW w:w="1295" w:type="dxa"/>
            <w:shd w:val="clear" w:color="auto" w:fill="FFFFFF"/>
            <w:tcMar>
              <w:top w:w="80" w:type="dxa"/>
              <w:left w:w="120" w:type="dxa"/>
              <w:bottom w:w="80" w:type="dxa"/>
              <w:right w:w="120" w:type="dxa"/>
            </w:tcMar>
            <w:vAlign w:val="center"/>
          </w:tcPr>
          <w:p w14:paraId="0FEFB547" w14:textId="2604C396" w:rsidR="009F583B" w:rsidRPr="00F24BF5" w:rsidRDefault="009F583B" w:rsidP="00885E3D">
            <w:pPr>
              <w:spacing w:before="100" w:beforeAutospacing="1" w:after="100" w:afterAutospacing="1"/>
              <w:rPr>
                <w:rFonts w:cs="Arial"/>
                <w:sz w:val="18"/>
                <w:szCs w:val="18"/>
              </w:rPr>
            </w:pPr>
            <w:r w:rsidRPr="00F24BF5">
              <w:rPr>
                <w:rFonts w:cs="Arial"/>
                <w:sz w:val="18"/>
                <w:szCs w:val="18"/>
              </w:rPr>
              <w:t>54,805</w:t>
            </w:r>
          </w:p>
        </w:tc>
        <w:tc>
          <w:tcPr>
            <w:tcW w:w="1295" w:type="dxa"/>
            <w:shd w:val="clear" w:color="auto" w:fill="FFFFFF"/>
            <w:tcMar>
              <w:top w:w="80" w:type="dxa"/>
              <w:left w:w="120" w:type="dxa"/>
              <w:bottom w:w="80" w:type="dxa"/>
              <w:right w:w="120" w:type="dxa"/>
            </w:tcMar>
            <w:vAlign w:val="center"/>
          </w:tcPr>
          <w:p w14:paraId="7A0A3005" w14:textId="55BF0FCF" w:rsidR="009F583B" w:rsidRPr="00F24BF5" w:rsidRDefault="009F583B" w:rsidP="00885E3D">
            <w:pPr>
              <w:spacing w:before="100" w:beforeAutospacing="1" w:after="100" w:afterAutospacing="1"/>
              <w:rPr>
                <w:rFonts w:cs="Arial"/>
                <w:sz w:val="18"/>
                <w:szCs w:val="18"/>
              </w:rPr>
            </w:pPr>
            <w:r w:rsidRPr="00F24BF5">
              <w:rPr>
                <w:rFonts w:cs="Arial"/>
                <w:sz w:val="18"/>
                <w:szCs w:val="18"/>
              </w:rPr>
              <w:t>42.4</w:t>
            </w:r>
          </w:p>
        </w:tc>
      </w:tr>
      <w:tr w:rsidR="004C002F" w14:paraId="10BF38A8" w14:textId="77777777" w:rsidTr="009F583B">
        <w:tc>
          <w:tcPr>
            <w:tcW w:w="1296" w:type="dxa"/>
            <w:shd w:val="clear" w:color="auto" w:fill="F0F4F8"/>
            <w:tcMar>
              <w:top w:w="80" w:type="dxa"/>
              <w:left w:w="120" w:type="dxa"/>
              <w:bottom w:w="80" w:type="dxa"/>
              <w:right w:w="120" w:type="dxa"/>
            </w:tcMar>
            <w:vAlign w:val="center"/>
          </w:tcPr>
          <w:p w14:paraId="1D58AB78" w14:textId="0612C902" w:rsidR="009F583B" w:rsidRPr="00F24BF5" w:rsidRDefault="009F583B" w:rsidP="00885E3D">
            <w:pPr>
              <w:spacing w:before="100" w:beforeAutospacing="1" w:after="100" w:afterAutospacing="1"/>
              <w:rPr>
                <w:rFonts w:cs="Arial"/>
                <w:sz w:val="18"/>
                <w:szCs w:val="18"/>
              </w:rPr>
            </w:pPr>
            <w:r w:rsidRPr="00F24BF5">
              <w:rPr>
                <w:rFonts w:cs="Arial"/>
                <w:sz w:val="18"/>
                <w:szCs w:val="18"/>
              </w:rPr>
              <w:t>1</w:t>
            </w:r>
          </w:p>
        </w:tc>
        <w:tc>
          <w:tcPr>
            <w:tcW w:w="1296" w:type="dxa"/>
            <w:shd w:val="clear" w:color="auto" w:fill="F0F4F8"/>
            <w:tcMar>
              <w:top w:w="80" w:type="dxa"/>
              <w:left w:w="120" w:type="dxa"/>
              <w:bottom w:w="80" w:type="dxa"/>
              <w:right w:w="120" w:type="dxa"/>
            </w:tcMar>
            <w:vAlign w:val="center"/>
          </w:tcPr>
          <w:p w14:paraId="6DB6CD2B" w14:textId="511833BC"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0F4F8"/>
            <w:tcMar>
              <w:top w:w="80" w:type="dxa"/>
              <w:left w:w="120" w:type="dxa"/>
              <w:bottom w:w="80" w:type="dxa"/>
              <w:right w:w="120" w:type="dxa"/>
            </w:tcMar>
            <w:vAlign w:val="center"/>
          </w:tcPr>
          <w:p w14:paraId="18E9DBC4" w14:textId="49CCC441" w:rsidR="009F583B" w:rsidRPr="00F24BF5" w:rsidRDefault="009F583B" w:rsidP="00885E3D">
            <w:pPr>
              <w:spacing w:before="100" w:beforeAutospacing="1" w:after="100" w:afterAutospacing="1"/>
              <w:rPr>
                <w:rFonts w:cs="Arial"/>
                <w:sz w:val="18"/>
                <w:szCs w:val="18"/>
              </w:rPr>
            </w:pPr>
            <w:r w:rsidRPr="00F24BF5">
              <w:rPr>
                <w:rFonts w:cs="Arial"/>
                <w:sz w:val="18"/>
                <w:szCs w:val="18"/>
              </w:rPr>
              <w:t>6,507</w:t>
            </w:r>
          </w:p>
        </w:tc>
        <w:tc>
          <w:tcPr>
            <w:tcW w:w="1295" w:type="dxa"/>
            <w:shd w:val="clear" w:color="auto" w:fill="F0F4F8"/>
            <w:tcMar>
              <w:top w:w="80" w:type="dxa"/>
              <w:left w:w="120" w:type="dxa"/>
              <w:bottom w:w="80" w:type="dxa"/>
              <w:right w:w="120" w:type="dxa"/>
            </w:tcMar>
            <w:vAlign w:val="center"/>
          </w:tcPr>
          <w:p w14:paraId="5EA0AC51" w14:textId="6A9AD9FF"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0F4F8"/>
            <w:tcMar>
              <w:top w:w="80" w:type="dxa"/>
              <w:left w:w="120" w:type="dxa"/>
              <w:bottom w:w="80" w:type="dxa"/>
              <w:right w:w="120" w:type="dxa"/>
            </w:tcMar>
            <w:vAlign w:val="center"/>
          </w:tcPr>
          <w:p w14:paraId="54FF8F84" w14:textId="773912E5" w:rsidR="009F583B" w:rsidRPr="00F24BF5" w:rsidRDefault="009F583B" w:rsidP="00885E3D">
            <w:pPr>
              <w:spacing w:before="100" w:beforeAutospacing="1" w:after="100" w:afterAutospacing="1"/>
              <w:rPr>
                <w:rFonts w:cs="Arial"/>
                <w:sz w:val="18"/>
                <w:szCs w:val="18"/>
              </w:rPr>
            </w:pPr>
            <w:r w:rsidRPr="00F24BF5">
              <w:rPr>
                <w:rFonts w:cs="Arial"/>
                <w:sz w:val="18"/>
                <w:szCs w:val="18"/>
              </w:rPr>
              <w:t>7,447</w:t>
            </w:r>
          </w:p>
        </w:tc>
        <w:tc>
          <w:tcPr>
            <w:tcW w:w="1295" w:type="dxa"/>
            <w:shd w:val="clear" w:color="auto" w:fill="F0F4F8"/>
            <w:tcMar>
              <w:top w:w="80" w:type="dxa"/>
              <w:left w:w="120" w:type="dxa"/>
              <w:bottom w:w="80" w:type="dxa"/>
              <w:right w:w="120" w:type="dxa"/>
            </w:tcMar>
            <w:vAlign w:val="center"/>
          </w:tcPr>
          <w:p w14:paraId="6B31B0F6" w14:textId="73199CB5" w:rsidR="009F583B" w:rsidRPr="00F24BF5" w:rsidRDefault="009F583B" w:rsidP="00885E3D">
            <w:pPr>
              <w:spacing w:before="100" w:beforeAutospacing="1" w:after="100" w:afterAutospacing="1"/>
              <w:rPr>
                <w:rFonts w:cs="Arial"/>
                <w:sz w:val="18"/>
                <w:szCs w:val="18"/>
              </w:rPr>
            </w:pPr>
            <w:r w:rsidRPr="00F24BF5">
              <w:rPr>
                <w:rFonts w:cs="Arial"/>
                <w:sz w:val="18"/>
                <w:szCs w:val="18"/>
              </w:rPr>
              <w:t>13,954</w:t>
            </w:r>
          </w:p>
        </w:tc>
        <w:tc>
          <w:tcPr>
            <w:tcW w:w="1295" w:type="dxa"/>
            <w:shd w:val="clear" w:color="auto" w:fill="F0F4F8"/>
            <w:tcMar>
              <w:top w:w="80" w:type="dxa"/>
              <w:left w:w="120" w:type="dxa"/>
              <w:bottom w:w="80" w:type="dxa"/>
              <w:right w:w="120" w:type="dxa"/>
            </w:tcMar>
            <w:vAlign w:val="center"/>
          </w:tcPr>
          <w:p w14:paraId="6C5ED0CA" w14:textId="46C02F7E" w:rsidR="009F583B" w:rsidRPr="00F24BF5" w:rsidRDefault="009F583B" w:rsidP="00885E3D">
            <w:pPr>
              <w:spacing w:before="100" w:beforeAutospacing="1" w:after="100" w:afterAutospacing="1"/>
              <w:rPr>
                <w:rFonts w:cs="Arial"/>
                <w:sz w:val="18"/>
                <w:szCs w:val="18"/>
              </w:rPr>
            </w:pPr>
            <w:r w:rsidRPr="00F24BF5">
              <w:rPr>
                <w:rFonts w:cs="Arial"/>
                <w:sz w:val="18"/>
                <w:szCs w:val="18"/>
              </w:rPr>
              <w:t>10.8</w:t>
            </w:r>
          </w:p>
        </w:tc>
      </w:tr>
      <w:tr w:rsidR="004C002F" w14:paraId="3435A706" w14:textId="77777777" w:rsidTr="009F583B">
        <w:tc>
          <w:tcPr>
            <w:tcW w:w="1296" w:type="dxa"/>
            <w:shd w:val="clear" w:color="auto" w:fill="FFFFFF"/>
            <w:tcMar>
              <w:top w:w="80" w:type="dxa"/>
              <w:left w:w="120" w:type="dxa"/>
              <w:bottom w:w="80" w:type="dxa"/>
              <w:right w:w="120" w:type="dxa"/>
            </w:tcMar>
            <w:vAlign w:val="center"/>
          </w:tcPr>
          <w:p w14:paraId="29CA87E2" w14:textId="19B5F4B9" w:rsidR="009F583B" w:rsidRPr="00F24BF5" w:rsidRDefault="009F583B" w:rsidP="00885E3D">
            <w:pPr>
              <w:spacing w:before="100" w:beforeAutospacing="1" w:after="100" w:afterAutospacing="1"/>
              <w:rPr>
                <w:rFonts w:cs="Arial"/>
                <w:sz w:val="18"/>
                <w:szCs w:val="18"/>
              </w:rPr>
            </w:pPr>
            <w:r w:rsidRPr="00F24BF5">
              <w:rPr>
                <w:rFonts w:cs="Arial"/>
                <w:sz w:val="18"/>
                <w:szCs w:val="18"/>
              </w:rPr>
              <w:t>2</w:t>
            </w:r>
          </w:p>
        </w:tc>
        <w:tc>
          <w:tcPr>
            <w:tcW w:w="1296" w:type="dxa"/>
            <w:shd w:val="clear" w:color="auto" w:fill="FFFFFF"/>
            <w:tcMar>
              <w:top w:w="80" w:type="dxa"/>
              <w:left w:w="120" w:type="dxa"/>
              <w:bottom w:w="80" w:type="dxa"/>
              <w:right w:w="120" w:type="dxa"/>
            </w:tcMar>
            <w:vAlign w:val="center"/>
          </w:tcPr>
          <w:p w14:paraId="59CBA80A" w14:textId="28859FDF"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FFFFF"/>
            <w:tcMar>
              <w:top w:w="80" w:type="dxa"/>
              <w:left w:w="120" w:type="dxa"/>
              <w:bottom w:w="80" w:type="dxa"/>
              <w:right w:w="120" w:type="dxa"/>
            </w:tcMar>
            <w:vAlign w:val="center"/>
          </w:tcPr>
          <w:p w14:paraId="74FA77A6" w14:textId="3F770472" w:rsidR="009F583B" w:rsidRPr="00F24BF5" w:rsidRDefault="009F583B" w:rsidP="00885E3D">
            <w:pPr>
              <w:spacing w:before="100" w:beforeAutospacing="1" w:after="100" w:afterAutospacing="1"/>
              <w:rPr>
                <w:rFonts w:cs="Arial"/>
                <w:sz w:val="18"/>
                <w:szCs w:val="18"/>
              </w:rPr>
            </w:pPr>
            <w:r w:rsidRPr="00F24BF5">
              <w:rPr>
                <w:rFonts w:cs="Arial"/>
                <w:sz w:val="18"/>
                <w:szCs w:val="18"/>
              </w:rPr>
              <w:t>6,450</w:t>
            </w:r>
          </w:p>
        </w:tc>
        <w:tc>
          <w:tcPr>
            <w:tcW w:w="1295" w:type="dxa"/>
            <w:shd w:val="clear" w:color="auto" w:fill="FFFFFF"/>
            <w:tcMar>
              <w:top w:w="80" w:type="dxa"/>
              <w:left w:w="120" w:type="dxa"/>
              <w:bottom w:w="80" w:type="dxa"/>
              <w:right w:w="120" w:type="dxa"/>
            </w:tcMar>
            <w:vAlign w:val="center"/>
          </w:tcPr>
          <w:p w14:paraId="47CD0A59" w14:textId="51A9FFDA"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FFFFF"/>
            <w:tcMar>
              <w:top w:w="80" w:type="dxa"/>
              <w:left w:w="120" w:type="dxa"/>
              <w:bottom w:w="80" w:type="dxa"/>
              <w:right w:w="120" w:type="dxa"/>
            </w:tcMar>
            <w:vAlign w:val="center"/>
          </w:tcPr>
          <w:p w14:paraId="2012D984" w14:textId="7CAC483B" w:rsidR="009F583B" w:rsidRPr="00F24BF5" w:rsidRDefault="009F583B" w:rsidP="00885E3D">
            <w:pPr>
              <w:spacing w:before="100" w:beforeAutospacing="1" w:after="100" w:afterAutospacing="1"/>
              <w:rPr>
                <w:rFonts w:cs="Arial"/>
                <w:sz w:val="18"/>
                <w:szCs w:val="18"/>
              </w:rPr>
            </w:pPr>
            <w:r w:rsidRPr="00F24BF5">
              <w:rPr>
                <w:rFonts w:cs="Arial"/>
                <w:sz w:val="18"/>
                <w:szCs w:val="18"/>
              </w:rPr>
              <w:t>7,371</w:t>
            </w:r>
          </w:p>
        </w:tc>
        <w:tc>
          <w:tcPr>
            <w:tcW w:w="1295" w:type="dxa"/>
            <w:shd w:val="clear" w:color="auto" w:fill="FFFFFF"/>
            <w:tcMar>
              <w:top w:w="80" w:type="dxa"/>
              <w:left w:w="120" w:type="dxa"/>
              <w:bottom w:w="80" w:type="dxa"/>
              <w:right w:w="120" w:type="dxa"/>
            </w:tcMar>
            <w:vAlign w:val="center"/>
          </w:tcPr>
          <w:p w14:paraId="0E2F66FC" w14:textId="306A928B" w:rsidR="009F583B" w:rsidRPr="00F24BF5" w:rsidRDefault="009F583B" w:rsidP="00885E3D">
            <w:pPr>
              <w:spacing w:before="100" w:beforeAutospacing="1" w:after="100" w:afterAutospacing="1"/>
              <w:rPr>
                <w:rFonts w:cs="Arial"/>
                <w:sz w:val="18"/>
                <w:szCs w:val="18"/>
              </w:rPr>
            </w:pPr>
            <w:r w:rsidRPr="00F24BF5">
              <w:rPr>
                <w:rFonts w:cs="Arial"/>
                <w:sz w:val="18"/>
                <w:szCs w:val="18"/>
              </w:rPr>
              <w:t>13,821</w:t>
            </w:r>
          </w:p>
        </w:tc>
        <w:tc>
          <w:tcPr>
            <w:tcW w:w="1295" w:type="dxa"/>
            <w:shd w:val="clear" w:color="auto" w:fill="FFFFFF"/>
            <w:tcMar>
              <w:top w:w="80" w:type="dxa"/>
              <w:left w:w="120" w:type="dxa"/>
              <w:bottom w:w="80" w:type="dxa"/>
              <w:right w:w="120" w:type="dxa"/>
            </w:tcMar>
            <w:vAlign w:val="center"/>
          </w:tcPr>
          <w:p w14:paraId="4B8E96B5" w14:textId="5571B0AF" w:rsidR="009F583B" w:rsidRPr="00F24BF5" w:rsidRDefault="009F583B" w:rsidP="00885E3D">
            <w:pPr>
              <w:spacing w:before="100" w:beforeAutospacing="1" w:after="100" w:afterAutospacing="1"/>
              <w:rPr>
                <w:rFonts w:cs="Arial"/>
                <w:sz w:val="18"/>
                <w:szCs w:val="18"/>
              </w:rPr>
            </w:pPr>
            <w:r w:rsidRPr="00F24BF5">
              <w:rPr>
                <w:rFonts w:cs="Arial"/>
                <w:sz w:val="18"/>
                <w:szCs w:val="18"/>
              </w:rPr>
              <w:t>10.7</w:t>
            </w:r>
          </w:p>
        </w:tc>
      </w:tr>
      <w:tr w:rsidR="004C002F" w14:paraId="2DF744FB" w14:textId="77777777" w:rsidTr="009F583B">
        <w:tc>
          <w:tcPr>
            <w:tcW w:w="1296" w:type="dxa"/>
            <w:shd w:val="clear" w:color="auto" w:fill="F0F4F8"/>
            <w:tcMar>
              <w:top w:w="80" w:type="dxa"/>
              <w:left w:w="120" w:type="dxa"/>
              <w:bottom w:w="80" w:type="dxa"/>
              <w:right w:w="120" w:type="dxa"/>
            </w:tcMar>
            <w:vAlign w:val="center"/>
          </w:tcPr>
          <w:p w14:paraId="67540AC7" w14:textId="747A0A03" w:rsidR="009F583B" w:rsidRPr="00F24BF5" w:rsidRDefault="009F583B" w:rsidP="00885E3D">
            <w:pPr>
              <w:spacing w:before="100" w:beforeAutospacing="1" w:after="100" w:afterAutospacing="1"/>
              <w:rPr>
                <w:rFonts w:cs="Arial"/>
                <w:sz w:val="18"/>
                <w:szCs w:val="18"/>
              </w:rPr>
            </w:pPr>
            <w:r w:rsidRPr="00F24BF5">
              <w:rPr>
                <w:rFonts w:cs="Arial"/>
                <w:sz w:val="18"/>
                <w:szCs w:val="18"/>
              </w:rPr>
              <w:t>3</w:t>
            </w:r>
          </w:p>
        </w:tc>
        <w:tc>
          <w:tcPr>
            <w:tcW w:w="1296" w:type="dxa"/>
            <w:shd w:val="clear" w:color="auto" w:fill="F0F4F8"/>
            <w:tcMar>
              <w:top w:w="80" w:type="dxa"/>
              <w:left w:w="120" w:type="dxa"/>
              <w:bottom w:w="80" w:type="dxa"/>
              <w:right w:w="120" w:type="dxa"/>
            </w:tcMar>
            <w:vAlign w:val="center"/>
          </w:tcPr>
          <w:p w14:paraId="1E2E7493" w14:textId="2952E90F"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0F4F8"/>
            <w:tcMar>
              <w:top w:w="80" w:type="dxa"/>
              <w:left w:w="120" w:type="dxa"/>
              <w:bottom w:w="80" w:type="dxa"/>
              <w:right w:w="120" w:type="dxa"/>
            </w:tcMar>
            <w:vAlign w:val="center"/>
          </w:tcPr>
          <w:p w14:paraId="773ADDAD" w14:textId="67584085" w:rsidR="009F583B" w:rsidRPr="00F24BF5" w:rsidRDefault="009F583B" w:rsidP="00885E3D">
            <w:pPr>
              <w:spacing w:before="100" w:beforeAutospacing="1" w:after="100" w:afterAutospacing="1"/>
              <w:rPr>
                <w:rFonts w:cs="Arial"/>
                <w:sz w:val="18"/>
                <w:szCs w:val="18"/>
              </w:rPr>
            </w:pPr>
            <w:r w:rsidRPr="00F24BF5">
              <w:rPr>
                <w:rFonts w:cs="Arial"/>
                <w:sz w:val="18"/>
                <w:szCs w:val="18"/>
              </w:rPr>
              <w:t>6,572</w:t>
            </w:r>
          </w:p>
        </w:tc>
        <w:tc>
          <w:tcPr>
            <w:tcW w:w="1295" w:type="dxa"/>
            <w:shd w:val="clear" w:color="auto" w:fill="F0F4F8"/>
            <w:tcMar>
              <w:top w:w="80" w:type="dxa"/>
              <w:left w:w="120" w:type="dxa"/>
              <w:bottom w:w="80" w:type="dxa"/>
              <w:right w:w="120" w:type="dxa"/>
            </w:tcMar>
            <w:vAlign w:val="center"/>
          </w:tcPr>
          <w:p w14:paraId="2857317B" w14:textId="01C91D79"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0F4F8"/>
            <w:tcMar>
              <w:top w:w="80" w:type="dxa"/>
              <w:left w:w="120" w:type="dxa"/>
              <w:bottom w:w="80" w:type="dxa"/>
              <w:right w:w="120" w:type="dxa"/>
            </w:tcMar>
            <w:vAlign w:val="center"/>
          </w:tcPr>
          <w:p w14:paraId="34120A49" w14:textId="25CA2A41" w:rsidR="009F583B" w:rsidRPr="00F24BF5" w:rsidRDefault="009F583B" w:rsidP="00885E3D">
            <w:pPr>
              <w:spacing w:before="100" w:beforeAutospacing="1" w:after="100" w:afterAutospacing="1"/>
              <w:rPr>
                <w:rFonts w:cs="Arial"/>
                <w:sz w:val="18"/>
                <w:szCs w:val="18"/>
              </w:rPr>
            </w:pPr>
            <w:r w:rsidRPr="00F24BF5">
              <w:rPr>
                <w:rFonts w:cs="Arial"/>
                <w:sz w:val="18"/>
                <w:szCs w:val="18"/>
              </w:rPr>
              <w:t>7,307</w:t>
            </w:r>
          </w:p>
        </w:tc>
        <w:tc>
          <w:tcPr>
            <w:tcW w:w="1295" w:type="dxa"/>
            <w:shd w:val="clear" w:color="auto" w:fill="F0F4F8"/>
            <w:tcMar>
              <w:top w:w="80" w:type="dxa"/>
              <w:left w:w="120" w:type="dxa"/>
              <w:bottom w:w="80" w:type="dxa"/>
              <w:right w:w="120" w:type="dxa"/>
            </w:tcMar>
            <w:vAlign w:val="center"/>
          </w:tcPr>
          <w:p w14:paraId="33215AC0" w14:textId="431A3F0B" w:rsidR="009F583B" w:rsidRPr="00F24BF5" w:rsidRDefault="009F583B" w:rsidP="00885E3D">
            <w:pPr>
              <w:spacing w:before="100" w:beforeAutospacing="1" w:after="100" w:afterAutospacing="1"/>
              <w:rPr>
                <w:rFonts w:cs="Arial"/>
                <w:sz w:val="18"/>
                <w:szCs w:val="18"/>
              </w:rPr>
            </w:pPr>
            <w:r w:rsidRPr="00F24BF5">
              <w:rPr>
                <w:rFonts w:cs="Arial"/>
                <w:sz w:val="18"/>
                <w:szCs w:val="18"/>
              </w:rPr>
              <w:t>13,879</w:t>
            </w:r>
          </w:p>
        </w:tc>
        <w:tc>
          <w:tcPr>
            <w:tcW w:w="1295" w:type="dxa"/>
            <w:shd w:val="clear" w:color="auto" w:fill="F0F4F8"/>
            <w:tcMar>
              <w:top w:w="80" w:type="dxa"/>
              <w:left w:w="120" w:type="dxa"/>
              <w:bottom w:w="80" w:type="dxa"/>
              <w:right w:w="120" w:type="dxa"/>
            </w:tcMar>
            <w:vAlign w:val="center"/>
          </w:tcPr>
          <w:p w14:paraId="21A3557D" w14:textId="59025BE5" w:rsidR="009F583B" w:rsidRPr="00F24BF5" w:rsidRDefault="009F583B" w:rsidP="00885E3D">
            <w:pPr>
              <w:spacing w:before="100" w:beforeAutospacing="1" w:after="100" w:afterAutospacing="1"/>
              <w:rPr>
                <w:rFonts w:cs="Arial"/>
                <w:sz w:val="18"/>
                <w:szCs w:val="18"/>
              </w:rPr>
            </w:pPr>
            <w:r w:rsidRPr="00F24BF5">
              <w:rPr>
                <w:rFonts w:cs="Arial"/>
                <w:sz w:val="18"/>
                <w:szCs w:val="18"/>
              </w:rPr>
              <w:t>10.7</w:t>
            </w:r>
          </w:p>
        </w:tc>
      </w:tr>
      <w:tr w:rsidR="004C002F" w14:paraId="571B1CBE" w14:textId="77777777" w:rsidTr="009F583B">
        <w:trPr>
          <w:trHeight w:val="18"/>
        </w:trPr>
        <w:tc>
          <w:tcPr>
            <w:tcW w:w="1296" w:type="dxa"/>
            <w:shd w:val="clear" w:color="auto" w:fill="FFFFFF"/>
            <w:tcMar>
              <w:top w:w="80" w:type="dxa"/>
              <w:left w:w="120" w:type="dxa"/>
              <w:bottom w:w="80" w:type="dxa"/>
              <w:right w:w="120" w:type="dxa"/>
            </w:tcMar>
            <w:vAlign w:val="center"/>
          </w:tcPr>
          <w:p w14:paraId="0B4299C0" w14:textId="08DF06C2" w:rsidR="009F583B" w:rsidRPr="00F24BF5" w:rsidRDefault="009F583B" w:rsidP="00885E3D">
            <w:pPr>
              <w:spacing w:before="100" w:beforeAutospacing="1" w:after="100" w:afterAutospacing="1"/>
              <w:rPr>
                <w:rFonts w:cs="Arial"/>
                <w:sz w:val="18"/>
                <w:szCs w:val="18"/>
              </w:rPr>
            </w:pPr>
            <w:r w:rsidRPr="00F24BF5">
              <w:rPr>
                <w:rFonts w:cs="Arial"/>
                <w:sz w:val="18"/>
                <w:szCs w:val="18"/>
              </w:rPr>
              <w:t>4</w:t>
            </w:r>
          </w:p>
        </w:tc>
        <w:tc>
          <w:tcPr>
            <w:tcW w:w="1296" w:type="dxa"/>
            <w:shd w:val="clear" w:color="auto" w:fill="FFFFFF"/>
            <w:tcMar>
              <w:top w:w="80" w:type="dxa"/>
              <w:left w:w="120" w:type="dxa"/>
              <w:bottom w:w="80" w:type="dxa"/>
              <w:right w:w="120" w:type="dxa"/>
            </w:tcMar>
            <w:vAlign w:val="center"/>
          </w:tcPr>
          <w:p w14:paraId="15111619" w14:textId="6CC39D05"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FFFFF"/>
            <w:tcMar>
              <w:top w:w="80" w:type="dxa"/>
              <w:left w:w="120" w:type="dxa"/>
              <w:bottom w:w="80" w:type="dxa"/>
              <w:right w:w="120" w:type="dxa"/>
            </w:tcMar>
            <w:vAlign w:val="center"/>
          </w:tcPr>
          <w:p w14:paraId="4B896B2A" w14:textId="0C20357B" w:rsidR="009F583B" w:rsidRPr="00F24BF5" w:rsidRDefault="009F583B" w:rsidP="00885E3D">
            <w:pPr>
              <w:spacing w:before="100" w:beforeAutospacing="1" w:after="100" w:afterAutospacing="1"/>
              <w:rPr>
                <w:rFonts w:cs="Arial"/>
                <w:sz w:val="18"/>
                <w:szCs w:val="18"/>
              </w:rPr>
            </w:pPr>
            <w:r w:rsidRPr="00F24BF5">
              <w:rPr>
                <w:rFonts w:cs="Arial"/>
                <w:sz w:val="18"/>
                <w:szCs w:val="18"/>
              </w:rPr>
              <w:t>6,535</w:t>
            </w:r>
          </w:p>
        </w:tc>
        <w:tc>
          <w:tcPr>
            <w:tcW w:w="1295" w:type="dxa"/>
            <w:shd w:val="clear" w:color="auto" w:fill="FFFFFF"/>
            <w:tcMar>
              <w:top w:w="80" w:type="dxa"/>
              <w:left w:w="120" w:type="dxa"/>
              <w:bottom w:w="80" w:type="dxa"/>
              <w:right w:w="120" w:type="dxa"/>
            </w:tcMar>
            <w:vAlign w:val="center"/>
          </w:tcPr>
          <w:p w14:paraId="71E0F8EE" w14:textId="1B7C652E"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FFFFF"/>
            <w:tcMar>
              <w:top w:w="80" w:type="dxa"/>
              <w:left w:w="120" w:type="dxa"/>
              <w:bottom w:w="80" w:type="dxa"/>
              <w:right w:w="120" w:type="dxa"/>
            </w:tcMar>
            <w:vAlign w:val="center"/>
          </w:tcPr>
          <w:p w14:paraId="5EBAB806" w14:textId="6B64401B" w:rsidR="009F583B" w:rsidRPr="00F24BF5" w:rsidRDefault="009F583B" w:rsidP="00885E3D">
            <w:pPr>
              <w:spacing w:before="100" w:beforeAutospacing="1" w:after="100" w:afterAutospacing="1"/>
              <w:rPr>
                <w:rFonts w:cs="Arial"/>
                <w:sz w:val="18"/>
                <w:szCs w:val="18"/>
              </w:rPr>
            </w:pPr>
            <w:r w:rsidRPr="00F24BF5">
              <w:rPr>
                <w:rFonts w:cs="Arial"/>
                <w:sz w:val="18"/>
                <w:szCs w:val="18"/>
              </w:rPr>
              <w:t>7,385</w:t>
            </w:r>
          </w:p>
        </w:tc>
        <w:tc>
          <w:tcPr>
            <w:tcW w:w="1295" w:type="dxa"/>
            <w:shd w:val="clear" w:color="auto" w:fill="FFFFFF"/>
            <w:tcMar>
              <w:top w:w="80" w:type="dxa"/>
              <w:left w:w="120" w:type="dxa"/>
              <w:bottom w:w="80" w:type="dxa"/>
              <w:right w:w="120" w:type="dxa"/>
            </w:tcMar>
            <w:vAlign w:val="center"/>
          </w:tcPr>
          <w:p w14:paraId="3C3297DF" w14:textId="3F7BD2FA" w:rsidR="009F583B" w:rsidRPr="00F24BF5" w:rsidRDefault="009F583B" w:rsidP="00885E3D">
            <w:pPr>
              <w:spacing w:before="100" w:beforeAutospacing="1" w:after="100" w:afterAutospacing="1"/>
              <w:rPr>
                <w:rFonts w:cs="Arial"/>
                <w:sz w:val="18"/>
                <w:szCs w:val="18"/>
              </w:rPr>
            </w:pPr>
            <w:r w:rsidRPr="00F24BF5">
              <w:rPr>
                <w:rFonts w:cs="Arial"/>
                <w:sz w:val="18"/>
                <w:szCs w:val="18"/>
              </w:rPr>
              <w:t>13,920</w:t>
            </w:r>
          </w:p>
        </w:tc>
        <w:tc>
          <w:tcPr>
            <w:tcW w:w="1295" w:type="dxa"/>
            <w:shd w:val="clear" w:color="auto" w:fill="FFFFFF"/>
            <w:tcMar>
              <w:top w:w="80" w:type="dxa"/>
              <w:left w:w="120" w:type="dxa"/>
              <w:bottom w:w="80" w:type="dxa"/>
              <w:right w:w="120" w:type="dxa"/>
            </w:tcMar>
            <w:vAlign w:val="center"/>
          </w:tcPr>
          <w:p w14:paraId="7BF909BE" w14:textId="52903142" w:rsidR="009F583B" w:rsidRPr="00F24BF5" w:rsidRDefault="009F583B" w:rsidP="00885E3D">
            <w:pPr>
              <w:spacing w:before="100" w:beforeAutospacing="1" w:after="100" w:afterAutospacing="1"/>
              <w:rPr>
                <w:rFonts w:cs="Arial"/>
                <w:sz w:val="18"/>
                <w:szCs w:val="18"/>
              </w:rPr>
            </w:pPr>
            <w:r w:rsidRPr="00F24BF5">
              <w:rPr>
                <w:rFonts w:cs="Arial"/>
                <w:sz w:val="18"/>
                <w:szCs w:val="18"/>
              </w:rPr>
              <w:t>10.8</w:t>
            </w:r>
          </w:p>
        </w:tc>
      </w:tr>
      <w:tr w:rsidR="004C002F" w14:paraId="69FB0E4F" w14:textId="77777777" w:rsidTr="009F583B">
        <w:trPr>
          <w:trHeight w:val="18"/>
        </w:trPr>
        <w:tc>
          <w:tcPr>
            <w:tcW w:w="1296" w:type="dxa"/>
            <w:shd w:val="clear" w:color="auto" w:fill="F0F4F9"/>
            <w:tcMar>
              <w:top w:w="80" w:type="dxa"/>
              <w:left w:w="120" w:type="dxa"/>
              <w:bottom w:w="80" w:type="dxa"/>
              <w:right w:w="120" w:type="dxa"/>
            </w:tcMar>
            <w:vAlign w:val="center"/>
          </w:tcPr>
          <w:p w14:paraId="78746840" w14:textId="2AEDD867" w:rsidR="009F583B" w:rsidRPr="00F24BF5" w:rsidRDefault="009F583B" w:rsidP="00885E3D">
            <w:pPr>
              <w:spacing w:before="100" w:beforeAutospacing="1" w:after="100" w:afterAutospacing="1"/>
              <w:rPr>
                <w:rFonts w:cs="Arial"/>
                <w:sz w:val="18"/>
                <w:szCs w:val="18"/>
              </w:rPr>
            </w:pPr>
            <w:r w:rsidRPr="00F24BF5">
              <w:rPr>
                <w:rFonts w:cs="Arial"/>
                <w:sz w:val="18"/>
                <w:szCs w:val="18"/>
              </w:rPr>
              <w:t>5</w:t>
            </w:r>
          </w:p>
        </w:tc>
        <w:tc>
          <w:tcPr>
            <w:tcW w:w="1296" w:type="dxa"/>
            <w:shd w:val="clear" w:color="auto" w:fill="F0F4F9"/>
            <w:tcMar>
              <w:top w:w="80" w:type="dxa"/>
              <w:left w:w="120" w:type="dxa"/>
              <w:bottom w:w="80" w:type="dxa"/>
              <w:right w:w="120" w:type="dxa"/>
            </w:tcMar>
            <w:vAlign w:val="center"/>
          </w:tcPr>
          <w:p w14:paraId="24D044A1" w14:textId="276BA7FA"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0F4F9"/>
            <w:tcMar>
              <w:top w:w="80" w:type="dxa"/>
              <w:left w:w="120" w:type="dxa"/>
              <w:bottom w:w="80" w:type="dxa"/>
              <w:right w:w="120" w:type="dxa"/>
            </w:tcMar>
            <w:vAlign w:val="center"/>
          </w:tcPr>
          <w:p w14:paraId="64E5A52F" w14:textId="23A25C8C" w:rsidR="009F583B" w:rsidRPr="00F24BF5" w:rsidRDefault="009F583B" w:rsidP="00885E3D">
            <w:pPr>
              <w:spacing w:before="100" w:beforeAutospacing="1" w:after="100" w:afterAutospacing="1"/>
              <w:rPr>
                <w:rFonts w:cs="Arial"/>
                <w:sz w:val="18"/>
                <w:szCs w:val="18"/>
              </w:rPr>
            </w:pPr>
            <w:r w:rsidRPr="00F24BF5">
              <w:rPr>
                <w:rFonts w:cs="Arial"/>
                <w:sz w:val="18"/>
                <w:szCs w:val="18"/>
              </w:rPr>
              <w:t>6,543</w:t>
            </w:r>
          </w:p>
        </w:tc>
        <w:tc>
          <w:tcPr>
            <w:tcW w:w="1295" w:type="dxa"/>
            <w:shd w:val="clear" w:color="auto" w:fill="F0F4F9"/>
            <w:tcMar>
              <w:top w:w="80" w:type="dxa"/>
              <w:left w:w="120" w:type="dxa"/>
              <w:bottom w:w="80" w:type="dxa"/>
              <w:right w:w="120" w:type="dxa"/>
            </w:tcMar>
            <w:vAlign w:val="center"/>
          </w:tcPr>
          <w:p w14:paraId="58FEEDF7" w14:textId="0E424E5D" w:rsidR="009F583B" w:rsidRPr="00F24BF5" w:rsidRDefault="009F583B" w:rsidP="00885E3D">
            <w:pPr>
              <w:spacing w:before="100" w:beforeAutospacing="1" w:after="100" w:afterAutospacing="1"/>
              <w:rPr>
                <w:rFonts w:cs="Arial"/>
                <w:sz w:val="18"/>
                <w:szCs w:val="18"/>
              </w:rPr>
            </w:pPr>
            <w:r w:rsidRPr="00F24BF5">
              <w:rPr>
                <w:rFonts w:cs="Arial"/>
                <w:sz w:val="18"/>
                <w:szCs w:val="18"/>
              </w:rPr>
              <w:t>0</w:t>
            </w:r>
          </w:p>
        </w:tc>
        <w:tc>
          <w:tcPr>
            <w:tcW w:w="1295" w:type="dxa"/>
            <w:shd w:val="clear" w:color="auto" w:fill="F0F4F9"/>
            <w:tcMar>
              <w:top w:w="80" w:type="dxa"/>
              <w:left w:w="120" w:type="dxa"/>
              <w:bottom w:w="80" w:type="dxa"/>
              <w:right w:w="120" w:type="dxa"/>
            </w:tcMar>
            <w:vAlign w:val="center"/>
          </w:tcPr>
          <w:p w14:paraId="46FBFA2A" w14:textId="64298FB0" w:rsidR="009F583B" w:rsidRPr="00F24BF5" w:rsidRDefault="009F583B" w:rsidP="00885E3D">
            <w:pPr>
              <w:spacing w:before="100" w:beforeAutospacing="1" w:after="100" w:afterAutospacing="1"/>
              <w:rPr>
                <w:rFonts w:cs="Arial"/>
                <w:sz w:val="18"/>
                <w:szCs w:val="18"/>
              </w:rPr>
            </w:pPr>
            <w:r w:rsidRPr="00F24BF5">
              <w:rPr>
                <w:rFonts w:cs="Arial"/>
                <w:sz w:val="18"/>
                <w:szCs w:val="18"/>
              </w:rPr>
              <w:t>12,409</w:t>
            </w:r>
          </w:p>
        </w:tc>
        <w:tc>
          <w:tcPr>
            <w:tcW w:w="1295" w:type="dxa"/>
            <w:shd w:val="clear" w:color="auto" w:fill="F0F4F9"/>
            <w:tcMar>
              <w:top w:w="80" w:type="dxa"/>
              <w:left w:w="120" w:type="dxa"/>
              <w:bottom w:w="80" w:type="dxa"/>
              <w:right w:w="120" w:type="dxa"/>
            </w:tcMar>
            <w:vAlign w:val="center"/>
          </w:tcPr>
          <w:p w14:paraId="4BB90A81" w14:textId="2982CEC1" w:rsidR="009F583B" w:rsidRPr="00F24BF5" w:rsidRDefault="009F583B" w:rsidP="00885E3D">
            <w:pPr>
              <w:spacing w:before="100" w:beforeAutospacing="1" w:after="100" w:afterAutospacing="1"/>
              <w:rPr>
                <w:rFonts w:cs="Arial"/>
                <w:sz w:val="18"/>
                <w:szCs w:val="18"/>
              </w:rPr>
            </w:pPr>
            <w:r w:rsidRPr="00F24BF5">
              <w:rPr>
                <w:rFonts w:cs="Arial"/>
                <w:sz w:val="18"/>
                <w:szCs w:val="18"/>
              </w:rPr>
              <w:t>18,952</w:t>
            </w:r>
          </w:p>
        </w:tc>
        <w:tc>
          <w:tcPr>
            <w:tcW w:w="1295" w:type="dxa"/>
            <w:shd w:val="clear" w:color="auto" w:fill="F0F4F9"/>
            <w:tcMar>
              <w:top w:w="80" w:type="dxa"/>
              <w:left w:w="120" w:type="dxa"/>
              <w:bottom w:w="80" w:type="dxa"/>
              <w:right w:w="120" w:type="dxa"/>
            </w:tcMar>
            <w:vAlign w:val="center"/>
          </w:tcPr>
          <w:p w14:paraId="14D4CA43" w14:textId="02E70609" w:rsidR="009F583B" w:rsidRPr="00F24BF5" w:rsidRDefault="009F583B" w:rsidP="00885E3D">
            <w:pPr>
              <w:spacing w:before="100" w:beforeAutospacing="1" w:after="100" w:afterAutospacing="1"/>
              <w:rPr>
                <w:rFonts w:cs="Arial"/>
                <w:sz w:val="18"/>
                <w:szCs w:val="18"/>
              </w:rPr>
            </w:pPr>
            <w:r w:rsidRPr="00F24BF5">
              <w:rPr>
                <w:rFonts w:cs="Arial"/>
                <w:sz w:val="18"/>
                <w:szCs w:val="18"/>
              </w:rPr>
              <w:t>14.7</w:t>
            </w:r>
          </w:p>
        </w:tc>
      </w:tr>
    </w:tbl>
    <w:p w14:paraId="62B392C8" w14:textId="1313DBB7" w:rsidR="004313AF" w:rsidRPr="005B0FA3" w:rsidRDefault="009F583B" w:rsidP="004313AF">
      <w:pPr>
        <w:pStyle w:val="font-claude-response-body"/>
        <w:jc w:val="both"/>
        <w:rPr>
          <w:rFonts w:cs="Arial"/>
          <w:szCs w:val="20"/>
        </w:rPr>
      </w:pPr>
      <w:r w:rsidRPr="005B0FA3">
        <w:rPr>
          <w:rFonts w:cs="Arial"/>
          <w:szCs w:val="20"/>
        </w:rPr>
        <w:t xml:space="preserve">Regime 0 commands 42.4% of all training rows because FD001 and FD003 — single-regime subsets — are entirely assigned to Regime 0 by the Phase 2 K-Means pipeline, with zero contribution to any other regime. This is a structural feature of the C-MAPSS dataset arising from the fixed operational settings of the single-condition subsets and does not constitute a modelling error. Within the multi-regime subsets, FD002 distributes broadly uniformly across all six regimes. FD004 is similarly balanced for Regimes 0 through 4, but Regime 5 carries a disproportionate 12,409 rows — approximately </w:t>
      </w:r>
      <m:oMath>
        <m:r>
          <w:rPr>
            <w:rFonts w:ascii="Cambria Math" w:hAnsi="Cambria Math" w:cs="Arial"/>
            <w:szCs w:val="20"/>
          </w:rPr>
          <m:t>1.67×</m:t>
        </m:r>
      </m:oMath>
      <w:r w:rsidRPr="005B0FA3">
        <w:rPr>
          <w:rFonts w:cs="Arial"/>
          <w:szCs w:val="20"/>
        </w:rPr>
        <w:t xml:space="preserve"> the FD004 per-regime mean for Regimes 1–4 — the origin of which is not resolvable from the row distribution alone.</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4313AF" w:rsidRPr="005B0FA3" w14:paraId="58451BE8" w14:textId="77777777" w:rsidTr="00885E3D">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1E12F4C6" w14:textId="6B399F1C" w:rsidR="004313AF" w:rsidRPr="005B0FA3" w:rsidRDefault="004313AF" w:rsidP="00885E3D">
            <w:pPr>
              <w:spacing w:before="100" w:beforeAutospacing="1" w:after="100" w:afterAutospacing="1"/>
              <w:jc w:val="both"/>
              <w:rPr>
                <w:rFonts w:cs="Arial"/>
                <w:color w:val="91192E"/>
                <w:sz w:val="18"/>
                <w:szCs w:val="18"/>
              </w:rPr>
            </w:pPr>
            <w:r w:rsidRPr="005B0FA3">
              <w:rPr>
                <w:rFonts w:cs="Arial"/>
                <w:color w:val="91192E"/>
                <w:sz w:val="18"/>
                <w:szCs w:val="18"/>
              </w:rPr>
              <w:t>Disposition: Diagnostic. No corrective action is taken at Phase 3. Inverse-frequency regime weighting</w:t>
            </w:r>
            <w:r w:rsidR="00B45DA7" w:rsidRPr="005B0FA3">
              <w:rPr>
                <w:rStyle w:val="FootnoteReference"/>
                <w:rFonts w:cs="Arial"/>
                <w:color w:val="91192E"/>
                <w:sz w:val="18"/>
                <w:szCs w:val="18"/>
              </w:rPr>
              <w:footnoteReference w:id="3"/>
            </w:r>
            <w:r w:rsidRPr="005B0FA3">
              <w:rPr>
                <w:rFonts w:cs="Arial"/>
                <w:color w:val="91192E"/>
                <w:sz w:val="18"/>
                <w:szCs w:val="18"/>
              </w:rPr>
              <w:t xml:space="preserve"> is relevant for gradient-based and attention-based models that may underfit minority regimes and is formally deferred to Phase </w:t>
            </w:r>
            <w:r w:rsidR="00A42DEE">
              <w:rPr>
                <w:rFonts w:cs="Arial"/>
                <w:color w:val="91192E"/>
                <w:sz w:val="18"/>
                <w:szCs w:val="18"/>
              </w:rPr>
              <w:t>4</w:t>
            </w:r>
            <w:r w:rsidRPr="005B0FA3">
              <w:rPr>
                <w:rFonts w:cs="Arial"/>
                <w:color w:val="91192E"/>
                <w:sz w:val="18"/>
                <w:szCs w:val="18"/>
              </w:rPr>
              <w:t>, where the SOTA benchmark architectures (DeepAR, TFT, PatchTST) may require regime-aware sampling strategies. XGBoost in Phase 4 does not require this intervention.</w:t>
            </w:r>
          </w:p>
        </w:tc>
      </w:tr>
    </w:tbl>
    <w:p w14:paraId="4D4009BF" w14:textId="6226A8CB" w:rsidR="004313AF" w:rsidRPr="00F24BF5" w:rsidRDefault="009B23CF" w:rsidP="004313AF">
      <w:pPr>
        <w:spacing w:before="100" w:beforeAutospacing="1" w:after="100" w:afterAutospacing="1"/>
        <w:rPr>
          <w:rFonts w:cs="Arial"/>
          <w:i/>
          <w:iCs/>
          <w:szCs w:val="20"/>
        </w:rPr>
      </w:pPr>
      <w:r>
        <w:rPr>
          <w:rFonts w:ascii="Cambria Math" w:hAnsi="Cambria Math" w:cs="Arial"/>
          <w:i/>
          <w:noProof/>
        </w:rPr>
        <w:drawing>
          <wp:anchor distT="0" distB="0" distL="114300" distR="114300" simplePos="0" relativeHeight="251661312" behindDoc="0" locked="0" layoutInCell="1" allowOverlap="1" wp14:anchorId="0B81FE3F" wp14:editId="254EE225">
            <wp:simplePos x="0" y="0"/>
            <wp:positionH relativeFrom="column">
              <wp:align>left</wp:align>
            </wp:positionH>
            <wp:positionV relativeFrom="paragraph">
              <wp:posOffset>446405</wp:posOffset>
            </wp:positionV>
            <wp:extent cx="5173200" cy="2552400"/>
            <wp:effectExtent l="0" t="0" r="0" b="635"/>
            <wp:wrapTopAndBottom/>
            <wp:docPr id="398561957" name="Picture 2" descr="A graph of row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61957" name="Picture 2" descr="A graph of rows of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3200" cy="25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3AF" w:rsidRPr="00F24BF5">
        <w:rPr>
          <w:rFonts w:cs="Arial"/>
          <w:b/>
          <w:bCs/>
          <w:i/>
          <w:iCs/>
          <w:color w:val="1B3A5C"/>
          <w:szCs w:val="20"/>
        </w:rPr>
        <w:t>Figure 2. Regime Row Distribution by Subset (Internal Train)</w:t>
      </w:r>
    </w:p>
    <w:p w14:paraId="218AD06D" w14:textId="6F8F290C" w:rsidR="004313AF" w:rsidRPr="005B0FA3" w:rsidRDefault="004313AF" w:rsidP="00BD4886">
      <w:pPr>
        <w:pStyle w:val="font-claude-response-body"/>
        <w:jc w:val="both"/>
        <w:rPr>
          <w:rFonts w:cs="Arial"/>
          <w:szCs w:val="20"/>
        </w:rPr>
      </w:pPr>
      <w:r w:rsidRPr="005B0FA3">
        <w:rPr>
          <w:rFonts w:cs="Arial"/>
          <w:szCs w:val="20"/>
        </w:rPr>
        <w:lastRenderedPageBreak/>
        <w:t xml:space="preserve">Figure 2 reveals the structural origin of the Regime 0 dominance more clearly than the aggregate table alone. FD001 and FD003, being single-regime subsets, contribute their entire row counts exclusively to Regime 0 — 16,561 and 20,012 rows respectively — with zero representation in Regimes 1 through 5. FD002 distributes broadly uniformly across all six regimes at approximately 6,500 rows per regime. FD004 mirrors this balance for Regimes 0 through 4 at approximately 7,300–7,450 rows each but exhibits a pronounced asymmetry in Regime 5 at 12,409 rows — approximately </w:t>
      </w:r>
      <m:oMath>
        <m:r>
          <w:rPr>
            <w:rFonts w:ascii="Cambria Math" w:hAnsi="Cambria Math" w:cs="Arial"/>
            <w:szCs w:val="20"/>
          </w:rPr>
          <m:t>1.67×</m:t>
        </m:r>
      </m:oMath>
      <w:r w:rsidRPr="005B0FA3">
        <w:rPr>
          <w:rFonts w:cs="Arial"/>
          <w:szCs w:val="20"/>
        </w:rPr>
        <w:t xml:space="preserve"> the FD004 per-regime mean for Regimes 1–4. Whether this asymmetry reflects a genuinely higher prevalence of the Regime 5 flight condition in the dual-fault FD004 operating envelope, or is a K-Means boundary artefact, is not resolvable from the row distribution alone and is noted as an open diagnostic question.</w:t>
      </w:r>
    </w:p>
    <w:p w14:paraId="59A8694E" w14:textId="3BCE4807" w:rsidR="00A807E4" w:rsidRPr="005B0FA3" w:rsidRDefault="000D6D4B" w:rsidP="00623C1B">
      <w:pPr>
        <w:pStyle w:val="Heading2"/>
        <w:spacing w:before="100" w:beforeAutospacing="1" w:after="100" w:afterAutospacing="1"/>
      </w:pPr>
      <w:r w:rsidRPr="005B0FA3">
        <w:t>4.4  G5 — regime_id Ordinal Encoding</w:t>
      </w:r>
      <w:r w:rsidR="00E94E18" w:rsidRPr="005B0FA3">
        <w:t xml:space="preserve"> (Cell 10)</w:t>
      </w:r>
    </w:p>
    <w:p w14:paraId="2767F536" w14:textId="1082BC1E" w:rsidR="00402FBC" w:rsidRPr="00F24BF5" w:rsidRDefault="00000000" w:rsidP="00402FBC">
      <w:pPr>
        <w:spacing w:before="100" w:beforeAutospacing="1" w:after="100" w:afterAutospacing="1"/>
        <w:jc w:val="both"/>
        <w:rPr>
          <w:rFonts w:cs="Arial"/>
          <w:szCs w:val="20"/>
        </w:rPr>
      </w:pPr>
      <w:r w:rsidRPr="00F24BF5">
        <w:rPr>
          <w:rFonts w:cs="Arial"/>
          <w:szCs w:val="20"/>
        </w:rPr>
        <w:t xml:space="preserve">The integer regime_id column assigned in Phase 2 encodes an implied ordinal relationship </w:t>
      </w:r>
      <m:oMath>
        <m:r>
          <w:rPr>
            <w:rFonts w:ascii="Cambria Math" w:hAnsi="Cambria Math" w:cs="Arial"/>
            <w:szCs w:val="20"/>
          </w:rPr>
          <m:t>(0 &lt; 1 &lt; 2 &lt; ...)</m:t>
        </m:r>
      </m:oMath>
      <w:r w:rsidRPr="00F24BF5">
        <w:rPr>
          <w:rFonts w:cs="Arial"/>
          <w:szCs w:val="20"/>
        </w:rPr>
        <w:t xml:space="preserve"> that has no physical basis. K-Means cluster assignments are nominal: regime 3 is not "greater" than regime 2 in any meaningful engineering sense. Presenting a nominal variable as an integer to a tree-based or linear model may produce spurious splits or coefficient estimates that exploit the artificial ordering.</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402FBC" w:rsidRPr="005B0FA3" w14:paraId="04D2F44A" w14:textId="77777777" w:rsidTr="00885E3D">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5A36D695" w14:textId="2647187A" w:rsidR="00402FBC" w:rsidRPr="005B0FA3" w:rsidRDefault="00402FBC" w:rsidP="00885E3D">
            <w:pPr>
              <w:spacing w:before="100" w:beforeAutospacing="1" w:after="100" w:afterAutospacing="1"/>
              <w:jc w:val="both"/>
              <w:rPr>
                <w:rFonts w:cs="Arial"/>
              </w:rPr>
            </w:pPr>
            <w:r w:rsidRPr="005B0FA3">
              <w:rPr>
                <w:rFonts w:cs="Arial"/>
                <w:color w:val="91192E"/>
                <w:sz w:val="18"/>
                <w:szCs w:val="18"/>
              </w:rPr>
              <w:t>Resolution: The integer regime_id was one-hot encoded using pd.get_dummies, producing six binary indicator columns (regime_0 through regime_5) with dtype int. The original integer column was dropped. The one-hot representation is lossless and unambiguous for any downstream learner. The raw operational settings op1, op2, and op3 are simultaneously retained in the core manifold, providing the continuous regime signal independently of the discrete cluster assignment</w:t>
            </w:r>
            <w:r w:rsidRPr="005B0FA3">
              <w:rPr>
                <w:rFonts w:cs="Arial"/>
              </w:rPr>
              <w:t>.</w:t>
            </w:r>
          </w:p>
        </w:tc>
      </w:tr>
    </w:tbl>
    <w:p w14:paraId="6805AD37" w14:textId="32B711BF" w:rsidR="00A807E4" w:rsidRPr="005B0FA3" w:rsidRDefault="000D6D4B" w:rsidP="00623C1B">
      <w:pPr>
        <w:pStyle w:val="Heading2"/>
        <w:spacing w:before="100" w:beforeAutospacing="1" w:after="100" w:afterAutospacing="1"/>
      </w:pPr>
      <w:bookmarkStart w:id="0" w:name="OLE_LINK1"/>
      <w:r w:rsidRPr="005B0FA3">
        <w:t>4.5  G6 — s7 Cross-Fault-Mode Sigma Differential</w:t>
      </w:r>
      <w:r w:rsidR="00B95139" w:rsidRPr="005B0FA3">
        <w:t xml:space="preserve"> (Cell 11)</w:t>
      </w:r>
    </w:p>
    <w:bookmarkEnd w:id="0"/>
    <w:p w14:paraId="16C56C44" w14:textId="77777777" w:rsidR="0021343B" w:rsidRPr="008A738F" w:rsidRDefault="0021343B" w:rsidP="0021343B">
      <w:pPr>
        <w:spacing w:before="100" w:beforeAutospacing="1" w:after="100" w:afterAutospacing="1"/>
        <w:jc w:val="both"/>
        <w:rPr>
          <w:rFonts w:cs="Arial"/>
          <w:szCs w:val="20"/>
        </w:rPr>
      </w:pPr>
      <w:r w:rsidRPr="008A738F">
        <w:rPr>
          <w:rFonts w:cs="Arial"/>
          <w:szCs w:val="20"/>
        </w:rPr>
        <w:t>s7 measures HPC outlet pressure (P30) and is one of the three primary degradation indicators in the FusionCore health monitoring framework alongside s4 (EGT) and s9 (Nc). Its behaviour across the four C-MAPSS subsets is not uniform, and the reason is structural: FD001 and FD002 are single-fault subsets in which only the HPC degrades, whilst FD003 and FD004 are dual-fault subsets in which both the HPC and the fan degrade simultaneously. The fan degradation mode introduces additional pressure variance into s7 readings that is physically unrelated to HPC health — it is variance from a second, concurrent fault source superimposed on the primary degradation signal.</w:t>
      </w:r>
    </w:p>
    <w:p w14:paraId="2ED72A72" w14:textId="21F69565" w:rsidR="0021343B" w:rsidRPr="008A738F" w:rsidRDefault="0021343B" w:rsidP="0021343B">
      <w:pPr>
        <w:spacing w:before="100" w:beforeAutospacing="1" w:after="100" w:afterAutospacing="1"/>
        <w:jc w:val="both"/>
        <w:rPr>
          <w:rFonts w:cs="Arial"/>
          <w:szCs w:val="20"/>
        </w:rPr>
      </w:pPr>
      <w:r w:rsidRPr="008A738F">
        <w:rPr>
          <w:rFonts w:cs="Arial"/>
          <w:szCs w:val="20"/>
        </w:rPr>
        <w:t xml:space="preserve">Phase 2 quantified this differential at </w:t>
      </w:r>
      <m:oMath>
        <m:r>
          <w:rPr>
            <w:rFonts w:ascii="Cambria Math" w:hAnsi="Cambria Math" w:cs="Arial"/>
            <w:szCs w:val="20"/>
          </w:rPr>
          <m:t>3.93×</m:t>
        </m:r>
      </m:oMath>
      <w:r w:rsidRPr="008A738F">
        <w:rPr>
          <w:rFonts w:cs="Arial"/>
          <w:szCs w:val="20"/>
        </w:rPr>
        <w:t xml:space="preserve"> when measured as the ratio of within-regime standard deviations between dual-fault and single-fault populations prior to z-normalisation. If this scale differential were carried into the feature matrix uncorrected, the model would be implicitly learning different response magnitudes for what is nominally the same sensor, purely as a function of which fault modes happen to be active in a given subset. This constitutes a systematic structural confound rather than a genuine physical signal.</w:t>
      </w:r>
    </w:p>
    <w:p w14:paraId="0F8424AB" w14:textId="7A1C80EF" w:rsidR="0021343B" w:rsidRPr="008A738F" w:rsidRDefault="0021343B" w:rsidP="0021343B">
      <w:pPr>
        <w:spacing w:before="100" w:beforeAutospacing="1" w:after="100" w:afterAutospacing="1"/>
        <w:jc w:val="both"/>
        <w:rPr>
          <w:rFonts w:cs="Arial"/>
          <w:szCs w:val="20"/>
        </w:rPr>
      </w:pPr>
      <w:r w:rsidRPr="008A738F">
        <w:rPr>
          <w:rFonts w:cs="Arial"/>
          <w:szCs w:val="20"/>
        </w:rPr>
        <w:t xml:space="preserve">Per-regime, per-subset z-normalisation in Phase 2 resolves the scale problem directly by design. Following normalisation, both populations are standardised to unit variance within each regime. The sigma ratio measured at Phase 3 intake is </w:t>
      </w:r>
      <m:oMath>
        <m:r>
          <w:rPr>
            <w:rFonts w:ascii="Cambria Math" w:hAnsi="Cambria Math" w:cs="Arial"/>
            <w:szCs w:val="20"/>
          </w:rPr>
          <m:t>1.00×</m:t>
        </m:r>
      </m:oMath>
      <w:r w:rsidRPr="008A738F">
        <w:rPr>
          <w:rFonts w:cs="Arial"/>
          <w:szCs w:val="20"/>
        </w:rPr>
        <w:t xml:space="preserve"> (single-fault sigma: 1.0000, dual-fault sigma: 1.0000), confirming the normalisation step has fully equalised the within-regime scale of s7 across fault-mode families.</w:t>
      </w:r>
    </w:p>
    <w:p w14:paraId="5B7F7203" w14:textId="77777777" w:rsidR="0021343B" w:rsidRPr="008A738F" w:rsidRDefault="0021343B" w:rsidP="0021343B">
      <w:pPr>
        <w:spacing w:before="100" w:beforeAutospacing="1" w:after="100" w:afterAutospacing="1"/>
        <w:jc w:val="both"/>
        <w:rPr>
          <w:rFonts w:cs="Arial"/>
          <w:szCs w:val="20"/>
        </w:rPr>
      </w:pPr>
      <w:r w:rsidRPr="008A738F">
        <w:rPr>
          <w:rFonts w:cs="Arial"/>
          <w:szCs w:val="20"/>
        </w:rPr>
        <w:t>However, normalisation does not alter the underlying physics. In a single-fault engine, s7 movement in z-space reflects HPC degradation exclusively. In a dual-fault engine, the identical z-score is a mixture of HPC degradation and fan degradation — two signals with different shapes, different progression rates, and different relationships to RUL. After normalisation both populations produce numerically identical standard deviations, but the two numbers carry structurally different physical meaning. A model presented with only the normalised s7 value has no mechanism to distinguish between these two interpretive contexts and will conflate fundamentally different degradation dynamics into a single learned response function.</w:t>
      </w:r>
    </w:p>
    <w:p w14:paraId="4345B847" w14:textId="77777777" w:rsidR="0021343B" w:rsidRPr="008A738F" w:rsidRDefault="0021343B" w:rsidP="0021343B">
      <w:pPr>
        <w:spacing w:before="100" w:beforeAutospacing="1" w:after="100" w:afterAutospacing="1"/>
        <w:jc w:val="both"/>
        <w:rPr>
          <w:rFonts w:cs="Arial"/>
          <w:szCs w:val="20"/>
        </w:rPr>
      </w:pPr>
      <w:r w:rsidRPr="008A738F">
        <w:rPr>
          <w:rFonts w:cs="Arial"/>
          <w:szCs w:val="20"/>
        </w:rPr>
        <w:lastRenderedPageBreak/>
        <w:t>To preserve this structurally important distinction in the feature matrix, a binary indicator fault_mode_family is introduced: value 0 for FD001/FD002 (single-fault, HPC degradation only) and value 1 for FD003/FD004 (dual-fault, HPC and fan degradation). This flag provides the model — particularly a tree-based architecture such as XGBoost, which partitions the feature space via threshold splits — with the information necessary to learn separate response functions for s7 conditioned on fault mode family, without requiring two separate models or any restructuring of the feature matrix. The distribution across the internal training partition is: single-fault = 60,025 rows; dual-fault = 69,306 rows. The near-equal split is a favourable result, ensuring the model receives adequate exposure to both degradation regimes and is not biased towards either family by sampling imbalance.</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21343B" w:rsidRPr="005B0FA3" w14:paraId="14167E6F" w14:textId="77777777" w:rsidTr="00885E3D">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7253CE19" w14:textId="77AC932A" w:rsidR="0021343B" w:rsidRPr="005B0FA3" w:rsidRDefault="00402FBC" w:rsidP="00885E3D">
            <w:pPr>
              <w:spacing w:before="100" w:beforeAutospacing="1" w:after="100" w:afterAutospacing="1"/>
              <w:jc w:val="both"/>
              <w:rPr>
                <w:rFonts w:cs="Arial"/>
                <w:color w:val="91192E"/>
                <w:sz w:val="18"/>
                <w:szCs w:val="18"/>
              </w:rPr>
            </w:pPr>
            <w:r w:rsidRPr="005B0FA3">
              <w:rPr>
                <w:rFonts w:cs="Arial"/>
                <w:color w:val="91192E"/>
                <w:sz w:val="18"/>
                <w:szCs w:val="18"/>
              </w:rPr>
              <w:t>Disposition: G6 resolved. The fault_mode_family binary indicator is added to the feature matrix and will be retained through Phase 4. Its importance relative to direct sensor features will be evaluated via SHAP analysis in Phase 4.</w:t>
            </w:r>
          </w:p>
        </w:tc>
      </w:tr>
    </w:tbl>
    <w:p w14:paraId="1405E512" w14:textId="3BEA856E" w:rsidR="00A807E4" w:rsidRPr="003C16CF" w:rsidRDefault="000D6D4B" w:rsidP="003C16CF">
      <w:pPr>
        <w:pStyle w:val="Heading2"/>
      </w:pPr>
      <w:bookmarkStart w:id="1" w:name="OLE_LINK2"/>
      <w:r w:rsidRPr="005B0FA3">
        <w:t xml:space="preserve">4.6  G7 — Mechanically Linked Sensor Pairs </w:t>
      </w:r>
      <w:r w:rsidR="00A016D4" w:rsidRPr="005B0FA3">
        <w:t>&amp;</w:t>
      </w:r>
      <w:r w:rsidRPr="005B0FA3">
        <w:t xml:space="preserve"> VIF Analysis</w:t>
      </w:r>
      <w:r w:rsidR="00402FBC" w:rsidRPr="005B0FA3">
        <w:t xml:space="preserve"> (Cell 12)</w:t>
      </w:r>
    </w:p>
    <w:p w14:paraId="09E38BA6" w14:textId="14EF0452" w:rsidR="005B31E3" w:rsidRPr="004451D0" w:rsidRDefault="00000000" w:rsidP="00A016D4">
      <w:pPr>
        <w:spacing w:before="100" w:beforeAutospacing="1" w:after="100" w:afterAutospacing="1"/>
        <w:jc w:val="both"/>
        <w:rPr>
          <w:rFonts w:eastAsia="Arial" w:cs="Arial"/>
          <w:szCs w:val="20"/>
        </w:rPr>
      </w:pPr>
      <w:r w:rsidRPr="008A738F">
        <w:rPr>
          <w:rFonts w:cs="Arial"/>
          <w:szCs w:val="20"/>
        </w:rPr>
        <w:t xml:space="preserve">The physical relationship between corrected and uncorrected turbomachinery speed measurements is governed by the corrected speed equation from thermodynamic cycle theory </w:t>
      </w:r>
      <w:sdt>
        <w:sdtPr>
          <w:rPr>
            <w:rFonts w:cs="Arial"/>
            <w:szCs w:val="20"/>
          </w:rPr>
          <w:id w:val="475419137"/>
          <w:citation/>
        </w:sdtPr>
        <w:sdtContent>
          <w:r w:rsidR="00402FBC" w:rsidRPr="008A738F">
            <w:rPr>
              <w:rFonts w:cs="Arial"/>
              <w:szCs w:val="20"/>
            </w:rPr>
            <w:fldChar w:fldCharType="begin"/>
          </w:r>
          <w:r w:rsidR="00402FBC" w:rsidRPr="008A738F">
            <w:rPr>
              <w:rFonts w:cs="Arial"/>
              <w:szCs w:val="20"/>
            </w:rPr>
            <w:instrText xml:space="preserve"> CITATION Wal04 \l 2057 </w:instrText>
          </w:r>
          <w:r w:rsidR="00402FBC" w:rsidRPr="008A738F">
            <w:rPr>
              <w:rFonts w:cs="Arial"/>
              <w:szCs w:val="20"/>
            </w:rPr>
            <w:fldChar w:fldCharType="separate"/>
          </w:r>
          <w:r w:rsidR="0074017E" w:rsidRPr="0074017E">
            <w:rPr>
              <w:rFonts w:cs="Arial"/>
              <w:noProof/>
              <w:szCs w:val="20"/>
            </w:rPr>
            <w:t>[5]</w:t>
          </w:r>
          <w:r w:rsidR="00402FBC" w:rsidRPr="008A738F">
            <w:rPr>
              <w:rFonts w:cs="Arial"/>
              <w:szCs w:val="20"/>
            </w:rPr>
            <w:fldChar w:fldCharType="end"/>
          </w:r>
        </w:sdtContent>
      </w:sdt>
      <w:r w:rsidRPr="008A738F">
        <w:rPr>
          <w:rFonts w:cs="Arial"/>
          <w:szCs w:val="20"/>
        </w:rPr>
        <w:t>:</w:t>
      </w:r>
    </w:p>
    <w:p w14:paraId="797105BD" w14:textId="77777777" w:rsidR="005B31E3" w:rsidRPr="004451D0" w:rsidRDefault="005B31E3" w:rsidP="00A016D4">
      <w:pPr>
        <w:spacing w:before="100" w:beforeAutospacing="1" w:after="100" w:afterAutospacing="1"/>
        <w:jc w:val="both"/>
        <w:rPr>
          <w:rFonts w:cs="Arial"/>
          <w:szCs w:val="20"/>
        </w:rPr>
      </w:pPr>
      <m:oMathPara>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x</m:t>
              </m:r>
            </m:sub>
          </m:sSub>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x</m:t>
                  </m:r>
                </m:sub>
              </m:sSub>
              <m:ctrlPr>
                <w:rPr>
                  <w:rFonts w:ascii="Cambria Math" w:hAnsi="Cambria Math" w:cs="Arial"/>
                  <w:i/>
                  <w:szCs w:val="20"/>
                </w:rPr>
              </m:ctrlPr>
            </m:num>
            <m:den>
              <m:rad>
                <m:radPr>
                  <m:degHide m:val="1"/>
                  <m:ctrlPr>
                    <w:rPr>
                      <w:rFonts w:ascii="Cambria Math" w:hAnsi="Cambria Math" w:cs="Arial"/>
                      <w:szCs w:val="20"/>
                    </w:rPr>
                  </m:ctrlPr>
                </m:radPr>
                <m:deg/>
                <m:e>
                  <m:r>
                    <w:rPr>
                      <w:rFonts w:ascii="Cambria Math" w:hAnsi="Cambria Math" w:cs="Arial"/>
                      <w:szCs w:val="20"/>
                    </w:rPr>
                    <m:t>θ</m:t>
                  </m:r>
                </m:e>
              </m:rad>
              <m:ctrlPr>
                <w:rPr>
                  <w:rFonts w:ascii="Cambria Math" w:hAnsi="Cambria Math" w:cs="Arial"/>
                  <w:i/>
                  <w:szCs w:val="20"/>
                </w:rPr>
              </m:ctrlPr>
            </m:den>
          </m:f>
          <m:r>
            <w:rPr>
              <w:rFonts w:ascii="Cambria Math" w:hAnsi="Cambria Math" w:cs="Arial"/>
              <w:szCs w:val="20"/>
            </w:rPr>
            <m:t>,</m:t>
          </m:r>
          <m:r>
            <m:rPr>
              <m:sty m:val="p"/>
            </m:rPr>
            <w:rPr>
              <w:rFonts w:ascii="Cambria Math" w:hAnsi="Cambria Math" w:cs="Arial"/>
              <w:szCs w:val="20"/>
            </w:rPr>
            <m:t>  </m:t>
          </m:r>
          <m:r>
            <w:rPr>
              <w:rFonts w:ascii="Cambria Math" w:hAnsi="Cambria Math" w:cs="Arial"/>
              <w:szCs w:val="20"/>
            </w:rPr>
            <m:t>θ=</m:t>
          </m:r>
          <m:f>
            <m:fPr>
              <m:ctrlPr>
                <w:rPr>
                  <w:rFonts w:ascii="Cambria Math" w:hAnsi="Cambria Math" w:cs="Arial"/>
                  <w:szCs w:val="20"/>
                </w:rPr>
              </m:ctrlPr>
            </m:fPr>
            <m:num>
              <m:sSub>
                <m:sSubPr>
                  <m:ctrlPr>
                    <w:rPr>
                      <w:rFonts w:ascii="Cambria Math" w:hAnsi="Cambria Math" w:cs="Arial"/>
                      <w:i/>
                      <w:szCs w:val="20"/>
                    </w:rPr>
                  </m:ctrlPr>
                </m:sSubPr>
                <m:e>
                  <m:r>
                    <w:rPr>
                      <w:rFonts w:ascii="Cambria Math" w:hAnsi="Cambria Math" w:cs="Arial"/>
                      <w:szCs w:val="20"/>
                    </w:rPr>
                    <m:t>T</m:t>
                  </m:r>
                </m:e>
                <m:sub>
                  <m:r>
                    <m:rPr>
                      <m:nor/>
                    </m:rPr>
                    <w:rPr>
                      <w:rFonts w:cs="Arial"/>
                      <w:szCs w:val="20"/>
                    </w:rPr>
                    <m:t>total</m:t>
                  </m:r>
                </m:sub>
              </m:sSub>
              <m:ctrlPr>
                <w:rPr>
                  <w:rFonts w:ascii="Cambria Math" w:hAnsi="Cambria Math" w:cs="Arial"/>
                  <w:i/>
                  <w:szCs w:val="20"/>
                </w:rPr>
              </m:ctrlPr>
            </m:num>
            <m:den>
              <m:sSub>
                <m:sSubPr>
                  <m:ctrlPr>
                    <w:rPr>
                      <w:rFonts w:ascii="Cambria Math" w:hAnsi="Cambria Math" w:cs="Arial"/>
                      <w:i/>
                      <w:szCs w:val="20"/>
                    </w:rPr>
                  </m:ctrlPr>
                </m:sSubPr>
                <m:e>
                  <m:r>
                    <w:rPr>
                      <w:rFonts w:ascii="Cambria Math" w:hAnsi="Cambria Math" w:cs="Arial"/>
                      <w:szCs w:val="20"/>
                    </w:rPr>
                    <m:t>T</m:t>
                  </m:r>
                </m:e>
                <m:sub>
                  <m:r>
                    <m:rPr>
                      <m:nor/>
                    </m:rPr>
                    <w:rPr>
                      <w:rFonts w:cs="Arial"/>
                      <w:szCs w:val="20"/>
                    </w:rPr>
                    <m:t>ref</m:t>
                  </m:r>
                </m:sub>
              </m:sSub>
              <m:ctrlPr>
                <w:rPr>
                  <w:rFonts w:ascii="Cambria Math" w:hAnsi="Cambria Math" w:cs="Arial"/>
                  <w:i/>
                  <w:szCs w:val="20"/>
                </w:rPr>
              </m:ctrlPr>
            </m:den>
          </m:f>
        </m:oMath>
      </m:oMathPara>
    </w:p>
    <w:p w14:paraId="21D5FAEF" w14:textId="0DB2DC1E" w:rsidR="005B31E3" w:rsidRPr="004451D0" w:rsidRDefault="005B31E3" w:rsidP="00A016D4">
      <w:pPr>
        <w:spacing w:before="100" w:beforeAutospacing="1" w:after="100" w:afterAutospacing="1"/>
        <w:jc w:val="both"/>
        <w:rPr>
          <w:rFonts w:cs="Arial"/>
          <w:szCs w:val="20"/>
        </w:rPr>
      </w:pPr>
      <w:r w:rsidRPr="004451D0">
        <w:rPr>
          <w:rFonts w:cs="Arial"/>
          <w:szCs w:val="20"/>
        </w:rPr>
        <w:t xml:space="preserve">where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x</m:t>
            </m:r>
          </m:sub>
        </m:sSub>
      </m:oMath>
      <w:r w:rsidRPr="004451D0">
        <w:rPr>
          <w:rFonts w:cs="Arial"/>
          <w:szCs w:val="20"/>
        </w:rPr>
        <w:t xml:space="preserve"> is the physical shaft speed (rpm),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x</m:t>
            </m:r>
          </m:sub>
        </m:sSub>
      </m:oMath>
      <w:r w:rsidRPr="004451D0">
        <w:rPr>
          <w:rFonts w:cs="Arial"/>
          <w:szCs w:val="20"/>
        </w:rPr>
        <w:t xml:space="preserve"> is the corrected shaft speed, </w:t>
      </w:r>
      <m:oMath>
        <m:sSub>
          <m:sSubPr>
            <m:ctrlPr>
              <w:rPr>
                <w:rFonts w:ascii="Cambria Math" w:hAnsi="Cambria Math" w:cs="Arial"/>
                <w:i/>
                <w:szCs w:val="20"/>
              </w:rPr>
            </m:ctrlPr>
          </m:sSubPr>
          <m:e>
            <m:r>
              <w:rPr>
                <w:rFonts w:ascii="Cambria Math" w:hAnsi="Cambria Math" w:cs="Arial"/>
                <w:szCs w:val="20"/>
              </w:rPr>
              <m:t>T</m:t>
            </m:r>
          </m:e>
          <m:sub>
            <m:r>
              <m:rPr>
                <m:nor/>
              </m:rPr>
              <w:rPr>
                <w:rFonts w:cs="Arial"/>
                <w:szCs w:val="20"/>
              </w:rPr>
              <m:t>total</m:t>
            </m:r>
          </m:sub>
        </m:sSub>
      </m:oMath>
      <w:r w:rsidRPr="004451D0">
        <w:rPr>
          <w:rFonts w:cs="Arial"/>
          <w:szCs w:val="20"/>
        </w:rPr>
        <w:t xml:space="preserve"> is the total inlet temperature, and </w:t>
      </w:r>
      <m:oMath>
        <m:sSub>
          <m:sSubPr>
            <m:ctrlPr>
              <w:rPr>
                <w:rFonts w:ascii="Cambria Math" w:hAnsi="Cambria Math" w:cs="Arial"/>
                <w:i/>
                <w:szCs w:val="20"/>
              </w:rPr>
            </m:ctrlPr>
          </m:sSubPr>
          <m:e>
            <m:r>
              <w:rPr>
                <w:rFonts w:ascii="Cambria Math" w:hAnsi="Cambria Math" w:cs="Arial"/>
                <w:szCs w:val="20"/>
              </w:rPr>
              <m:t>T</m:t>
            </m:r>
          </m:e>
          <m:sub>
            <m:r>
              <m:rPr>
                <m:nor/>
              </m:rPr>
              <w:rPr>
                <w:rFonts w:cs="Arial"/>
                <w:szCs w:val="20"/>
              </w:rPr>
              <m:t>ref</m:t>
            </m:r>
          </m:sub>
        </m:sSub>
        <m:r>
          <w:rPr>
            <w:rFonts w:ascii="Cambria Math" w:hAnsi="Cambria Math" w:cs="Arial"/>
            <w:szCs w:val="20"/>
          </w:rPr>
          <m:t>=288.15 </m:t>
        </m:r>
        <m:r>
          <m:rPr>
            <m:nor/>
          </m:rPr>
          <w:rPr>
            <w:rFonts w:cs="Arial"/>
            <w:szCs w:val="20"/>
          </w:rPr>
          <m:t>K</m:t>
        </m:r>
      </m:oMath>
      <w:r w:rsidRPr="004451D0">
        <w:rPr>
          <w:rFonts w:cs="Arial"/>
          <w:szCs w:val="20"/>
        </w:rPr>
        <w:t xml:space="preserve"> is the ISA standard atmosphere reference temperature. For the C-MAPSS sensors, s8 =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f</m:t>
            </m:r>
          </m:sub>
        </m:sSub>
      </m:oMath>
      <w:r w:rsidRPr="004451D0">
        <w:rPr>
          <w:rFonts w:cs="Arial"/>
          <w:szCs w:val="20"/>
        </w:rPr>
        <w:t xml:space="preserve"> (physical fan speed) and s13 =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f</m:t>
            </m:r>
          </m:sub>
        </m:sSub>
      </m:oMath>
      <w:r w:rsidRPr="004451D0">
        <w:rPr>
          <w:rFonts w:cs="Arial"/>
          <w:szCs w:val="20"/>
        </w:rPr>
        <w:t xml:space="preserve"> (corrected fan speed); s9 =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c</m:t>
            </m:r>
          </m:sub>
        </m:sSub>
      </m:oMath>
      <w:r w:rsidRPr="004451D0">
        <w:rPr>
          <w:rFonts w:cs="Arial"/>
          <w:szCs w:val="20"/>
        </w:rPr>
        <w:t xml:space="preserve"> (physical core speed) and s14 =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c</m:t>
            </m:r>
          </m:sub>
        </m:sSub>
      </m:oMath>
      <w:r w:rsidRPr="004451D0">
        <w:rPr>
          <w:rFonts w:cs="Arial"/>
          <w:szCs w:val="20"/>
        </w:rPr>
        <w:t xml:space="preserve"> (corrected core speed).</w:t>
      </w:r>
      <w:r w:rsidR="00E14EDD" w:rsidRPr="008A738F">
        <w:rPr>
          <w:rFonts w:cs="Arial"/>
          <w:szCs w:val="20"/>
        </w:rPr>
        <w:t xml:space="preserve"> </w:t>
      </w:r>
      <w:r w:rsidRPr="004451D0">
        <w:rPr>
          <w:rFonts w:cs="Arial"/>
          <w:szCs w:val="20"/>
        </w:rPr>
        <w:t xml:space="preserve">Within any single operating regime, </w:t>
      </w:r>
      <m:oMath>
        <m:sSub>
          <m:sSubPr>
            <m:ctrlPr>
              <w:rPr>
                <w:rFonts w:ascii="Cambria Math" w:hAnsi="Cambria Math" w:cs="Arial"/>
                <w:i/>
                <w:szCs w:val="20"/>
              </w:rPr>
            </m:ctrlPr>
          </m:sSubPr>
          <m:e>
            <m:r>
              <w:rPr>
                <w:rFonts w:ascii="Cambria Math" w:hAnsi="Cambria Math" w:cs="Arial"/>
                <w:szCs w:val="20"/>
              </w:rPr>
              <m:t>T</m:t>
            </m:r>
          </m:e>
          <m:sub>
            <m:r>
              <m:rPr>
                <m:nor/>
              </m:rPr>
              <w:rPr>
                <w:rFonts w:cs="Arial"/>
                <w:szCs w:val="20"/>
              </w:rPr>
              <m:t>total</m:t>
            </m:r>
          </m:sub>
        </m:sSub>
      </m:oMath>
      <w:r w:rsidRPr="004451D0">
        <w:rPr>
          <w:rFonts w:cs="Arial"/>
          <w:szCs w:val="20"/>
        </w:rPr>
        <w:t xml:space="preserve"> is held approximately constant by the K-Means regime assignment, rendering </w:t>
      </w:r>
      <m:oMath>
        <m:r>
          <w:rPr>
            <w:rFonts w:ascii="Cambria Math" w:hAnsi="Cambria Math" w:cs="Arial"/>
            <w:szCs w:val="20"/>
          </w:rPr>
          <m:t>θ</m:t>
        </m:r>
      </m:oMath>
      <w:r w:rsidRPr="004451D0">
        <w:rPr>
          <w:rFonts w:cs="Arial"/>
          <w:szCs w:val="20"/>
        </w:rPr>
        <w:t xml:space="preserve"> approximately constant and producing a near-perfect linear relationship between each physical and corrected speed pair. This constitutes structural multicollinearity — a condition imposed by the measurement physics rather than by statistical accident.</w:t>
      </w:r>
    </w:p>
    <w:p w14:paraId="2908564D" w14:textId="72815EDC" w:rsidR="005B31E3" w:rsidRPr="008A738F" w:rsidRDefault="005B31E3" w:rsidP="00A016D4">
      <w:pPr>
        <w:spacing w:before="100" w:beforeAutospacing="1" w:after="100" w:afterAutospacing="1"/>
        <w:jc w:val="both"/>
        <w:rPr>
          <w:rFonts w:cs="Arial"/>
          <w:szCs w:val="20"/>
        </w:rPr>
      </w:pPr>
      <w:r w:rsidRPr="004451D0">
        <w:rPr>
          <w:rFonts w:cs="Arial"/>
          <w:szCs w:val="20"/>
        </w:rPr>
        <w:t xml:space="preserve">Multicollinearity was quantified using the Variance Inflation Factor </w:t>
      </w:r>
      <m:oMath>
        <m:r>
          <w:rPr>
            <w:rFonts w:ascii="Cambria Math" w:hAnsi="Cambria Math" w:cs="Arial"/>
            <w:szCs w:val="20"/>
          </w:rPr>
          <m:t>(VIF)</m:t>
        </m:r>
      </m:oMath>
      <w:r w:rsidRPr="004451D0">
        <w:rPr>
          <w:rFonts w:cs="Arial"/>
          <w:szCs w:val="20"/>
        </w:rPr>
        <w:t>, following the standard regression-based formulation of Montgomery, Peck &amp; Vining (2012)</w:t>
      </w:r>
      <w:sdt>
        <w:sdtPr>
          <w:rPr>
            <w:rFonts w:cs="Arial"/>
            <w:szCs w:val="20"/>
          </w:rPr>
          <w:id w:val="1097371225"/>
          <w:citation/>
        </w:sdtPr>
        <w:sdtContent>
          <w:r w:rsidR="00A333FC" w:rsidRPr="008A738F">
            <w:rPr>
              <w:rFonts w:cs="Arial"/>
              <w:szCs w:val="20"/>
            </w:rPr>
            <w:fldChar w:fldCharType="begin"/>
          </w:r>
          <w:r w:rsidR="00A333FC" w:rsidRPr="008A738F">
            <w:rPr>
              <w:rFonts w:cs="Arial"/>
              <w:szCs w:val="20"/>
            </w:rPr>
            <w:instrText xml:space="preserve"> CITATION Mon12 \l 2057 </w:instrText>
          </w:r>
          <w:r w:rsidR="00A333FC" w:rsidRPr="008A738F">
            <w:rPr>
              <w:rFonts w:cs="Arial"/>
              <w:szCs w:val="20"/>
            </w:rPr>
            <w:fldChar w:fldCharType="separate"/>
          </w:r>
          <w:r w:rsidR="0074017E">
            <w:rPr>
              <w:rFonts w:cs="Arial"/>
              <w:noProof/>
              <w:szCs w:val="20"/>
            </w:rPr>
            <w:t xml:space="preserve"> </w:t>
          </w:r>
          <w:r w:rsidR="0074017E" w:rsidRPr="0074017E">
            <w:rPr>
              <w:rFonts w:cs="Arial"/>
              <w:noProof/>
              <w:szCs w:val="20"/>
            </w:rPr>
            <w:t>[6]</w:t>
          </w:r>
          <w:r w:rsidR="00A333FC" w:rsidRPr="008A738F">
            <w:rPr>
              <w:rFonts w:cs="Arial"/>
              <w:szCs w:val="20"/>
            </w:rPr>
            <w:fldChar w:fldCharType="end"/>
          </w:r>
        </w:sdtContent>
      </w:sdt>
      <w:r w:rsidRPr="004451D0">
        <w:rPr>
          <w:rFonts w:cs="Arial"/>
          <w:szCs w:val="20"/>
        </w:rPr>
        <w:t>:</w:t>
      </w:r>
    </w:p>
    <w:p w14:paraId="3FE399A5" w14:textId="77777777" w:rsidR="005B31E3" w:rsidRPr="004451D0" w:rsidRDefault="00000000" w:rsidP="00A016D4">
      <w:pPr>
        <w:spacing w:before="100" w:beforeAutospacing="1" w:after="100" w:afterAutospacing="1"/>
        <w:jc w:val="both"/>
        <w:rPr>
          <w:rFonts w:cs="Arial"/>
          <w:szCs w:val="20"/>
        </w:rPr>
      </w:pPr>
      <m:oMathPara>
        <m:oMath>
          <m:sSub>
            <m:sSubPr>
              <m:ctrlPr>
                <w:rPr>
                  <w:rFonts w:ascii="Cambria Math" w:hAnsi="Cambria Math" w:cs="Arial"/>
                  <w:i/>
                  <w:szCs w:val="20"/>
                </w:rPr>
              </m:ctrlPr>
            </m:sSubPr>
            <m:e>
              <m:r>
                <m:rPr>
                  <m:nor/>
                </m:rPr>
                <w:rPr>
                  <w:rFonts w:cs="Arial"/>
                  <w:szCs w:val="20"/>
                </w:rPr>
                <m:t>VIF</m:t>
              </m:r>
              <m:ctrlPr>
                <w:rPr>
                  <w:rFonts w:ascii="Cambria Math" w:hAnsi="Cambria Math" w:cs="Arial"/>
                  <w:szCs w:val="20"/>
                </w:rPr>
              </m:ctrlPr>
            </m:e>
            <m:sub>
              <m:r>
                <w:rPr>
                  <w:rFonts w:ascii="Cambria Math" w:hAnsi="Cambria Math" w:cs="Arial"/>
                  <w:szCs w:val="20"/>
                </w:rPr>
                <m:t>j</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1</m:t>
              </m:r>
              <m:ctrlPr>
                <w:rPr>
                  <w:rFonts w:ascii="Cambria Math" w:hAnsi="Cambria Math" w:cs="Arial"/>
                  <w:i/>
                  <w:szCs w:val="20"/>
                </w:rPr>
              </m:ctrlPr>
            </m:num>
            <m:den>
              <m:r>
                <w:rPr>
                  <w:rFonts w:ascii="Cambria Math" w:hAnsi="Cambria Math" w:cs="Arial"/>
                  <w:szCs w:val="20"/>
                </w:rPr>
                <m:t>1-</m:t>
              </m:r>
              <m:sSubSup>
                <m:sSubSupPr>
                  <m:ctrlPr>
                    <w:rPr>
                      <w:rFonts w:ascii="Cambria Math" w:hAnsi="Cambria Math" w:cs="Arial"/>
                      <w:i/>
                      <w:szCs w:val="20"/>
                    </w:rPr>
                  </m:ctrlPr>
                </m:sSubSupPr>
                <m:e>
                  <m:r>
                    <w:rPr>
                      <w:rFonts w:ascii="Cambria Math" w:hAnsi="Cambria Math" w:cs="Arial"/>
                      <w:szCs w:val="20"/>
                    </w:rPr>
                    <m:t>R</m:t>
                  </m:r>
                </m:e>
                <m:sub>
                  <m:r>
                    <w:rPr>
                      <w:rFonts w:ascii="Cambria Math" w:hAnsi="Cambria Math" w:cs="Arial"/>
                      <w:szCs w:val="20"/>
                    </w:rPr>
                    <m:t>j</m:t>
                  </m:r>
                </m:sub>
                <m:sup>
                  <m:r>
                    <w:rPr>
                      <w:rFonts w:ascii="Cambria Math" w:hAnsi="Cambria Math" w:cs="Arial"/>
                      <w:szCs w:val="20"/>
                    </w:rPr>
                    <m:t>2</m:t>
                  </m:r>
                </m:sup>
              </m:sSubSup>
              <m:ctrlPr>
                <w:rPr>
                  <w:rFonts w:ascii="Cambria Math" w:hAnsi="Cambria Math" w:cs="Arial"/>
                  <w:i/>
                  <w:szCs w:val="20"/>
                </w:rPr>
              </m:ctrlPr>
            </m:den>
          </m:f>
        </m:oMath>
      </m:oMathPara>
    </w:p>
    <w:p w14:paraId="198A2855" w14:textId="77777777" w:rsidR="005B31E3" w:rsidRPr="004451D0" w:rsidRDefault="005B31E3" w:rsidP="00A016D4">
      <w:pPr>
        <w:spacing w:before="100" w:beforeAutospacing="1" w:after="100" w:afterAutospacing="1"/>
        <w:jc w:val="both"/>
        <w:rPr>
          <w:rFonts w:cs="Arial"/>
          <w:szCs w:val="20"/>
        </w:rPr>
      </w:pPr>
      <w:r w:rsidRPr="004451D0">
        <w:rPr>
          <w:rFonts w:cs="Arial"/>
          <w:szCs w:val="20"/>
        </w:rPr>
        <w:t xml:space="preserve">where </w:t>
      </w:r>
      <m:oMath>
        <m:sSubSup>
          <m:sSubSupPr>
            <m:ctrlPr>
              <w:rPr>
                <w:rFonts w:ascii="Cambria Math" w:hAnsi="Cambria Math" w:cs="Arial"/>
                <w:i/>
                <w:szCs w:val="20"/>
              </w:rPr>
            </m:ctrlPr>
          </m:sSubSupPr>
          <m:e>
            <m:r>
              <w:rPr>
                <w:rFonts w:ascii="Cambria Math" w:hAnsi="Cambria Math" w:cs="Arial"/>
                <w:szCs w:val="20"/>
              </w:rPr>
              <m:t>R</m:t>
            </m:r>
          </m:e>
          <m:sub>
            <m:r>
              <w:rPr>
                <w:rFonts w:ascii="Cambria Math" w:hAnsi="Cambria Math" w:cs="Arial"/>
                <w:szCs w:val="20"/>
              </w:rPr>
              <m:t>j</m:t>
            </m:r>
          </m:sub>
          <m:sup>
            <m:r>
              <w:rPr>
                <w:rFonts w:ascii="Cambria Math" w:hAnsi="Cambria Math" w:cs="Arial"/>
                <w:szCs w:val="20"/>
              </w:rPr>
              <m:t>2</m:t>
            </m:r>
          </m:sup>
        </m:sSubSup>
      </m:oMath>
      <w:r w:rsidRPr="004451D0">
        <w:rPr>
          <w:rFonts w:cs="Arial"/>
          <w:szCs w:val="20"/>
        </w:rPr>
        <w:t xml:space="preserve"> is the coefficient of determination obtained by regressing feature </w:t>
      </w:r>
      <m:oMath>
        <m:r>
          <w:rPr>
            <w:rFonts w:ascii="Cambria Math" w:hAnsi="Cambria Math" w:cs="Arial"/>
            <w:szCs w:val="20"/>
          </w:rPr>
          <m:t>j</m:t>
        </m:r>
      </m:oMath>
      <w:r w:rsidRPr="004451D0">
        <w:rPr>
          <w:rFonts w:cs="Arial"/>
          <w:szCs w:val="20"/>
        </w:rPr>
        <w:t xml:space="preserve"> on all remaining features. For the simplified two-variable case applicable here, this reduces to:</w:t>
      </w:r>
    </w:p>
    <w:p w14:paraId="643A131A" w14:textId="77777777" w:rsidR="005B31E3" w:rsidRPr="004451D0" w:rsidRDefault="00000000" w:rsidP="00A016D4">
      <w:pPr>
        <w:spacing w:before="100" w:beforeAutospacing="1" w:after="100" w:afterAutospacing="1"/>
        <w:jc w:val="both"/>
        <w:rPr>
          <w:rFonts w:cs="Arial"/>
          <w:szCs w:val="20"/>
        </w:rPr>
      </w:pPr>
      <m:oMathPara>
        <m:oMath>
          <m:sSub>
            <m:sSubPr>
              <m:ctrlPr>
                <w:rPr>
                  <w:rFonts w:ascii="Cambria Math" w:hAnsi="Cambria Math" w:cs="Arial"/>
                  <w:i/>
                  <w:szCs w:val="20"/>
                </w:rPr>
              </m:ctrlPr>
            </m:sSubPr>
            <m:e>
              <m:r>
                <m:rPr>
                  <m:nor/>
                </m:rPr>
                <w:rPr>
                  <w:rFonts w:cs="Arial"/>
                  <w:szCs w:val="20"/>
                </w:rPr>
                <m:t>VIF</m:t>
              </m:r>
              <m:ctrlPr>
                <w:rPr>
                  <w:rFonts w:ascii="Cambria Math" w:hAnsi="Cambria Math" w:cs="Arial"/>
                  <w:szCs w:val="20"/>
                </w:rPr>
              </m:ctrlPr>
            </m:e>
            <m:sub>
              <m:r>
                <w:rPr>
                  <w:rFonts w:ascii="Cambria Math" w:hAnsi="Cambria Math" w:cs="Arial"/>
                  <w:szCs w:val="20"/>
                </w:rPr>
                <m:t>j</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1</m:t>
              </m:r>
              <m:ctrlPr>
                <w:rPr>
                  <w:rFonts w:ascii="Cambria Math" w:hAnsi="Cambria Math" w:cs="Arial"/>
                  <w:i/>
                  <w:szCs w:val="20"/>
                </w:rPr>
              </m:ctrlPr>
            </m:num>
            <m:den>
              <m:r>
                <w:rPr>
                  <w:rFonts w:ascii="Cambria Math" w:hAnsi="Cambria Math" w:cs="Arial"/>
                  <w:szCs w:val="20"/>
                </w:rPr>
                <m:t>1-</m:t>
              </m:r>
              <m:sSup>
                <m:sSupPr>
                  <m:ctrlPr>
                    <w:rPr>
                      <w:rFonts w:ascii="Cambria Math" w:hAnsi="Cambria Math" w:cs="Arial"/>
                      <w:i/>
                      <w:szCs w:val="20"/>
                    </w:rPr>
                  </m:ctrlPr>
                </m:sSupPr>
                <m:e>
                  <m:r>
                    <w:rPr>
                      <w:rFonts w:ascii="Cambria Math" w:hAnsi="Cambria Math" w:cs="Arial"/>
                      <w:szCs w:val="20"/>
                    </w:rPr>
                    <m:t>r</m:t>
                  </m:r>
                </m:e>
                <m:sup>
                  <m:r>
                    <w:rPr>
                      <w:rFonts w:ascii="Cambria Math" w:hAnsi="Cambria Math" w:cs="Arial"/>
                      <w:szCs w:val="20"/>
                    </w:rPr>
                    <m:t>2</m:t>
                  </m:r>
                </m:sup>
              </m:sSup>
              <m:ctrlPr>
                <w:rPr>
                  <w:rFonts w:ascii="Cambria Math" w:hAnsi="Cambria Math" w:cs="Arial"/>
                  <w:i/>
                  <w:szCs w:val="20"/>
                </w:rPr>
              </m:ctrlPr>
            </m:den>
          </m:f>
        </m:oMath>
      </m:oMathPara>
    </w:p>
    <w:p w14:paraId="04C869F8" w14:textId="5CAC4144" w:rsidR="005B31E3" w:rsidRPr="008A738F" w:rsidRDefault="005B31E3" w:rsidP="00A016D4">
      <w:pPr>
        <w:spacing w:before="100" w:beforeAutospacing="1" w:after="100" w:afterAutospacing="1"/>
        <w:jc w:val="both"/>
        <w:rPr>
          <w:rFonts w:cs="Arial"/>
          <w:szCs w:val="20"/>
        </w:rPr>
      </w:pPr>
      <w:r w:rsidRPr="004451D0">
        <w:rPr>
          <w:rFonts w:cs="Arial"/>
          <w:szCs w:val="20"/>
        </w:rPr>
        <w:t xml:space="preserve">where </w:t>
      </w:r>
      <m:oMath>
        <m:r>
          <w:rPr>
            <w:rFonts w:ascii="Cambria Math" w:hAnsi="Cambria Math" w:cs="Arial"/>
            <w:szCs w:val="20"/>
          </w:rPr>
          <m:t>r</m:t>
        </m:r>
      </m:oMath>
      <w:r w:rsidRPr="008A738F">
        <w:rPr>
          <w:rFonts w:cs="Arial"/>
          <w:szCs w:val="20"/>
        </w:rPr>
        <w:t xml:space="preserve"> </w:t>
      </w:r>
      <w:r w:rsidRPr="004451D0">
        <w:rPr>
          <w:rFonts w:cs="Arial"/>
          <w:szCs w:val="20"/>
        </w:rPr>
        <w:t>is the Pearson correlation coefficient between the linked pair. Results are presented in Table 5.</w:t>
      </w:r>
    </w:p>
    <w:p w14:paraId="4AE13C8A" w14:textId="5EFAEA7F" w:rsidR="00A807E4" w:rsidRPr="008A738F" w:rsidRDefault="00000000" w:rsidP="00623C1B">
      <w:pPr>
        <w:spacing w:before="100" w:beforeAutospacing="1" w:after="100" w:afterAutospacing="1"/>
        <w:rPr>
          <w:rFonts w:cs="Arial"/>
          <w:i/>
          <w:iCs/>
          <w:szCs w:val="20"/>
        </w:rPr>
      </w:pPr>
      <w:r w:rsidRPr="008A738F">
        <w:rPr>
          <w:rFonts w:cs="Arial"/>
          <w:b/>
          <w:bCs/>
          <w:i/>
          <w:iCs/>
          <w:color w:val="1B3A5C"/>
          <w:szCs w:val="20"/>
        </w:rPr>
        <w:t>Table 5</w:t>
      </w:r>
      <w:r w:rsidR="00BD4886">
        <w:rPr>
          <w:rFonts w:cs="Arial"/>
          <w:b/>
          <w:bCs/>
          <w:i/>
          <w:iCs/>
          <w:color w:val="1B3A5C"/>
          <w:szCs w:val="20"/>
        </w:rPr>
        <w:t>.</w:t>
      </w:r>
      <w:r w:rsidRPr="008A738F">
        <w:rPr>
          <w:rFonts w:cs="Arial"/>
          <w:b/>
          <w:bCs/>
          <w:i/>
          <w:iCs/>
          <w:color w:val="1B3A5C"/>
          <w:szCs w:val="20"/>
        </w:rPr>
        <w:t xml:space="preserve"> G7 VIF Analysis for Mechanically Linked Sensor Pairs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410"/>
        <w:gridCol w:w="2126"/>
        <w:gridCol w:w="1117"/>
        <w:gridCol w:w="867"/>
      </w:tblGrid>
      <w:tr w:rsidR="00A807E4" w:rsidRPr="005B0FA3" w14:paraId="4FB5BC3A" w14:textId="77777777" w:rsidTr="00265E3A">
        <w:trPr>
          <w:tblHeader/>
        </w:trPr>
        <w:tc>
          <w:tcPr>
            <w:tcW w:w="254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3DDC6821"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Physical Sensor</w:t>
            </w:r>
          </w:p>
        </w:tc>
        <w:tc>
          <w:tcPr>
            <w:tcW w:w="241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B938657"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Corrected Sensor</w:t>
            </w:r>
          </w:p>
        </w:tc>
        <w:tc>
          <w:tcPr>
            <w:tcW w:w="212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759594F7"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Physical Equation</w:t>
            </w:r>
          </w:p>
        </w:tc>
        <w:tc>
          <w:tcPr>
            <w:tcW w:w="11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680AE03" w14:textId="07D8EA4B" w:rsidR="00A807E4" w:rsidRPr="005B0FA3" w:rsidRDefault="00000000" w:rsidP="00623C1B">
            <w:pPr>
              <w:spacing w:before="100" w:beforeAutospacing="1" w:after="100" w:afterAutospacing="1"/>
              <w:rPr>
                <w:rFonts w:cs="Arial"/>
              </w:rPr>
            </w:pPr>
            <w:r w:rsidRPr="005B0FA3">
              <w:rPr>
                <w:rFonts w:cs="Arial"/>
                <w:b/>
                <w:bCs/>
                <w:color w:val="FFFFFF"/>
                <w:sz w:val="18"/>
                <w:szCs w:val="18"/>
              </w:rPr>
              <w:t xml:space="preserve">Pearson </w:t>
            </w:r>
            <m:oMath>
              <m:r>
                <m:rPr>
                  <m:sty m:val="bi"/>
                </m:rPr>
                <w:rPr>
                  <w:rFonts w:ascii="Cambria Math" w:hAnsi="Cambria Math" w:cs="Arial"/>
                  <w:color w:val="FFFFFF"/>
                  <w:sz w:val="18"/>
                  <w:szCs w:val="18"/>
                </w:rPr>
                <m:t>r</m:t>
              </m:r>
            </m:oMath>
          </w:p>
        </w:tc>
        <w:tc>
          <w:tcPr>
            <w:tcW w:w="867"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11A05A52"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VIF</w:t>
            </w:r>
          </w:p>
        </w:tc>
      </w:tr>
      <w:tr w:rsidR="004C002F" w14:paraId="205C9A68" w14:textId="77777777" w:rsidTr="00265E3A">
        <w:tc>
          <w:tcPr>
            <w:tcW w:w="2547" w:type="dxa"/>
            <w:shd w:val="clear" w:color="auto" w:fill="FFFFFF"/>
            <w:tcMar>
              <w:top w:w="80" w:type="dxa"/>
              <w:left w:w="120" w:type="dxa"/>
              <w:bottom w:w="80" w:type="dxa"/>
              <w:right w:w="120" w:type="dxa"/>
            </w:tcMar>
            <w:vAlign w:val="center"/>
          </w:tcPr>
          <w:p w14:paraId="0A02DF01" w14:textId="77777777" w:rsidR="00A807E4" w:rsidRPr="005B0FA3" w:rsidRDefault="00000000" w:rsidP="00623C1B">
            <w:pPr>
              <w:spacing w:before="100" w:beforeAutospacing="1" w:after="100" w:afterAutospacing="1"/>
              <w:rPr>
                <w:rFonts w:cs="Arial"/>
              </w:rPr>
            </w:pPr>
            <w:r w:rsidRPr="005B0FA3">
              <w:rPr>
                <w:rFonts w:cs="Arial"/>
                <w:sz w:val="18"/>
                <w:szCs w:val="18"/>
              </w:rPr>
              <w:t>s8 — Nf (Fan Speed, rpm)</w:t>
            </w:r>
          </w:p>
        </w:tc>
        <w:tc>
          <w:tcPr>
            <w:tcW w:w="2410" w:type="dxa"/>
            <w:shd w:val="clear" w:color="auto" w:fill="FFFFFF"/>
            <w:tcMar>
              <w:top w:w="80" w:type="dxa"/>
              <w:left w:w="120" w:type="dxa"/>
              <w:bottom w:w="80" w:type="dxa"/>
              <w:right w:w="120" w:type="dxa"/>
            </w:tcMar>
            <w:vAlign w:val="center"/>
          </w:tcPr>
          <w:p w14:paraId="2B31EC5A" w14:textId="4FECE67D" w:rsidR="00A807E4" w:rsidRPr="005B0FA3" w:rsidRDefault="00000000" w:rsidP="00623C1B">
            <w:pPr>
              <w:spacing w:before="100" w:beforeAutospacing="1" w:after="100" w:afterAutospacing="1"/>
              <w:rPr>
                <w:rFonts w:cs="Arial"/>
              </w:rPr>
            </w:pPr>
            <w:r w:rsidRPr="005B0FA3">
              <w:rPr>
                <w:rFonts w:cs="Arial"/>
                <w:sz w:val="18"/>
                <w:szCs w:val="18"/>
              </w:rPr>
              <w:t>s13 — NRf</w:t>
            </w:r>
          </w:p>
        </w:tc>
        <w:tc>
          <w:tcPr>
            <w:tcW w:w="2126" w:type="dxa"/>
            <w:shd w:val="clear" w:color="auto" w:fill="FFFFFF"/>
            <w:tcMar>
              <w:top w:w="80" w:type="dxa"/>
              <w:left w:w="120" w:type="dxa"/>
              <w:bottom w:w="80" w:type="dxa"/>
              <w:right w:w="120" w:type="dxa"/>
            </w:tcMar>
            <w:vAlign w:val="center"/>
          </w:tcPr>
          <w:p w14:paraId="3544FB02" w14:textId="3A891238" w:rsidR="00A807E4" w:rsidRPr="005B0FA3" w:rsidRDefault="00A333FC" w:rsidP="00623C1B">
            <w:pPr>
              <w:spacing w:before="100" w:beforeAutospacing="1" w:after="100" w:afterAutospacing="1"/>
              <w:rPr>
                <w:rFonts w:cs="Arial"/>
              </w:rPr>
            </w:pPr>
            <m:oMathPara>
              <m:oMath>
                <m:r>
                  <w:rPr>
                    <w:rFonts w:ascii="Cambria Math" w:hAnsi="Cambria Math" w:cs="Arial"/>
                    <w:sz w:val="18"/>
                    <w:szCs w:val="18"/>
                  </w:rPr>
                  <m:t>N</m:t>
                </m:r>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f</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f</m:t>
                    </m:r>
                  </m:sub>
                </m:sSub>
                <m:r>
                  <m:rPr>
                    <m:lit/>
                  </m:rPr>
                  <w:rPr>
                    <w:rFonts w:ascii="Cambria Math" w:hAnsi="Cambria Math" w:cs="Arial"/>
                    <w:sz w:val="18"/>
                    <w:szCs w:val="18"/>
                  </w:rPr>
                  <m:t>/</m:t>
                </m:r>
                <m:rad>
                  <m:radPr>
                    <m:degHide m:val="1"/>
                    <m:ctrlPr>
                      <w:rPr>
                        <w:rFonts w:ascii="Cambria Math" w:hAnsi="Cambria Math" w:cs="Arial"/>
                        <w:i/>
                        <w:color w:val="2D2D2D"/>
                        <w:szCs w:val="20"/>
                      </w:rPr>
                    </m:ctrlPr>
                  </m:radPr>
                  <m:deg/>
                  <m:e>
                    <m:r>
                      <w:rPr>
                        <w:rFonts w:ascii="Cambria Math" w:hAnsi="Cambria Math" w:cs="Arial"/>
                      </w:rPr>
                      <m:t>θ</m:t>
                    </m:r>
                  </m:e>
                </m:rad>
              </m:oMath>
            </m:oMathPara>
          </w:p>
        </w:tc>
        <w:tc>
          <w:tcPr>
            <w:tcW w:w="1117" w:type="dxa"/>
            <w:shd w:val="clear" w:color="auto" w:fill="FFFFFF"/>
            <w:tcMar>
              <w:top w:w="80" w:type="dxa"/>
              <w:left w:w="120" w:type="dxa"/>
              <w:bottom w:w="80" w:type="dxa"/>
              <w:right w:w="120" w:type="dxa"/>
            </w:tcMar>
            <w:vAlign w:val="center"/>
          </w:tcPr>
          <w:p w14:paraId="325E4C0D" w14:textId="77777777" w:rsidR="00A807E4" w:rsidRPr="005B0FA3" w:rsidRDefault="00000000" w:rsidP="00623C1B">
            <w:pPr>
              <w:spacing w:before="100" w:beforeAutospacing="1" w:after="100" w:afterAutospacing="1"/>
              <w:rPr>
                <w:rFonts w:cs="Arial"/>
              </w:rPr>
            </w:pPr>
            <w:r w:rsidRPr="005B0FA3">
              <w:rPr>
                <w:rFonts w:cs="Arial"/>
                <w:sz w:val="18"/>
                <w:szCs w:val="18"/>
              </w:rPr>
              <w:t>0.9447</w:t>
            </w:r>
          </w:p>
        </w:tc>
        <w:tc>
          <w:tcPr>
            <w:tcW w:w="867" w:type="dxa"/>
            <w:shd w:val="clear" w:color="auto" w:fill="FFFFFF"/>
            <w:tcMar>
              <w:top w:w="80" w:type="dxa"/>
              <w:left w:w="120" w:type="dxa"/>
              <w:bottom w:w="80" w:type="dxa"/>
              <w:right w:w="120" w:type="dxa"/>
            </w:tcMar>
            <w:vAlign w:val="center"/>
          </w:tcPr>
          <w:p w14:paraId="66985DC5" w14:textId="77777777" w:rsidR="00A807E4" w:rsidRPr="005B0FA3" w:rsidRDefault="00000000" w:rsidP="00623C1B">
            <w:pPr>
              <w:spacing w:before="100" w:beforeAutospacing="1" w:after="100" w:afterAutospacing="1"/>
              <w:rPr>
                <w:rFonts w:cs="Arial"/>
              </w:rPr>
            </w:pPr>
            <w:r w:rsidRPr="005B0FA3">
              <w:rPr>
                <w:rFonts w:cs="Arial"/>
                <w:sz w:val="18"/>
                <w:szCs w:val="18"/>
              </w:rPr>
              <w:t>9.3</w:t>
            </w:r>
          </w:p>
        </w:tc>
      </w:tr>
      <w:tr w:rsidR="004C002F" w14:paraId="58A1EAB6" w14:textId="77777777" w:rsidTr="00265E3A">
        <w:tc>
          <w:tcPr>
            <w:tcW w:w="2547" w:type="dxa"/>
            <w:shd w:val="clear" w:color="auto" w:fill="F0F4F8"/>
            <w:tcMar>
              <w:top w:w="80" w:type="dxa"/>
              <w:left w:w="120" w:type="dxa"/>
              <w:bottom w:w="80" w:type="dxa"/>
              <w:right w:w="120" w:type="dxa"/>
            </w:tcMar>
            <w:vAlign w:val="center"/>
          </w:tcPr>
          <w:p w14:paraId="348565AF" w14:textId="77777777" w:rsidR="00A807E4" w:rsidRPr="005B0FA3" w:rsidRDefault="00000000" w:rsidP="00623C1B">
            <w:pPr>
              <w:spacing w:before="100" w:beforeAutospacing="1" w:after="100" w:afterAutospacing="1"/>
              <w:rPr>
                <w:rFonts w:cs="Arial"/>
              </w:rPr>
            </w:pPr>
            <w:r w:rsidRPr="005B0FA3">
              <w:rPr>
                <w:rFonts w:cs="Arial"/>
                <w:sz w:val="18"/>
                <w:szCs w:val="18"/>
              </w:rPr>
              <w:t>s9 — Nc (Core Speed, rpm)</w:t>
            </w:r>
          </w:p>
        </w:tc>
        <w:tc>
          <w:tcPr>
            <w:tcW w:w="2410" w:type="dxa"/>
            <w:shd w:val="clear" w:color="auto" w:fill="F0F4F8"/>
            <w:tcMar>
              <w:top w:w="80" w:type="dxa"/>
              <w:left w:w="120" w:type="dxa"/>
              <w:bottom w:w="80" w:type="dxa"/>
              <w:right w:w="120" w:type="dxa"/>
            </w:tcMar>
            <w:vAlign w:val="center"/>
          </w:tcPr>
          <w:p w14:paraId="7C9AA949" w14:textId="26CBA3F3" w:rsidR="00A807E4" w:rsidRPr="005B0FA3" w:rsidRDefault="00000000" w:rsidP="00623C1B">
            <w:pPr>
              <w:spacing w:before="100" w:beforeAutospacing="1" w:after="100" w:afterAutospacing="1"/>
              <w:rPr>
                <w:rFonts w:cs="Arial"/>
              </w:rPr>
            </w:pPr>
            <w:r w:rsidRPr="005B0FA3">
              <w:rPr>
                <w:rFonts w:cs="Arial"/>
                <w:sz w:val="18"/>
                <w:szCs w:val="18"/>
              </w:rPr>
              <w:t>s14 — NRc</w:t>
            </w:r>
          </w:p>
        </w:tc>
        <w:tc>
          <w:tcPr>
            <w:tcW w:w="2126" w:type="dxa"/>
            <w:shd w:val="clear" w:color="auto" w:fill="F0F4F8"/>
            <w:tcMar>
              <w:top w:w="80" w:type="dxa"/>
              <w:left w:w="120" w:type="dxa"/>
              <w:bottom w:w="80" w:type="dxa"/>
              <w:right w:w="120" w:type="dxa"/>
            </w:tcMar>
            <w:vAlign w:val="center"/>
          </w:tcPr>
          <w:p w14:paraId="545D56FF" w14:textId="796F6DC4" w:rsidR="00A807E4" w:rsidRPr="005B0FA3" w:rsidRDefault="00A016D4" w:rsidP="00623C1B">
            <w:pPr>
              <w:spacing w:before="100" w:beforeAutospacing="1" w:after="100" w:afterAutospacing="1"/>
              <w:rPr>
                <w:rFonts w:cs="Arial"/>
              </w:rPr>
            </w:pPr>
            <m:oMathPara>
              <m:oMath>
                <m:r>
                  <w:rPr>
                    <w:rFonts w:ascii="Cambria Math" w:hAnsi="Cambria Math" w:cs="Arial"/>
                    <w:sz w:val="18"/>
                    <w:szCs w:val="18"/>
                  </w:rPr>
                  <m:t>N</m:t>
                </m:r>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c</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c</m:t>
                    </m:r>
                  </m:sub>
                </m:sSub>
                <m:r>
                  <m:rPr>
                    <m:lit/>
                  </m:rPr>
                  <w:rPr>
                    <w:rFonts w:ascii="Cambria Math" w:hAnsi="Cambria Math" w:cs="Arial"/>
                    <w:sz w:val="18"/>
                    <w:szCs w:val="18"/>
                  </w:rPr>
                  <m:t>/</m:t>
                </m:r>
                <m:rad>
                  <m:radPr>
                    <m:degHide m:val="1"/>
                    <m:ctrlPr>
                      <w:rPr>
                        <w:rFonts w:ascii="Cambria Math" w:eastAsia="Arial" w:hAnsi="Cambria Math" w:cs="Arial"/>
                        <w:i/>
                        <w:color w:val="2D2D2D"/>
                        <w:sz w:val="18"/>
                        <w:szCs w:val="18"/>
                      </w:rPr>
                    </m:ctrlPr>
                  </m:radPr>
                  <m:deg/>
                  <m:e>
                    <m:r>
                      <w:rPr>
                        <w:rFonts w:ascii="Cambria Math" w:hAnsi="Cambria Math" w:cs="Arial"/>
                        <w:sz w:val="18"/>
                        <w:szCs w:val="18"/>
                      </w:rPr>
                      <m:t>θ</m:t>
                    </m:r>
                  </m:e>
                </m:rad>
              </m:oMath>
            </m:oMathPara>
          </w:p>
        </w:tc>
        <w:tc>
          <w:tcPr>
            <w:tcW w:w="1117" w:type="dxa"/>
            <w:shd w:val="clear" w:color="auto" w:fill="F0F4F8"/>
            <w:tcMar>
              <w:top w:w="80" w:type="dxa"/>
              <w:left w:w="120" w:type="dxa"/>
              <w:bottom w:w="80" w:type="dxa"/>
              <w:right w:w="120" w:type="dxa"/>
            </w:tcMar>
            <w:vAlign w:val="center"/>
          </w:tcPr>
          <w:p w14:paraId="1BDF49AF" w14:textId="77777777" w:rsidR="00A807E4" w:rsidRPr="005B0FA3" w:rsidRDefault="00000000" w:rsidP="00623C1B">
            <w:pPr>
              <w:spacing w:before="100" w:beforeAutospacing="1" w:after="100" w:afterAutospacing="1"/>
              <w:rPr>
                <w:rFonts w:cs="Arial"/>
              </w:rPr>
            </w:pPr>
            <w:r w:rsidRPr="005B0FA3">
              <w:rPr>
                <w:rFonts w:cs="Arial"/>
                <w:sz w:val="18"/>
                <w:szCs w:val="18"/>
              </w:rPr>
              <w:t>0.9464</w:t>
            </w:r>
          </w:p>
        </w:tc>
        <w:tc>
          <w:tcPr>
            <w:tcW w:w="867" w:type="dxa"/>
            <w:shd w:val="clear" w:color="auto" w:fill="F0F4F8"/>
            <w:tcMar>
              <w:top w:w="80" w:type="dxa"/>
              <w:left w:w="120" w:type="dxa"/>
              <w:bottom w:w="80" w:type="dxa"/>
              <w:right w:w="120" w:type="dxa"/>
            </w:tcMar>
            <w:vAlign w:val="center"/>
          </w:tcPr>
          <w:p w14:paraId="601A7844" w14:textId="77777777" w:rsidR="00A807E4" w:rsidRPr="005B0FA3" w:rsidRDefault="00000000" w:rsidP="00623C1B">
            <w:pPr>
              <w:spacing w:before="100" w:beforeAutospacing="1" w:after="100" w:afterAutospacing="1"/>
              <w:rPr>
                <w:rFonts w:cs="Arial"/>
              </w:rPr>
            </w:pPr>
            <w:r w:rsidRPr="005B0FA3">
              <w:rPr>
                <w:rFonts w:cs="Arial"/>
                <w:sz w:val="18"/>
                <w:szCs w:val="18"/>
              </w:rPr>
              <w:t>9.6</w:t>
            </w:r>
          </w:p>
        </w:tc>
      </w:tr>
    </w:tbl>
    <w:p w14:paraId="5CBBC05F" w14:textId="35741173" w:rsidR="009003FD" w:rsidRPr="004451D0" w:rsidRDefault="009003FD" w:rsidP="00BD4886">
      <w:pPr>
        <w:spacing w:before="100" w:beforeAutospacing="1" w:after="100" w:afterAutospacing="1"/>
        <w:jc w:val="both"/>
        <w:rPr>
          <w:rFonts w:cs="Arial"/>
          <w:szCs w:val="20"/>
        </w:rPr>
      </w:pPr>
      <w:r w:rsidRPr="004451D0">
        <w:rPr>
          <w:rFonts w:cs="Arial"/>
          <w:szCs w:val="20"/>
        </w:rPr>
        <w:t>VIF values of 9.3 and 9.6 place both pairs in the moderate-to-severe multicollinearity category, approaching but not exceeding the conventional severity threshold of 10.0 (Montgomery et al., 2012)</w:t>
      </w:r>
      <w:sdt>
        <w:sdtPr>
          <w:rPr>
            <w:rFonts w:cs="Arial"/>
            <w:szCs w:val="20"/>
          </w:rPr>
          <w:id w:val="-1109506569"/>
          <w:citation/>
        </w:sdtPr>
        <w:sdtContent>
          <w:r w:rsidR="00BD4886">
            <w:rPr>
              <w:rFonts w:cs="Arial"/>
              <w:szCs w:val="20"/>
            </w:rPr>
            <w:fldChar w:fldCharType="begin"/>
          </w:r>
          <w:r w:rsidR="00BD4886">
            <w:rPr>
              <w:rFonts w:cs="Arial"/>
              <w:szCs w:val="20"/>
            </w:rPr>
            <w:instrText xml:space="preserve"> CITATION Mon12 \l 2057 </w:instrText>
          </w:r>
          <w:r w:rsidR="00BD4886">
            <w:rPr>
              <w:rFonts w:cs="Arial"/>
              <w:szCs w:val="20"/>
            </w:rPr>
            <w:fldChar w:fldCharType="separate"/>
          </w:r>
          <w:r w:rsidR="0074017E">
            <w:rPr>
              <w:rFonts w:cs="Arial"/>
              <w:noProof/>
              <w:szCs w:val="20"/>
            </w:rPr>
            <w:t xml:space="preserve"> </w:t>
          </w:r>
          <w:r w:rsidR="0074017E" w:rsidRPr="0074017E">
            <w:rPr>
              <w:rFonts w:cs="Arial"/>
              <w:noProof/>
              <w:szCs w:val="20"/>
            </w:rPr>
            <w:lastRenderedPageBreak/>
            <w:t>[6]</w:t>
          </w:r>
          <w:r w:rsidR="00BD4886">
            <w:rPr>
              <w:rFonts w:cs="Arial"/>
              <w:szCs w:val="20"/>
            </w:rPr>
            <w:fldChar w:fldCharType="end"/>
          </w:r>
        </w:sdtContent>
      </w:sdt>
      <w:r w:rsidRPr="004451D0">
        <w:rPr>
          <w:rFonts w:cs="Arial"/>
          <w:szCs w:val="20"/>
        </w:rPr>
        <w:t xml:space="preserve">. The values fall below this threshold rather than approaching infinity because per-regime z-normalisation in Phase 2 introduces small perturbations: </w:t>
      </w:r>
      <m:oMath>
        <m:rad>
          <m:radPr>
            <m:degHide m:val="1"/>
            <m:ctrlPr>
              <w:rPr>
                <w:rFonts w:ascii="Cambria Math" w:hAnsi="Cambria Math" w:cs="Arial"/>
                <w:szCs w:val="20"/>
              </w:rPr>
            </m:ctrlPr>
          </m:radPr>
          <m:deg/>
          <m:e>
            <m:r>
              <w:rPr>
                <w:rFonts w:ascii="Cambria Math" w:hAnsi="Cambria Math" w:cs="Arial"/>
                <w:szCs w:val="20"/>
              </w:rPr>
              <m:t>θ</m:t>
            </m:r>
          </m:e>
        </m:rad>
      </m:oMath>
      <w:r w:rsidRPr="004451D0">
        <w:rPr>
          <w:rFonts w:cs="Arial"/>
          <w:szCs w:val="20"/>
        </w:rPr>
        <w:t xml:space="preserve"> is approximately but not exactly constant within each regime, preserving a residual non-linear component in the relationship.</w:t>
      </w:r>
    </w:p>
    <w:p w14:paraId="63FF2A05" w14:textId="07E25CE6" w:rsidR="009003FD" w:rsidRPr="003C16CF" w:rsidRDefault="009003FD" w:rsidP="003C16CF">
      <w:pPr>
        <w:spacing w:before="100" w:beforeAutospacing="1" w:after="100" w:afterAutospacing="1"/>
        <w:jc w:val="both"/>
        <w:rPr>
          <w:rFonts w:cs="Arial"/>
          <w:szCs w:val="20"/>
        </w:rPr>
      </w:pPr>
      <w:r w:rsidRPr="004451D0">
        <w:rPr>
          <w:rFonts w:cs="Arial"/>
          <w:szCs w:val="20"/>
        </w:rPr>
        <w:t>Whilst tree-based models such as XGBoost are robust to multicollinearity in coefficient estimation, VIF at this level depresses individual feature importance scores and introduces ambiguity into SHAP-based attribution in Phase 4 (Lundberg &amp; Lee, 2017)</w:t>
      </w:r>
      <w:sdt>
        <w:sdtPr>
          <w:rPr>
            <w:rFonts w:cs="Arial"/>
          </w:rPr>
          <w:id w:val="-1635255340"/>
          <w:citation/>
        </w:sdtPr>
        <w:sdtContent>
          <w:r w:rsidR="00D8578C" w:rsidRPr="005B0FA3">
            <w:rPr>
              <w:rFonts w:cs="Arial"/>
            </w:rPr>
            <w:fldChar w:fldCharType="begin"/>
          </w:r>
          <w:r w:rsidR="00D8578C" w:rsidRPr="005B0FA3">
            <w:rPr>
              <w:rFonts w:cs="Arial"/>
            </w:rPr>
            <w:instrText xml:space="preserve"> CITATION Lun17 \l 2057 </w:instrText>
          </w:r>
          <w:r w:rsidR="00D8578C" w:rsidRPr="005B0FA3">
            <w:rPr>
              <w:rFonts w:cs="Arial"/>
            </w:rPr>
            <w:fldChar w:fldCharType="separate"/>
          </w:r>
          <w:r w:rsidR="0074017E">
            <w:rPr>
              <w:rFonts w:cs="Arial"/>
              <w:noProof/>
            </w:rPr>
            <w:t xml:space="preserve"> </w:t>
          </w:r>
          <w:r w:rsidR="0074017E" w:rsidRPr="0074017E">
            <w:rPr>
              <w:rFonts w:cs="Arial"/>
              <w:noProof/>
            </w:rPr>
            <w:t>[7]</w:t>
          </w:r>
          <w:r w:rsidR="00D8578C" w:rsidRPr="005B0FA3">
            <w:rPr>
              <w:rFonts w:cs="Arial"/>
            </w:rPr>
            <w:fldChar w:fldCharType="end"/>
          </w:r>
        </w:sdtContent>
      </w:sdt>
      <w:r w:rsidRPr="004451D0">
        <w:rPr>
          <w:rFonts w:cs="Arial"/>
          <w:szCs w:val="20"/>
        </w:rPr>
        <w:t>. The model has no principled basis for distributing importance between two near-identical features and may assign arbitrary proportions across training runs, rendering the importance scores unreliable as physical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16D4" w:rsidRPr="005B0FA3" w14:paraId="418F4B44" w14:textId="77777777" w:rsidTr="00296B4A">
        <w:tc>
          <w:tcPr>
            <w:tcW w:w="9360"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04B192F5" w14:textId="2E6140C9" w:rsidR="00A016D4" w:rsidRPr="005B0FA3" w:rsidRDefault="00A016D4" w:rsidP="00A016D4">
            <w:pPr>
              <w:spacing w:before="100" w:beforeAutospacing="1" w:after="100" w:afterAutospacing="1"/>
              <w:jc w:val="both"/>
              <w:rPr>
                <w:rFonts w:cs="Arial"/>
                <w:color w:val="AD4454"/>
                <w:sz w:val="18"/>
                <w:szCs w:val="18"/>
              </w:rPr>
            </w:pPr>
            <w:r w:rsidRPr="004451D0">
              <w:rPr>
                <w:rFonts w:cs="Arial"/>
                <w:color w:val="AD4454"/>
                <w:sz w:val="18"/>
                <w:szCs w:val="18"/>
              </w:rPr>
              <w:t xml:space="preserve">Resolution: Ratio features are constructed to encode the correction factor </w:t>
            </w:r>
            <m:oMath>
              <m:rad>
                <m:radPr>
                  <m:degHide m:val="1"/>
                  <m:ctrlPr>
                    <w:rPr>
                      <w:rFonts w:ascii="Cambria Math" w:hAnsi="Cambria Math" w:cs="Arial"/>
                      <w:color w:val="AD4454"/>
                      <w:sz w:val="18"/>
                      <w:szCs w:val="18"/>
                    </w:rPr>
                  </m:ctrlPr>
                </m:radPr>
                <m:deg/>
                <m:e>
                  <m:r>
                    <w:rPr>
                      <w:rFonts w:ascii="Cambria Math" w:hAnsi="Cambria Math" w:cs="Arial"/>
                      <w:color w:val="AD4454"/>
                      <w:sz w:val="18"/>
                      <w:szCs w:val="18"/>
                    </w:rPr>
                    <m:t>θ</m:t>
                  </m:r>
                </m:e>
              </m:rad>
            </m:oMath>
            <w:r w:rsidRPr="004451D0">
              <w:rPr>
                <w:rFonts w:cs="Arial"/>
                <w:color w:val="AD4454"/>
                <w:sz w:val="18"/>
                <w:szCs w:val="18"/>
              </w:rPr>
              <w:t xml:space="preserve"> directly as an explicit, named feature:</w:t>
            </w:r>
          </w:p>
          <w:p w14:paraId="6166890B" w14:textId="5CAE94B7" w:rsidR="00A016D4" w:rsidRPr="004451D0" w:rsidRDefault="00000000" w:rsidP="00A016D4">
            <w:pPr>
              <w:spacing w:before="100" w:beforeAutospacing="1" w:after="100" w:afterAutospacing="1"/>
              <w:jc w:val="both"/>
              <w:rPr>
                <w:rFonts w:cs="Arial"/>
                <w:color w:val="AD4454"/>
                <w:sz w:val="18"/>
                <w:szCs w:val="18"/>
              </w:rPr>
            </w:pPr>
            <m:oMathPara>
              <m:oMath>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f</m:t>
                    </m:r>
                  </m:sub>
                </m:sSub>
                <m:r>
                  <w:rPr>
                    <w:rFonts w:ascii="Cambria Math" w:hAnsi="Cambria Math" w:cs="Arial"/>
                    <w:color w:val="AD4454"/>
                    <w:sz w:val="18"/>
                    <w:szCs w:val="18"/>
                  </w:rPr>
                  <m:t>=</m:t>
                </m:r>
                <m:f>
                  <m:fPr>
                    <m:ctrlPr>
                      <w:rPr>
                        <w:rFonts w:ascii="Cambria Math" w:hAnsi="Cambria Math" w:cs="Arial"/>
                        <w:color w:val="AD4454"/>
                        <w:sz w:val="18"/>
                        <w:szCs w:val="18"/>
                      </w:rPr>
                    </m:ctrlPr>
                  </m:fPr>
                  <m:num>
                    <m:r>
                      <w:rPr>
                        <w:rFonts w:ascii="Cambria Math" w:hAnsi="Cambria Math" w:cs="Arial"/>
                        <w:color w:val="AD4454"/>
                        <w:sz w:val="18"/>
                        <w:szCs w:val="18"/>
                      </w:rPr>
                      <m:t>s8</m:t>
                    </m:r>
                    <m:ctrlPr>
                      <w:rPr>
                        <w:rFonts w:ascii="Cambria Math" w:hAnsi="Cambria Math" w:cs="Arial"/>
                        <w:i/>
                        <w:color w:val="AD4454"/>
                        <w:sz w:val="18"/>
                        <w:szCs w:val="18"/>
                      </w:rPr>
                    </m:ctrlPr>
                  </m:num>
                  <m:den>
                    <m:r>
                      <w:rPr>
                        <w:rFonts w:ascii="Cambria Math" w:hAnsi="Cambria Math" w:cs="Arial"/>
                        <w:color w:val="AD4454"/>
                        <w:sz w:val="18"/>
                        <w:szCs w:val="18"/>
                      </w:rPr>
                      <m:t>s13</m:t>
                    </m:r>
                    <m:ctrlPr>
                      <w:rPr>
                        <w:rFonts w:ascii="Cambria Math" w:hAnsi="Cambria Math" w:cs="Arial"/>
                        <w:i/>
                        <w:color w:val="AD4454"/>
                        <w:sz w:val="18"/>
                        <w:szCs w:val="18"/>
                      </w:rPr>
                    </m:ctrlPr>
                  </m:den>
                </m:f>
                <m:r>
                  <w:rPr>
                    <w:rFonts w:ascii="Cambria Math" w:hAnsi="Cambria Math" w:cs="Arial"/>
                    <w:color w:val="AD4454"/>
                    <w:sz w:val="18"/>
                    <w:szCs w:val="18"/>
                  </w:rPr>
                  <m:t>=</m:t>
                </m:r>
                <m:f>
                  <m:fPr>
                    <m:ctrlPr>
                      <w:rPr>
                        <w:rFonts w:ascii="Cambria Math" w:hAnsi="Cambria Math" w:cs="Arial"/>
                        <w:color w:val="AD4454"/>
                        <w:sz w:val="18"/>
                        <w:szCs w:val="18"/>
                      </w:rPr>
                    </m:ctrlPr>
                  </m:fPr>
                  <m:num>
                    <m:sSub>
                      <m:sSubPr>
                        <m:ctrlPr>
                          <w:rPr>
                            <w:rFonts w:ascii="Cambria Math" w:hAnsi="Cambria Math" w:cs="Arial"/>
                            <w:i/>
                            <w:color w:val="AD4454"/>
                            <w:sz w:val="18"/>
                            <w:szCs w:val="18"/>
                          </w:rPr>
                        </m:ctrlPr>
                      </m:sSubPr>
                      <m:e>
                        <m:r>
                          <w:rPr>
                            <w:rFonts w:ascii="Cambria Math" w:hAnsi="Cambria Math" w:cs="Arial"/>
                            <w:color w:val="AD4454"/>
                            <w:sz w:val="18"/>
                            <w:szCs w:val="18"/>
                          </w:rPr>
                          <m:t>N</m:t>
                        </m:r>
                      </m:e>
                      <m:sub>
                        <m:r>
                          <w:rPr>
                            <w:rFonts w:ascii="Cambria Math" w:hAnsi="Cambria Math" w:cs="Arial"/>
                            <w:color w:val="AD4454"/>
                            <w:sz w:val="18"/>
                            <w:szCs w:val="18"/>
                          </w:rPr>
                          <m:t>f</m:t>
                        </m:r>
                      </m:sub>
                    </m:sSub>
                    <m:ctrlPr>
                      <w:rPr>
                        <w:rFonts w:ascii="Cambria Math" w:hAnsi="Cambria Math" w:cs="Arial"/>
                        <w:i/>
                        <w:color w:val="AD4454"/>
                        <w:sz w:val="18"/>
                        <w:szCs w:val="18"/>
                      </w:rPr>
                    </m:ctrlPr>
                  </m:num>
                  <m:den>
                    <m:r>
                      <w:rPr>
                        <w:rFonts w:ascii="Cambria Math" w:hAnsi="Cambria Math" w:cs="Arial"/>
                        <w:color w:val="AD4454"/>
                        <w:sz w:val="18"/>
                        <w:szCs w:val="18"/>
                      </w:rPr>
                      <m:t>N</m:t>
                    </m:r>
                    <m:sSub>
                      <m:sSubPr>
                        <m:ctrlPr>
                          <w:rPr>
                            <w:rFonts w:ascii="Cambria Math" w:hAnsi="Cambria Math" w:cs="Arial"/>
                            <w:i/>
                            <w:color w:val="AD4454"/>
                            <w:sz w:val="18"/>
                            <w:szCs w:val="18"/>
                          </w:rPr>
                        </m:ctrlPr>
                      </m:sSubPr>
                      <m:e>
                        <m:r>
                          <w:rPr>
                            <w:rFonts w:ascii="Cambria Math" w:hAnsi="Cambria Math" w:cs="Arial"/>
                            <w:color w:val="AD4454"/>
                            <w:sz w:val="18"/>
                            <w:szCs w:val="18"/>
                          </w:rPr>
                          <m:t>R</m:t>
                        </m:r>
                      </m:e>
                      <m:sub>
                        <m:r>
                          <w:rPr>
                            <w:rFonts w:ascii="Cambria Math" w:hAnsi="Cambria Math" w:cs="Arial"/>
                            <w:color w:val="AD4454"/>
                            <w:sz w:val="18"/>
                            <w:szCs w:val="18"/>
                          </w:rPr>
                          <m:t>f</m:t>
                        </m:r>
                      </m:sub>
                    </m:sSub>
                    <m:ctrlPr>
                      <w:rPr>
                        <w:rFonts w:ascii="Cambria Math" w:hAnsi="Cambria Math" w:cs="Arial"/>
                        <w:i/>
                        <w:color w:val="AD4454"/>
                        <w:sz w:val="18"/>
                        <w:szCs w:val="18"/>
                      </w:rPr>
                    </m:ctrlPr>
                  </m:den>
                </m:f>
                <m:r>
                  <m:rPr>
                    <m:sty m:val="p"/>
                  </m:rPr>
                  <w:rPr>
                    <w:rFonts w:ascii="Cambria Math" w:hAnsi="Cambria Math" w:cs="Arial"/>
                    <w:color w:val="AD4454"/>
                    <w:sz w:val="18"/>
                    <w:szCs w:val="18"/>
                  </w:rPr>
                  <m:t>≈</m:t>
                </m:r>
                <m:rad>
                  <m:radPr>
                    <m:degHide m:val="1"/>
                    <m:ctrlPr>
                      <w:rPr>
                        <w:rFonts w:ascii="Cambria Math" w:hAnsi="Cambria Math" w:cs="Arial"/>
                        <w:color w:val="AD4454"/>
                        <w:sz w:val="18"/>
                        <w:szCs w:val="18"/>
                      </w:rPr>
                    </m:ctrlPr>
                  </m:radPr>
                  <m:deg>
                    <m:ctrlPr>
                      <w:rPr>
                        <w:rFonts w:ascii="Cambria Math" w:hAnsi="Cambria Math" w:cs="Arial"/>
                        <w:i/>
                        <w:color w:val="AD4454"/>
                        <w:sz w:val="18"/>
                        <w:szCs w:val="18"/>
                      </w:rPr>
                    </m:ctrlPr>
                  </m:deg>
                  <m:e>
                    <m:sSub>
                      <m:sSubPr>
                        <m:ctrlPr>
                          <w:rPr>
                            <w:rFonts w:ascii="Cambria Math" w:hAnsi="Cambria Math" w:cs="Arial"/>
                            <w:i/>
                            <w:color w:val="AD4454"/>
                            <w:sz w:val="18"/>
                            <w:szCs w:val="18"/>
                          </w:rPr>
                        </m:ctrlPr>
                      </m:sSubPr>
                      <m:e>
                        <m:r>
                          <w:rPr>
                            <w:rFonts w:ascii="Cambria Math" w:hAnsi="Cambria Math" w:cs="Arial"/>
                            <w:color w:val="AD4454"/>
                            <w:sz w:val="18"/>
                            <w:szCs w:val="18"/>
                          </w:rPr>
                          <m:t>θ</m:t>
                        </m:r>
                      </m:e>
                      <m:sub>
                        <m:r>
                          <w:rPr>
                            <w:rFonts w:ascii="Cambria Math" w:hAnsi="Cambria Math" w:cs="Arial"/>
                            <w:color w:val="AD4454"/>
                            <w:sz w:val="18"/>
                            <w:szCs w:val="18"/>
                          </w:rPr>
                          <m:t>f</m:t>
                        </m:r>
                      </m:sub>
                    </m:sSub>
                  </m:e>
                </m:rad>
                <m:r>
                  <w:rPr>
                    <w:rFonts w:ascii="Cambria Math" w:hAnsi="Cambria Math" w:cs="Arial"/>
                    <w:color w:val="AD4454"/>
                    <w:sz w:val="18"/>
                    <w:szCs w:val="18"/>
                  </w:rPr>
                  <m:t xml:space="preserve">,  </m:t>
                </m:r>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c</m:t>
                    </m:r>
                  </m:sub>
                </m:sSub>
                <m:r>
                  <w:rPr>
                    <w:rFonts w:ascii="Cambria Math" w:hAnsi="Cambria Math" w:cs="Arial"/>
                    <w:color w:val="AD4454"/>
                    <w:sz w:val="18"/>
                    <w:szCs w:val="18"/>
                  </w:rPr>
                  <m:t>=</m:t>
                </m:r>
                <m:f>
                  <m:fPr>
                    <m:ctrlPr>
                      <w:rPr>
                        <w:rFonts w:ascii="Cambria Math" w:hAnsi="Cambria Math" w:cs="Arial"/>
                        <w:color w:val="AD4454"/>
                        <w:sz w:val="18"/>
                        <w:szCs w:val="18"/>
                      </w:rPr>
                    </m:ctrlPr>
                  </m:fPr>
                  <m:num>
                    <m:r>
                      <w:rPr>
                        <w:rFonts w:ascii="Cambria Math" w:hAnsi="Cambria Math" w:cs="Arial"/>
                        <w:color w:val="AD4454"/>
                        <w:sz w:val="18"/>
                        <w:szCs w:val="18"/>
                      </w:rPr>
                      <m:t>s9</m:t>
                    </m:r>
                    <m:ctrlPr>
                      <w:rPr>
                        <w:rFonts w:ascii="Cambria Math" w:hAnsi="Cambria Math" w:cs="Arial"/>
                        <w:i/>
                        <w:color w:val="AD4454"/>
                        <w:sz w:val="18"/>
                        <w:szCs w:val="18"/>
                      </w:rPr>
                    </m:ctrlPr>
                  </m:num>
                  <m:den>
                    <m:r>
                      <w:rPr>
                        <w:rFonts w:ascii="Cambria Math" w:hAnsi="Cambria Math" w:cs="Arial"/>
                        <w:color w:val="AD4454"/>
                        <w:sz w:val="18"/>
                        <w:szCs w:val="18"/>
                      </w:rPr>
                      <m:t>s14</m:t>
                    </m:r>
                    <m:ctrlPr>
                      <w:rPr>
                        <w:rFonts w:ascii="Cambria Math" w:hAnsi="Cambria Math" w:cs="Arial"/>
                        <w:i/>
                        <w:color w:val="AD4454"/>
                        <w:sz w:val="18"/>
                        <w:szCs w:val="18"/>
                      </w:rPr>
                    </m:ctrlPr>
                  </m:den>
                </m:f>
                <m:r>
                  <w:rPr>
                    <w:rFonts w:ascii="Cambria Math" w:hAnsi="Cambria Math" w:cs="Arial"/>
                    <w:color w:val="AD4454"/>
                    <w:sz w:val="18"/>
                    <w:szCs w:val="18"/>
                  </w:rPr>
                  <m:t>=</m:t>
                </m:r>
                <m:f>
                  <m:fPr>
                    <m:ctrlPr>
                      <w:rPr>
                        <w:rFonts w:ascii="Cambria Math" w:hAnsi="Cambria Math" w:cs="Arial"/>
                        <w:color w:val="AD4454"/>
                        <w:sz w:val="18"/>
                        <w:szCs w:val="18"/>
                      </w:rPr>
                    </m:ctrlPr>
                  </m:fPr>
                  <m:num>
                    <m:sSub>
                      <m:sSubPr>
                        <m:ctrlPr>
                          <w:rPr>
                            <w:rFonts w:ascii="Cambria Math" w:hAnsi="Cambria Math" w:cs="Arial"/>
                            <w:i/>
                            <w:color w:val="AD4454"/>
                            <w:sz w:val="18"/>
                            <w:szCs w:val="18"/>
                          </w:rPr>
                        </m:ctrlPr>
                      </m:sSubPr>
                      <m:e>
                        <m:r>
                          <w:rPr>
                            <w:rFonts w:ascii="Cambria Math" w:hAnsi="Cambria Math" w:cs="Arial"/>
                            <w:color w:val="AD4454"/>
                            <w:sz w:val="18"/>
                            <w:szCs w:val="18"/>
                          </w:rPr>
                          <m:t>N</m:t>
                        </m:r>
                      </m:e>
                      <m:sub>
                        <m:r>
                          <w:rPr>
                            <w:rFonts w:ascii="Cambria Math" w:hAnsi="Cambria Math" w:cs="Arial"/>
                            <w:color w:val="AD4454"/>
                            <w:sz w:val="18"/>
                            <w:szCs w:val="18"/>
                          </w:rPr>
                          <m:t>c</m:t>
                        </m:r>
                      </m:sub>
                    </m:sSub>
                    <m:ctrlPr>
                      <w:rPr>
                        <w:rFonts w:ascii="Cambria Math" w:hAnsi="Cambria Math" w:cs="Arial"/>
                        <w:i/>
                        <w:color w:val="AD4454"/>
                        <w:sz w:val="18"/>
                        <w:szCs w:val="18"/>
                      </w:rPr>
                    </m:ctrlPr>
                  </m:num>
                  <m:den>
                    <m:r>
                      <w:rPr>
                        <w:rFonts w:ascii="Cambria Math" w:hAnsi="Cambria Math" w:cs="Arial"/>
                        <w:color w:val="AD4454"/>
                        <w:sz w:val="18"/>
                        <w:szCs w:val="18"/>
                      </w:rPr>
                      <m:t>N</m:t>
                    </m:r>
                    <m:sSub>
                      <m:sSubPr>
                        <m:ctrlPr>
                          <w:rPr>
                            <w:rFonts w:ascii="Cambria Math" w:hAnsi="Cambria Math" w:cs="Arial"/>
                            <w:i/>
                            <w:color w:val="AD4454"/>
                            <w:sz w:val="18"/>
                            <w:szCs w:val="18"/>
                          </w:rPr>
                        </m:ctrlPr>
                      </m:sSubPr>
                      <m:e>
                        <m:r>
                          <w:rPr>
                            <w:rFonts w:ascii="Cambria Math" w:hAnsi="Cambria Math" w:cs="Arial"/>
                            <w:color w:val="AD4454"/>
                            <w:sz w:val="18"/>
                            <w:szCs w:val="18"/>
                          </w:rPr>
                          <m:t>R</m:t>
                        </m:r>
                      </m:e>
                      <m:sub>
                        <m:r>
                          <w:rPr>
                            <w:rFonts w:ascii="Cambria Math" w:hAnsi="Cambria Math" w:cs="Arial"/>
                            <w:color w:val="AD4454"/>
                            <w:sz w:val="18"/>
                            <w:szCs w:val="18"/>
                          </w:rPr>
                          <m:t>c</m:t>
                        </m:r>
                      </m:sub>
                    </m:sSub>
                    <m:ctrlPr>
                      <w:rPr>
                        <w:rFonts w:ascii="Cambria Math" w:hAnsi="Cambria Math" w:cs="Arial"/>
                        <w:i/>
                        <w:color w:val="AD4454"/>
                        <w:sz w:val="18"/>
                        <w:szCs w:val="18"/>
                      </w:rPr>
                    </m:ctrlPr>
                  </m:den>
                </m:f>
                <m:r>
                  <m:rPr>
                    <m:sty m:val="p"/>
                  </m:rPr>
                  <w:rPr>
                    <w:rFonts w:ascii="Cambria Math" w:hAnsi="Cambria Math" w:cs="Arial"/>
                    <w:color w:val="AD4454"/>
                    <w:sz w:val="18"/>
                    <w:szCs w:val="18"/>
                  </w:rPr>
                  <m:t>≈</m:t>
                </m:r>
                <m:rad>
                  <m:radPr>
                    <m:degHide m:val="1"/>
                    <m:ctrlPr>
                      <w:rPr>
                        <w:rFonts w:ascii="Cambria Math" w:hAnsi="Cambria Math" w:cs="Arial"/>
                        <w:color w:val="AD4454"/>
                        <w:sz w:val="18"/>
                        <w:szCs w:val="18"/>
                      </w:rPr>
                    </m:ctrlPr>
                  </m:radPr>
                  <m:deg>
                    <m:ctrlPr>
                      <w:rPr>
                        <w:rFonts w:ascii="Cambria Math" w:hAnsi="Cambria Math" w:cs="Arial"/>
                        <w:i/>
                        <w:color w:val="AD4454"/>
                        <w:sz w:val="18"/>
                        <w:szCs w:val="18"/>
                      </w:rPr>
                    </m:ctrlPr>
                  </m:deg>
                  <m:e>
                    <m:sSub>
                      <m:sSubPr>
                        <m:ctrlPr>
                          <w:rPr>
                            <w:rFonts w:ascii="Cambria Math" w:hAnsi="Cambria Math" w:cs="Arial"/>
                            <w:i/>
                            <w:color w:val="AD4454"/>
                            <w:sz w:val="18"/>
                            <w:szCs w:val="18"/>
                          </w:rPr>
                        </m:ctrlPr>
                      </m:sSubPr>
                      <m:e>
                        <m:r>
                          <w:rPr>
                            <w:rFonts w:ascii="Cambria Math" w:hAnsi="Cambria Math" w:cs="Arial"/>
                            <w:color w:val="AD4454"/>
                            <w:sz w:val="18"/>
                            <w:szCs w:val="18"/>
                          </w:rPr>
                          <m:t>θ</m:t>
                        </m:r>
                      </m:e>
                      <m:sub>
                        <m:r>
                          <w:rPr>
                            <w:rFonts w:ascii="Cambria Math" w:hAnsi="Cambria Math" w:cs="Arial"/>
                            <w:color w:val="AD4454"/>
                            <w:sz w:val="18"/>
                            <w:szCs w:val="18"/>
                          </w:rPr>
                          <m:t>c</m:t>
                        </m:r>
                      </m:sub>
                    </m:sSub>
                  </m:e>
                </m:rad>
              </m:oMath>
            </m:oMathPara>
          </w:p>
          <w:p w14:paraId="249D4C92" w14:textId="6EFC1430" w:rsidR="00A016D4" w:rsidRPr="005B0FA3" w:rsidRDefault="00A016D4" w:rsidP="00A016D4">
            <w:pPr>
              <w:spacing w:before="100" w:beforeAutospacing="1" w:after="100" w:afterAutospacing="1"/>
              <w:jc w:val="both"/>
              <w:rPr>
                <w:rFonts w:cs="Arial"/>
                <w:color w:val="AD4454"/>
                <w:sz w:val="18"/>
                <w:szCs w:val="18"/>
              </w:rPr>
            </w:pPr>
            <w:r w:rsidRPr="004451D0">
              <w:rPr>
                <w:rFonts w:cs="Arial"/>
                <w:color w:val="AD4454"/>
                <w:sz w:val="18"/>
                <w:szCs w:val="18"/>
              </w:rPr>
              <w:t>Both raw sensor pairs are simultaneously retained in the feature matrix. The model therefore has access to the physical speed, the corrected speed, and the correction factor as three distinct, interpretable quantities</w:t>
            </w:r>
            <w:r w:rsidR="00E14EDD" w:rsidRPr="005B0FA3">
              <w:rPr>
                <w:rStyle w:val="FootnoteReference"/>
                <w:rFonts w:cs="Arial"/>
                <w:color w:val="AD4454"/>
                <w:sz w:val="18"/>
                <w:szCs w:val="18"/>
              </w:rPr>
              <w:footnoteReference w:id="4"/>
            </w:r>
            <w:r w:rsidRPr="004451D0">
              <w:rPr>
                <w:rFonts w:cs="Arial"/>
                <w:color w:val="AD4454"/>
                <w:sz w:val="18"/>
                <w:szCs w:val="18"/>
              </w:rPr>
              <w:t>.</w:t>
            </w:r>
          </w:p>
        </w:tc>
      </w:tr>
    </w:tbl>
    <w:tbl>
      <w:tblPr>
        <w:tblpPr w:leftFromText="180" w:rightFromText="180" w:vertAnchor="text" w:horzAnchor="margin" w:tblpY="23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3FD" w:rsidRPr="005B0FA3" w14:paraId="58E1BD74" w14:textId="77777777" w:rsidTr="009003FD">
        <w:tc>
          <w:tcPr>
            <w:tcW w:w="9360"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bookmarkEnd w:id="1"/>
          <w:p w14:paraId="369A2757" w14:textId="77777777" w:rsidR="009003FD" w:rsidRPr="004451D0" w:rsidRDefault="009003FD" w:rsidP="009003FD">
            <w:pPr>
              <w:spacing w:before="100" w:beforeAutospacing="1" w:after="100" w:afterAutospacing="1"/>
              <w:jc w:val="both"/>
              <w:rPr>
                <w:rFonts w:cs="Arial"/>
                <w:color w:val="AD4454"/>
                <w:sz w:val="18"/>
                <w:szCs w:val="18"/>
              </w:rPr>
            </w:pPr>
            <w:r w:rsidRPr="004451D0">
              <w:rPr>
                <w:rFonts w:cs="Arial"/>
                <w:color w:val="AD4454"/>
                <w:sz w:val="18"/>
                <w:szCs w:val="18"/>
              </w:rPr>
              <w:t xml:space="preserve">Advisory — s9/s14 Ratio Instability: The ratio </w:t>
            </w:r>
            <m:oMath>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c</m:t>
                  </m:r>
                </m:sub>
              </m:sSub>
            </m:oMath>
            <w:r w:rsidRPr="004451D0">
              <w:rPr>
                <w:rFonts w:cs="Arial"/>
                <w:color w:val="AD4454"/>
                <w:sz w:val="18"/>
                <w:szCs w:val="18"/>
              </w:rPr>
              <w:t xml:space="preserve"> exhibits an extreme standard deviation of 650.60 against a mean of 2.3604. Following per-regime z-normalisation, </w:t>
            </w:r>
            <m:oMath>
              <m:r>
                <w:rPr>
                  <w:rFonts w:ascii="Cambria Math" w:hAnsi="Cambria Math" w:cs="Arial"/>
                  <w:color w:val="AD4454"/>
                  <w:sz w:val="18"/>
                  <w:szCs w:val="18"/>
                </w:rPr>
                <m:t>N</m:t>
              </m:r>
              <m:sSub>
                <m:sSubPr>
                  <m:ctrlPr>
                    <w:rPr>
                      <w:rFonts w:ascii="Cambria Math" w:hAnsi="Cambria Math" w:cs="Arial"/>
                      <w:i/>
                      <w:color w:val="AD4454"/>
                      <w:sz w:val="18"/>
                      <w:szCs w:val="18"/>
                    </w:rPr>
                  </m:ctrlPr>
                </m:sSubPr>
                <m:e>
                  <m:r>
                    <w:rPr>
                      <w:rFonts w:ascii="Cambria Math" w:hAnsi="Cambria Math" w:cs="Arial"/>
                      <w:color w:val="AD4454"/>
                      <w:sz w:val="18"/>
                      <w:szCs w:val="18"/>
                    </w:rPr>
                    <m:t>R</m:t>
                  </m:r>
                </m:e>
                <m:sub>
                  <m:r>
                    <w:rPr>
                      <w:rFonts w:ascii="Cambria Math" w:hAnsi="Cambria Math" w:cs="Arial"/>
                      <w:color w:val="AD4454"/>
                      <w:sz w:val="18"/>
                      <w:szCs w:val="18"/>
                    </w:rPr>
                    <m:t>c</m:t>
                  </m:r>
                </m:sub>
              </m:sSub>
            </m:oMath>
            <w:r w:rsidRPr="004451D0">
              <w:rPr>
                <w:rFonts w:cs="Arial"/>
                <w:color w:val="AD4454"/>
                <w:sz w:val="18"/>
                <w:szCs w:val="18"/>
              </w:rPr>
              <w:t xml:space="preserve"> (s14) has a near-zero mean within each regime. When the denominator approaches zero the ratio becomes unbounded:</w:t>
            </w:r>
          </w:p>
          <w:p w14:paraId="52E3F32B" w14:textId="77777777" w:rsidR="009003FD" w:rsidRPr="004451D0" w:rsidRDefault="00000000" w:rsidP="009003FD">
            <w:pPr>
              <w:spacing w:before="100" w:beforeAutospacing="1" w:after="100" w:afterAutospacing="1"/>
              <w:jc w:val="both"/>
              <w:rPr>
                <w:rFonts w:cs="Arial"/>
                <w:color w:val="AD4454"/>
                <w:sz w:val="18"/>
                <w:szCs w:val="18"/>
              </w:rPr>
            </w:pPr>
            <m:oMathPara>
              <m:oMath>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c</m:t>
                    </m:r>
                  </m:sub>
                </m:sSub>
                <m:r>
                  <w:rPr>
                    <w:rFonts w:ascii="Cambria Math" w:hAnsi="Cambria Math" w:cs="Arial"/>
                    <w:color w:val="AD4454"/>
                    <w:sz w:val="18"/>
                    <w:szCs w:val="18"/>
                  </w:rPr>
                  <m:t>=</m:t>
                </m:r>
                <m:f>
                  <m:fPr>
                    <m:ctrlPr>
                      <w:rPr>
                        <w:rFonts w:ascii="Cambria Math" w:hAnsi="Cambria Math" w:cs="Arial"/>
                        <w:color w:val="AD4454"/>
                        <w:sz w:val="18"/>
                        <w:szCs w:val="18"/>
                      </w:rPr>
                    </m:ctrlPr>
                  </m:fPr>
                  <m:num>
                    <m:r>
                      <w:rPr>
                        <w:rFonts w:ascii="Cambria Math" w:hAnsi="Cambria Math" w:cs="Arial"/>
                        <w:color w:val="AD4454"/>
                        <w:sz w:val="18"/>
                        <w:szCs w:val="18"/>
                      </w:rPr>
                      <m:t>s9</m:t>
                    </m:r>
                    <m:ctrlPr>
                      <w:rPr>
                        <w:rFonts w:ascii="Cambria Math" w:hAnsi="Cambria Math" w:cs="Arial"/>
                        <w:i/>
                        <w:color w:val="AD4454"/>
                        <w:sz w:val="18"/>
                        <w:szCs w:val="18"/>
                      </w:rPr>
                    </m:ctrlPr>
                  </m:num>
                  <m:den>
                    <m:r>
                      <w:rPr>
                        <w:rFonts w:ascii="Cambria Math" w:hAnsi="Cambria Math" w:cs="Arial"/>
                        <w:color w:val="AD4454"/>
                        <w:sz w:val="18"/>
                        <w:szCs w:val="18"/>
                      </w:rPr>
                      <m:t>s14</m:t>
                    </m:r>
                    <m:ctrlPr>
                      <w:rPr>
                        <w:rFonts w:ascii="Cambria Math" w:hAnsi="Cambria Math" w:cs="Arial"/>
                        <w:i/>
                        <w:color w:val="AD4454"/>
                        <w:sz w:val="18"/>
                        <w:szCs w:val="18"/>
                      </w:rPr>
                    </m:ctrlPr>
                  </m:den>
                </m:f>
                <m:r>
                  <m:rPr>
                    <m:sty m:val="p"/>
                  </m:rPr>
                  <w:rPr>
                    <w:rFonts w:ascii="Cambria Math" w:hAnsi="Cambria Math" w:cs="Arial"/>
                    <w:color w:val="AD4454"/>
                    <w:sz w:val="18"/>
                    <w:szCs w:val="18"/>
                  </w:rPr>
                  <m:t>→∞ </m:t>
                </m:r>
                <m:r>
                  <m:rPr>
                    <m:nor/>
                  </m:rPr>
                  <w:rPr>
                    <w:rFonts w:cs="Arial"/>
                    <w:color w:val="AD4454"/>
                    <w:sz w:val="18"/>
                    <w:szCs w:val="18"/>
                  </w:rPr>
                  <m:t>as</m:t>
                </m:r>
                <m:r>
                  <m:rPr>
                    <m:sty m:val="p"/>
                  </m:rPr>
                  <w:rPr>
                    <w:rFonts w:ascii="Cambria Math" w:hAnsi="Cambria Math" w:cs="Arial"/>
                    <w:color w:val="AD4454"/>
                    <w:sz w:val="18"/>
                    <w:szCs w:val="18"/>
                  </w:rPr>
                  <m:t> </m:t>
                </m:r>
                <m:r>
                  <w:rPr>
                    <w:rFonts w:ascii="Cambria Math" w:hAnsi="Cambria Math" w:cs="Arial"/>
                    <w:color w:val="AD4454"/>
                    <w:sz w:val="18"/>
                    <w:szCs w:val="18"/>
                  </w:rPr>
                  <m:t>s14</m:t>
                </m:r>
                <m:r>
                  <m:rPr>
                    <m:sty m:val="p"/>
                  </m:rPr>
                  <w:rPr>
                    <w:rFonts w:ascii="Cambria Math" w:hAnsi="Cambria Math" w:cs="Arial"/>
                    <w:color w:val="AD4454"/>
                    <w:sz w:val="18"/>
                    <w:szCs w:val="18"/>
                  </w:rPr>
                  <m:t>→</m:t>
                </m:r>
                <m:r>
                  <w:rPr>
                    <w:rFonts w:ascii="Cambria Math" w:hAnsi="Cambria Math" w:cs="Arial"/>
                    <w:color w:val="AD4454"/>
                    <w:sz w:val="18"/>
                    <w:szCs w:val="18"/>
                  </w:rPr>
                  <m:t>0</m:t>
                </m:r>
              </m:oMath>
            </m:oMathPara>
          </w:p>
          <w:p w14:paraId="0DF4AC2A" w14:textId="77777777" w:rsidR="009003FD" w:rsidRPr="004451D0" w:rsidRDefault="009003FD" w:rsidP="009003FD">
            <w:pPr>
              <w:spacing w:before="100" w:beforeAutospacing="1" w:after="100" w:afterAutospacing="1"/>
              <w:jc w:val="both"/>
              <w:rPr>
                <w:rFonts w:cs="Arial"/>
                <w:color w:val="AD4454"/>
                <w:sz w:val="18"/>
                <w:szCs w:val="18"/>
              </w:rPr>
            </w:pPr>
            <w:r w:rsidRPr="004451D0">
              <w:rPr>
                <w:rFonts w:cs="Arial"/>
                <w:color w:val="AD4454"/>
                <w:sz w:val="18"/>
                <w:szCs w:val="18"/>
              </w:rPr>
              <w:t>A safe-division guard is applied:</w:t>
            </w:r>
          </w:p>
          <w:p w14:paraId="7E7D7E2D" w14:textId="77777777" w:rsidR="009003FD" w:rsidRPr="004451D0" w:rsidRDefault="00000000" w:rsidP="009003FD">
            <w:pPr>
              <w:spacing w:before="100" w:beforeAutospacing="1" w:after="100" w:afterAutospacing="1"/>
              <w:jc w:val="both"/>
              <w:rPr>
                <w:rFonts w:cs="Arial"/>
                <w:color w:val="AD4454"/>
                <w:sz w:val="18"/>
                <w:szCs w:val="18"/>
              </w:rPr>
            </w:pPr>
            <m:oMathPara>
              <m:oMath>
                <m:sSub>
                  <m:sSubPr>
                    <m:ctrlPr>
                      <w:rPr>
                        <w:rFonts w:ascii="Cambria Math" w:hAnsi="Cambria Math" w:cs="Arial"/>
                        <w:color w:val="AD4454"/>
                        <w:sz w:val="18"/>
                        <w:szCs w:val="18"/>
                      </w:rPr>
                    </m:ctrlPr>
                  </m:sSubPr>
                  <m:e>
                    <m:r>
                      <w:rPr>
                        <w:rFonts w:ascii="Cambria Math" w:hAnsi="Cambria Math" w:cs="Arial"/>
                        <w:color w:val="AD4454"/>
                        <w:sz w:val="18"/>
                        <w:szCs w:val="18"/>
                      </w:rPr>
                      <m:t>ρ</m:t>
                    </m:r>
                  </m:e>
                  <m:sub>
                    <m:r>
                      <w:rPr>
                        <w:rFonts w:ascii="Cambria Math" w:hAnsi="Cambria Math" w:cs="Arial"/>
                        <w:color w:val="AD4454"/>
                        <w:sz w:val="18"/>
                        <w:szCs w:val="18"/>
                      </w:rPr>
                      <m:t>c</m:t>
                    </m:r>
                  </m:sub>
                </m:sSub>
                <m:r>
                  <w:rPr>
                    <w:rFonts w:ascii="Cambria Math" w:hAnsi="Cambria Math" w:cs="Arial"/>
                    <w:color w:val="AD4454"/>
                    <w:sz w:val="18"/>
                    <w:szCs w:val="18"/>
                  </w:rPr>
                  <m:t>=</m:t>
                </m:r>
                <m:d>
                  <m:dPr>
                    <m:begChr m:val="{"/>
                    <m:endChr m:val=""/>
                    <m:ctrlPr>
                      <w:rPr>
                        <w:rFonts w:ascii="Cambria Math" w:hAnsi="Cambria Math" w:cs="Arial"/>
                        <w:i/>
                        <w:color w:val="AD4454"/>
                        <w:sz w:val="18"/>
                        <w:szCs w:val="18"/>
                      </w:rPr>
                    </m:ctrlPr>
                  </m:dPr>
                  <m:e>
                    <m:m>
                      <m:mPr>
                        <m:mcs>
                          <m:mc>
                            <m:mcPr>
                              <m:count m:val="1"/>
                              <m:mcJc m:val="center"/>
                            </m:mcPr>
                          </m:mc>
                        </m:mcs>
                        <m:ctrlPr>
                          <w:rPr>
                            <w:rFonts w:ascii="Cambria Math" w:hAnsi="Cambria Math" w:cs="Arial"/>
                            <w:i/>
                            <w:color w:val="AD4454"/>
                            <w:sz w:val="18"/>
                            <w:szCs w:val="18"/>
                          </w:rPr>
                        </m:ctrlPr>
                      </m:mPr>
                      <m:mr>
                        <m:e>
                          <m:f>
                            <m:fPr>
                              <m:type m:val="skw"/>
                              <m:ctrlPr>
                                <w:rPr>
                                  <w:rFonts w:ascii="Cambria Math" w:hAnsi="Cambria Math" w:cs="Arial"/>
                                  <w:i/>
                                  <w:color w:val="AD4454"/>
                                  <w:sz w:val="18"/>
                                  <w:szCs w:val="18"/>
                                </w:rPr>
                              </m:ctrlPr>
                            </m:fPr>
                            <m:num>
                              <m:r>
                                <w:rPr>
                                  <w:rFonts w:ascii="Cambria Math" w:hAnsi="Cambria Math" w:cs="Arial"/>
                                  <w:color w:val="AD4454"/>
                                  <w:sz w:val="18"/>
                                  <w:szCs w:val="18"/>
                                </w:rPr>
                                <m:t>s9</m:t>
                              </m:r>
                            </m:num>
                            <m:den>
                              <m:r>
                                <w:rPr>
                                  <w:rFonts w:ascii="Cambria Math" w:hAnsi="Cambria Math" w:cs="Arial"/>
                                  <w:color w:val="AD4454"/>
                                  <w:sz w:val="18"/>
                                  <w:szCs w:val="18"/>
                                </w:rPr>
                                <m:t>s14</m:t>
                              </m:r>
                            </m:den>
                          </m:f>
                          <m:r>
                            <w:rPr>
                              <w:rFonts w:ascii="Cambria Math" w:hAnsi="Cambria Math" w:cs="Arial"/>
                              <w:color w:val="AD4454"/>
                              <w:sz w:val="18"/>
                              <w:szCs w:val="18"/>
                            </w:rPr>
                            <m:t xml:space="preserve"> if </m:t>
                          </m:r>
                          <m:d>
                            <m:dPr>
                              <m:begChr m:val="|"/>
                              <m:endChr m:val="|"/>
                              <m:ctrlPr>
                                <w:rPr>
                                  <w:rFonts w:ascii="Cambria Math" w:hAnsi="Cambria Math" w:cs="Arial"/>
                                  <w:i/>
                                  <w:color w:val="AD4454"/>
                                  <w:sz w:val="18"/>
                                  <w:szCs w:val="18"/>
                                </w:rPr>
                              </m:ctrlPr>
                            </m:dPr>
                            <m:e>
                              <m:r>
                                <w:rPr>
                                  <w:rFonts w:ascii="Cambria Math" w:hAnsi="Cambria Math" w:cs="Arial"/>
                                  <w:color w:val="AD4454"/>
                                  <w:sz w:val="18"/>
                                  <w:szCs w:val="18"/>
                                </w:rPr>
                                <m:t>s14</m:t>
                              </m:r>
                            </m:e>
                          </m:d>
                          <m:r>
                            <w:rPr>
                              <w:rFonts w:ascii="Cambria Math" w:hAnsi="Cambria Math" w:cs="Arial"/>
                              <w:color w:val="AD4454"/>
                              <w:sz w:val="18"/>
                              <w:szCs w:val="18"/>
                            </w:rPr>
                            <m:t>≥</m:t>
                          </m:r>
                          <m:sSup>
                            <m:sSupPr>
                              <m:ctrlPr>
                                <w:rPr>
                                  <w:rFonts w:ascii="Cambria Math" w:hAnsi="Cambria Math" w:cs="Arial"/>
                                  <w:i/>
                                  <w:color w:val="AD4454"/>
                                  <w:sz w:val="18"/>
                                  <w:szCs w:val="18"/>
                                </w:rPr>
                              </m:ctrlPr>
                            </m:sSupPr>
                            <m:e>
                              <m:r>
                                <w:rPr>
                                  <w:rFonts w:ascii="Cambria Math" w:hAnsi="Cambria Math" w:cs="Arial"/>
                                  <w:color w:val="AD4454"/>
                                  <w:sz w:val="18"/>
                                  <w:szCs w:val="18"/>
                                </w:rPr>
                                <m:t>10</m:t>
                              </m:r>
                            </m:e>
                            <m:sup>
                              <m:r>
                                <w:rPr>
                                  <w:rFonts w:ascii="Cambria Math" w:hAnsi="Cambria Math" w:cs="Arial"/>
                                  <w:color w:val="AD4454"/>
                                  <w:sz w:val="18"/>
                                  <w:szCs w:val="18"/>
                                </w:rPr>
                                <m:t>-6</m:t>
                              </m:r>
                            </m:sup>
                          </m:sSup>
                        </m:e>
                      </m:mr>
                      <m:mr>
                        <m:e>
                          <m:r>
                            <w:rPr>
                              <w:rFonts w:ascii="Cambria Math" w:hAnsi="Cambria Math" w:cs="Arial"/>
                              <w:color w:val="AD4454"/>
                              <w:sz w:val="18"/>
                              <w:szCs w:val="18"/>
                            </w:rPr>
                            <m:t xml:space="preserve">0             if </m:t>
                          </m:r>
                          <m:d>
                            <m:dPr>
                              <m:begChr m:val="|"/>
                              <m:endChr m:val="|"/>
                              <m:ctrlPr>
                                <w:rPr>
                                  <w:rFonts w:ascii="Cambria Math" w:hAnsi="Cambria Math" w:cs="Arial"/>
                                  <w:i/>
                                  <w:color w:val="AD4454"/>
                                  <w:sz w:val="18"/>
                                  <w:szCs w:val="18"/>
                                </w:rPr>
                              </m:ctrlPr>
                            </m:dPr>
                            <m:e>
                              <m:r>
                                <w:rPr>
                                  <w:rFonts w:ascii="Cambria Math" w:hAnsi="Cambria Math" w:cs="Arial"/>
                                  <w:color w:val="AD4454"/>
                                  <w:sz w:val="18"/>
                                  <w:szCs w:val="18"/>
                                </w:rPr>
                                <m:t>s14</m:t>
                              </m:r>
                            </m:e>
                          </m:d>
                          <m:r>
                            <w:rPr>
                              <w:rFonts w:ascii="Cambria Math" w:hAnsi="Cambria Math" w:cs="Arial"/>
                              <w:color w:val="AD4454"/>
                              <w:sz w:val="18"/>
                              <w:szCs w:val="18"/>
                            </w:rPr>
                            <m:t>&lt;</m:t>
                          </m:r>
                          <m:sSup>
                            <m:sSupPr>
                              <m:ctrlPr>
                                <w:rPr>
                                  <w:rFonts w:ascii="Cambria Math" w:hAnsi="Cambria Math" w:cs="Arial"/>
                                  <w:i/>
                                  <w:color w:val="AD4454"/>
                                  <w:sz w:val="18"/>
                                  <w:szCs w:val="18"/>
                                </w:rPr>
                              </m:ctrlPr>
                            </m:sSupPr>
                            <m:e>
                              <m:r>
                                <w:rPr>
                                  <w:rFonts w:ascii="Cambria Math" w:hAnsi="Cambria Math" w:cs="Arial"/>
                                  <w:color w:val="AD4454"/>
                                  <w:sz w:val="18"/>
                                  <w:szCs w:val="18"/>
                                </w:rPr>
                                <m:t>10</m:t>
                              </m:r>
                            </m:e>
                            <m:sup>
                              <m:r>
                                <w:rPr>
                                  <w:rFonts w:ascii="Cambria Math" w:hAnsi="Cambria Math" w:cs="Arial"/>
                                  <w:color w:val="AD4454"/>
                                  <w:sz w:val="18"/>
                                  <w:szCs w:val="18"/>
                                </w:rPr>
                                <m:t>-6</m:t>
                              </m:r>
                            </m:sup>
                          </m:sSup>
                        </m:e>
                      </m:mr>
                    </m:m>
                  </m:e>
                </m:d>
              </m:oMath>
            </m:oMathPara>
          </w:p>
          <w:p w14:paraId="2F5E8A05" w14:textId="77777777" w:rsidR="009003FD" w:rsidRPr="005B0FA3" w:rsidRDefault="009003FD" w:rsidP="009003FD">
            <w:pPr>
              <w:spacing w:before="100" w:beforeAutospacing="1" w:after="100" w:afterAutospacing="1"/>
              <w:jc w:val="both"/>
              <w:rPr>
                <w:rFonts w:cs="Arial"/>
                <w:color w:val="2D2D2D"/>
                <w:sz w:val="18"/>
                <w:szCs w:val="18"/>
              </w:rPr>
            </w:pPr>
            <w:r w:rsidRPr="004451D0">
              <w:rPr>
                <w:rFonts w:cs="Arial"/>
                <w:color w:val="AD4454"/>
                <w:sz w:val="18"/>
                <w:szCs w:val="18"/>
              </w:rPr>
              <w:t xml:space="preserve">This prevents numerical explosion but does not eliminate the large variance, as values near but not below the threshold still produce extreme ratios. This feature carries a risk of dominating tree split decisions on the basis of numerical instability rather than genuine degradation signal. Phase 4 SHAP analysis must audit </w:t>
            </w:r>
            <m:oMath>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c</m:t>
                  </m:r>
                </m:sub>
              </m:sSub>
            </m:oMath>
            <w:r w:rsidRPr="004451D0">
              <w:rPr>
                <w:rFonts w:cs="Arial"/>
                <w:color w:val="AD4454"/>
                <w:sz w:val="18"/>
                <w:szCs w:val="18"/>
              </w:rPr>
              <w:t xml:space="preserve"> contribution; if the feature is found to introduce noise rather than signal, capping at a percentile boundary warrants evaluation as a deferred Phase 4 resolution.</w:t>
            </w:r>
          </w:p>
        </w:tc>
      </w:tr>
    </w:tbl>
    <w:p w14:paraId="151D1DB9" w14:textId="77777777" w:rsidR="004B7E70" w:rsidRDefault="004B7E70" w:rsidP="004B7E70"/>
    <w:p w14:paraId="320E3F1D" w14:textId="77777777" w:rsidR="004B7E70" w:rsidRDefault="004B7E70" w:rsidP="004B7E70"/>
    <w:tbl>
      <w:tblPr>
        <w:tblpPr w:leftFromText="180" w:rightFromText="180" w:vertAnchor="text" w:horzAnchor="margin" w:tblpY="12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E70" w:rsidRPr="005B0FA3" w14:paraId="0F23D98F" w14:textId="77777777" w:rsidTr="004B7E70">
        <w:tc>
          <w:tcPr>
            <w:tcW w:w="9360"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0F3569AD" w14:textId="77777777" w:rsidR="004B7E70" w:rsidRPr="005B0FA3" w:rsidRDefault="004B7E70" w:rsidP="004B7E70">
            <w:pPr>
              <w:spacing w:before="100" w:beforeAutospacing="1" w:after="100" w:afterAutospacing="1"/>
              <w:jc w:val="both"/>
              <w:rPr>
                <w:rFonts w:cs="Arial"/>
                <w:color w:val="2D2D2D"/>
                <w:sz w:val="18"/>
                <w:szCs w:val="18"/>
              </w:rPr>
            </w:pPr>
            <w:r w:rsidRPr="004451D0">
              <w:rPr>
                <w:rFonts w:cs="Arial"/>
                <w:color w:val="AD4454"/>
                <w:sz w:val="18"/>
                <w:szCs w:val="18"/>
              </w:rPr>
              <w:t xml:space="preserve">Disposition: G7 resolved. Ratio features </w:t>
            </w:r>
            <m:oMath>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f</m:t>
                  </m:r>
                </m:sub>
              </m:sSub>
            </m:oMath>
            <w:r w:rsidRPr="004451D0">
              <w:rPr>
                <w:rFonts w:cs="Arial"/>
                <w:color w:val="AD4454"/>
                <w:sz w:val="18"/>
                <w:szCs w:val="18"/>
              </w:rPr>
              <w:t xml:space="preserve"> and </w:t>
            </w:r>
            <m:oMath>
              <m:sSub>
                <m:sSubPr>
                  <m:ctrlPr>
                    <w:rPr>
                      <w:rFonts w:ascii="Cambria Math" w:hAnsi="Cambria Math" w:cs="Arial"/>
                      <w:i/>
                      <w:color w:val="AD4454"/>
                      <w:sz w:val="18"/>
                      <w:szCs w:val="18"/>
                    </w:rPr>
                  </m:ctrlPr>
                </m:sSubPr>
                <m:e>
                  <m:r>
                    <w:rPr>
                      <w:rFonts w:ascii="Cambria Math" w:hAnsi="Cambria Math" w:cs="Arial"/>
                      <w:color w:val="AD4454"/>
                      <w:sz w:val="18"/>
                      <w:szCs w:val="18"/>
                    </w:rPr>
                    <m:t>ρ</m:t>
                  </m:r>
                  <m:ctrlPr>
                    <w:rPr>
                      <w:rFonts w:ascii="Cambria Math" w:hAnsi="Cambria Math" w:cs="Arial"/>
                      <w:color w:val="AD4454"/>
                      <w:sz w:val="18"/>
                      <w:szCs w:val="18"/>
                    </w:rPr>
                  </m:ctrlPr>
                </m:e>
                <m:sub>
                  <m:r>
                    <w:rPr>
                      <w:rFonts w:ascii="Cambria Math" w:hAnsi="Cambria Math" w:cs="Arial"/>
                      <w:color w:val="AD4454"/>
                      <w:sz w:val="18"/>
                      <w:szCs w:val="18"/>
                    </w:rPr>
                    <m:t>c</m:t>
                  </m:r>
                </m:sub>
              </m:sSub>
            </m:oMath>
            <w:r w:rsidRPr="004451D0">
              <w:rPr>
                <w:rFonts w:cs="Arial"/>
                <w:color w:val="AD4454"/>
                <w:sz w:val="18"/>
                <w:szCs w:val="18"/>
              </w:rPr>
              <w:t xml:space="preserve"> added to the feature matrix. All four raw sensors retained. Phase 4 SHAP analysis mandated to audit ratio feature contributions against raw sensor importance.</w:t>
            </w:r>
          </w:p>
        </w:tc>
      </w:tr>
    </w:tbl>
    <w:p w14:paraId="4D9616C8" w14:textId="77777777" w:rsidR="004B7E70" w:rsidRDefault="004B7E70" w:rsidP="004B7E70"/>
    <w:p w14:paraId="4452087C" w14:textId="189F2C3E" w:rsidR="00A807E4" w:rsidRPr="005B0FA3" w:rsidRDefault="00265E3A" w:rsidP="00E14EDD">
      <w:pPr>
        <w:pStyle w:val="Heading2"/>
      </w:pPr>
      <w:r w:rsidRPr="005B0FA3">
        <w:t>4.7  G8 — Extreme Z-Score Excursions</w:t>
      </w:r>
      <w:r w:rsidR="00947D46" w:rsidRPr="005B0FA3">
        <w:t xml:space="preserve"> (Cell 13)</w:t>
      </w:r>
    </w:p>
    <w:p w14:paraId="1A1C44AE" w14:textId="021FDE57" w:rsidR="00A807E4" w:rsidRPr="008A738F" w:rsidRDefault="00000000" w:rsidP="00623C1B">
      <w:pPr>
        <w:spacing w:before="100" w:beforeAutospacing="1" w:after="100" w:afterAutospacing="1"/>
        <w:jc w:val="both"/>
        <w:rPr>
          <w:rFonts w:cs="Arial"/>
          <w:szCs w:val="20"/>
        </w:rPr>
      </w:pPr>
      <w:r w:rsidRPr="008A738F">
        <w:rPr>
          <w:rFonts w:cs="Arial"/>
          <w:szCs w:val="20"/>
        </w:rPr>
        <w:t xml:space="preserve">Phase 2 identified extreme z-score excursions in five sensors: s6 (max </w:t>
      </w:r>
      <m:oMath>
        <m:r>
          <w:rPr>
            <w:rFonts w:ascii="Cambria Math" w:hAnsi="Cambria Math" w:cs="Arial"/>
            <w:szCs w:val="20"/>
          </w:rPr>
          <m:t>|z| = 7.9</m:t>
        </m:r>
      </m:oMath>
      <w:r w:rsidRPr="008A738F">
        <w:rPr>
          <w:rFonts w:cs="Arial"/>
          <w:szCs w:val="20"/>
        </w:rPr>
        <w:t xml:space="preserve">), s8 (max </w:t>
      </w:r>
      <m:oMath>
        <m:r>
          <w:rPr>
            <w:rFonts w:ascii="Cambria Math" w:hAnsi="Cambria Math" w:cs="Arial"/>
            <w:szCs w:val="20"/>
          </w:rPr>
          <m:t>|z| = 8.3</m:t>
        </m:r>
      </m:oMath>
      <w:r w:rsidRPr="008A738F">
        <w:rPr>
          <w:rFonts w:cs="Arial"/>
          <w:szCs w:val="20"/>
        </w:rPr>
        <w:t>), s9 (max |</w:t>
      </w:r>
      <m:oMath>
        <m:r>
          <w:rPr>
            <w:rFonts w:ascii="Cambria Math" w:hAnsi="Cambria Math" w:cs="Arial"/>
            <w:szCs w:val="20"/>
          </w:rPr>
          <m:t>z| = 8.9</m:t>
        </m:r>
      </m:oMath>
      <w:r w:rsidRPr="008A738F">
        <w:rPr>
          <w:rFonts w:cs="Arial"/>
          <w:szCs w:val="20"/>
        </w:rPr>
        <w:t xml:space="preserve">), s13 (max </w:t>
      </w:r>
      <m:oMath>
        <m:r>
          <w:rPr>
            <w:rFonts w:ascii="Cambria Math" w:hAnsi="Cambria Math" w:cs="Arial"/>
            <w:szCs w:val="20"/>
          </w:rPr>
          <m:t>|z| = 7.5</m:t>
        </m:r>
      </m:oMath>
      <w:r w:rsidRPr="008A738F">
        <w:rPr>
          <w:rFonts w:cs="Arial"/>
          <w:szCs w:val="20"/>
        </w:rPr>
        <w:t xml:space="preserve">), and s14 (max </w:t>
      </w:r>
      <m:oMath>
        <m:r>
          <w:rPr>
            <w:rFonts w:ascii="Cambria Math" w:hAnsi="Cambria Math" w:cs="Arial"/>
            <w:szCs w:val="20"/>
          </w:rPr>
          <m:t>|z| = 8.9</m:t>
        </m:r>
      </m:oMath>
      <w:r w:rsidRPr="008A738F">
        <w:rPr>
          <w:rFonts w:cs="Arial"/>
          <w:szCs w:val="20"/>
        </w:rPr>
        <w:t>). The critical engineering question is whether these extremes represent initialisation transients (spurious artefacts that should be Winsorised to prevent distortion of the feature distribution) or terminal degradation signals (genuine physical evidence of end-of-life behaviour that must be retained).</w:t>
      </w:r>
    </w:p>
    <w:p w14:paraId="57C0D8AC" w14:textId="6D3E7EE8" w:rsidR="00A807E4" w:rsidRPr="008A738F" w:rsidRDefault="00000000" w:rsidP="00623C1B">
      <w:pPr>
        <w:spacing w:before="100" w:beforeAutospacing="1" w:after="100" w:afterAutospacing="1"/>
        <w:jc w:val="both"/>
        <w:rPr>
          <w:rFonts w:cs="Arial"/>
          <w:szCs w:val="20"/>
        </w:rPr>
      </w:pPr>
      <w:r w:rsidRPr="008A738F">
        <w:rPr>
          <w:rFonts w:cs="Arial"/>
          <w:szCs w:val="20"/>
        </w:rPr>
        <w:t>The resolution methodology applied was cycle-position analysis. A normalised cycle position was computed for each row:</w:t>
      </w:r>
    </w:p>
    <w:p w14:paraId="1C4524C4" w14:textId="43429370" w:rsidR="00A807E4" w:rsidRPr="008A738F" w:rsidRDefault="00C05F0A" w:rsidP="00623C1B">
      <w:pPr>
        <w:spacing w:before="100" w:beforeAutospacing="1" w:after="100" w:afterAutospacing="1"/>
        <w:jc w:val="center"/>
        <w:rPr>
          <w:rFonts w:cs="Arial"/>
          <w:szCs w:val="20"/>
        </w:rPr>
      </w:pPr>
      <m:oMathPara>
        <m:oMath>
          <m:r>
            <m:rPr>
              <m:sty m:val="p"/>
            </m:rPr>
            <w:rPr>
              <w:rFonts w:ascii="Cambria Math" w:hAnsi="Cambria Math" w:cs="Arial"/>
              <w:color w:val="0D1B2A"/>
              <w:szCs w:val="20"/>
            </w:rPr>
            <w:lastRenderedPageBreak/>
            <m:t>cycle position=</m:t>
          </m:r>
          <m:f>
            <m:fPr>
              <m:ctrlPr>
                <w:rPr>
                  <w:rFonts w:ascii="Cambria Math" w:eastAsia="Arial" w:hAnsi="Cambria Math" w:cs="Arial"/>
                  <w:iCs/>
                  <w:color w:val="0D1B2A"/>
                  <w:szCs w:val="20"/>
                </w:rPr>
              </m:ctrlPr>
            </m:fPr>
            <m:num>
              <m:r>
                <m:rPr>
                  <m:sty m:val="p"/>
                </m:rPr>
                <w:rPr>
                  <w:rFonts w:ascii="Cambria Math" w:hAnsi="Cambria Math" w:cs="Arial"/>
                  <w:color w:val="0D1B2A"/>
                  <w:szCs w:val="20"/>
                </w:rPr>
                <m:t>cycl</m:t>
              </m:r>
              <m:sSub>
                <m:sSubPr>
                  <m:ctrlPr>
                    <w:rPr>
                      <w:rFonts w:ascii="Cambria Math" w:hAnsi="Cambria Math" w:cs="Arial"/>
                      <w:iCs/>
                      <w:color w:val="0D1B2A"/>
                      <w:szCs w:val="20"/>
                    </w:rPr>
                  </m:ctrlPr>
                </m:sSubPr>
                <m:e>
                  <m:r>
                    <m:rPr>
                      <m:sty m:val="p"/>
                    </m:rPr>
                    <w:rPr>
                      <w:rFonts w:ascii="Cambria Math" w:hAnsi="Cambria Math" w:cs="Arial"/>
                      <w:color w:val="0D1B2A"/>
                      <w:szCs w:val="20"/>
                    </w:rPr>
                    <m:t>e</m:t>
                  </m:r>
                </m:e>
                <m:sub>
                  <m:r>
                    <w:rPr>
                      <w:rFonts w:ascii="Cambria Math" w:hAnsi="Cambria Math" w:cs="Arial"/>
                      <w:color w:val="0D1B2A"/>
                      <w:szCs w:val="20"/>
                    </w:rPr>
                    <m:t>i</m:t>
                  </m:r>
                </m:sub>
              </m:sSub>
            </m:num>
            <m:den>
              <m:r>
                <m:rPr>
                  <m:sty m:val="p"/>
                </m:rPr>
                <w:rPr>
                  <w:rFonts w:ascii="Cambria Math" w:hAnsi="Cambria Math" w:cs="Arial"/>
                  <w:color w:val="0D1B2A"/>
                  <w:szCs w:val="20"/>
                </w:rPr>
                <m:t>cycl</m:t>
              </m:r>
              <m:sSub>
                <m:sSubPr>
                  <m:ctrlPr>
                    <w:rPr>
                      <w:rFonts w:ascii="Cambria Math" w:hAnsi="Cambria Math" w:cs="Arial"/>
                      <w:iCs/>
                      <w:color w:val="0D1B2A"/>
                      <w:szCs w:val="20"/>
                    </w:rPr>
                  </m:ctrlPr>
                </m:sSubPr>
                <m:e>
                  <m:r>
                    <m:rPr>
                      <m:sty m:val="p"/>
                    </m:rPr>
                    <w:rPr>
                      <w:rFonts w:ascii="Cambria Math" w:hAnsi="Cambria Math" w:cs="Arial"/>
                      <w:color w:val="0D1B2A"/>
                      <w:szCs w:val="20"/>
                    </w:rPr>
                    <m:t>e</m:t>
                  </m:r>
                </m:e>
                <m:sub>
                  <m:r>
                    <m:rPr>
                      <m:sty m:val="p"/>
                    </m:rPr>
                    <w:rPr>
                      <w:rFonts w:ascii="Cambria Math" w:hAnsi="Cambria Math" w:cs="Arial"/>
                      <w:color w:val="0D1B2A"/>
                      <w:szCs w:val="20"/>
                    </w:rPr>
                    <m:t>max</m:t>
                  </m:r>
                </m:sub>
              </m:sSub>
              <m:d>
                <m:dPr>
                  <m:ctrlPr>
                    <w:rPr>
                      <w:rFonts w:ascii="Cambria Math" w:hAnsi="Cambria Math" w:cs="Arial"/>
                      <w:iCs/>
                      <w:color w:val="0D1B2A"/>
                      <w:szCs w:val="20"/>
                    </w:rPr>
                  </m:ctrlPr>
                </m:dPr>
                <m:e>
                  <m:r>
                    <m:rPr>
                      <m:sty m:val="p"/>
                    </m:rPr>
                    <w:rPr>
                      <w:rFonts w:ascii="Cambria Math" w:hAnsi="Cambria Math" w:cs="Arial"/>
                      <w:color w:val="0D1B2A"/>
                      <w:szCs w:val="20"/>
                    </w:rPr>
                    <m:t>engine</m:t>
                  </m:r>
                </m:e>
              </m:d>
            </m:den>
          </m:f>
        </m:oMath>
      </m:oMathPara>
    </w:p>
    <w:p w14:paraId="23A0245C" w14:textId="390E87DF" w:rsidR="00A807E4" w:rsidRPr="008A738F" w:rsidRDefault="00000000" w:rsidP="00C05F0A">
      <w:pPr>
        <w:spacing w:before="100" w:beforeAutospacing="1" w:after="100" w:afterAutospacing="1"/>
        <w:rPr>
          <w:rFonts w:cs="Arial"/>
          <w:szCs w:val="20"/>
        </w:rPr>
      </w:pPr>
      <w:r w:rsidRPr="008A738F">
        <w:rPr>
          <w:rFonts w:cs="Arial"/>
          <w:color w:val="0D1B2A"/>
          <w:szCs w:val="20"/>
        </w:rPr>
        <w:t xml:space="preserve">where </w:t>
      </w:r>
      <m:oMath>
        <m:r>
          <w:rPr>
            <w:rFonts w:ascii="Cambria Math" w:hAnsi="Cambria Math" w:cs="Arial"/>
            <w:color w:val="0D1B2A"/>
            <w:szCs w:val="20"/>
          </w:rPr>
          <m:t>cycl</m:t>
        </m:r>
        <m:sSub>
          <m:sSubPr>
            <m:ctrlPr>
              <w:rPr>
                <w:rFonts w:ascii="Cambria Math" w:hAnsi="Cambria Math" w:cs="Arial"/>
                <w:i/>
                <w:color w:val="0D1B2A"/>
                <w:szCs w:val="20"/>
              </w:rPr>
            </m:ctrlPr>
          </m:sSubPr>
          <m:e>
            <m:r>
              <w:rPr>
                <w:rFonts w:ascii="Cambria Math" w:hAnsi="Cambria Math" w:cs="Arial"/>
                <w:color w:val="0D1B2A"/>
                <w:szCs w:val="20"/>
              </w:rPr>
              <m:t>e</m:t>
            </m:r>
          </m:e>
          <m:sub>
            <m:r>
              <w:rPr>
                <w:rFonts w:ascii="Cambria Math" w:hAnsi="Cambria Math" w:cs="Arial"/>
                <w:color w:val="0D1B2A"/>
                <w:szCs w:val="20"/>
              </w:rPr>
              <m:t>max</m:t>
            </m:r>
          </m:sub>
        </m:sSub>
      </m:oMath>
      <w:r w:rsidRPr="008A738F">
        <w:rPr>
          <w:rFonts w:cs="Arial"/>
          <w:color w:val="0D1B2A"/>
          <w:szCs w:val="20"/>
        </w:rPr>
        <w:t xml:space="preserve"> is the final recorded cycle for each engine trajectory</w:t>
      </w:r>
      <w:r w:rsidR="00C05F0A" w:rsidRPr="008A738F">
        <w:rPr>
          <w:rFonts w:cs="Arial"/>
          <w:color w:val="0D1B2A"/>
          <w:szCs w:val="20"/>
        </w:rPr>
        <w:t>.</w:t>
      </w:r>
    </w:p>
    <w:p w14:paraId="49B236B6" w14:textId="1F9919A3" w:rsidR="00A807E4" w:rsidRPr="008A738F" w:rsidRDefault="00000000" w:rsidP="00623C1B">
      <w:pPr>
        <w:spacing w:before="100" w:beforeAutospacing="1" w:after="100" w:afterAutospacing="1"/>
        <w:jc w:val="both"/>
        <w:rPr>
          <w:rFonts w:cs="Arial"/>
          <w:szCs w:val="20"/>
        </w:rPr>
      </w:pPr>
      <w:r w:rsidRPr="008A738F">
        <w:rPr>
          <w:rFonts w:cs="Arial"/>
          <w:szCs w:val="20"/>
        </w:rPr>
        <w:t xml:space="preserve">Extreme rows were defined as those with </w:t>
      </w:r>
      <m:oMath>
        <m:r>
          <w:rPr>
            <w:rFonts w:ascii="Cambria Math" w:hAnsi="Cambria Math" w:cs="Arial"/>
            <w:szCs w:val="20"/>
          </w:rPr>
          <m:t>|z| &gt; 5.0</m:t>
        </m:r>
      </m:oMath>
      <w:r w:rsidRPr="008A738F">
        <w:rPr>
          <w:rFonts w:cs="Arial"/>
          <w:szCs w:val="20"/>
        </w:rPr>
        <w:t xml:space="preserve">. For each sensor, the extreme rows were partitioned into three bands: early life </w:t>
      </w:r>
      <m:oMath>
        <m:r>
          <w:rPr>
            <w:rFonts w:ascii="Cambria Math" w:hAnsi="Cambria Math" w:cs="Arial"/>
            <w:szCs w:val="20"/>
          </w:rPr>
          <m:t>(</m:t>
        </m:r>
        <m:r>
          <m:rPr>
            <m:sty m:val="p"/>
          </m:rPr>
          <w:rPr>
            <w:rFonts w:ascii="Cambria Math" w:hAnsi="Cambria Math" w:cs="Arial"/>
            <w:szCs w:val="20"/>
          </w:rPr>
          <m:t>cycle_position</m:t>
        </m:r>
        <m:r>
          <w:rPr>
            <w:rFonts w:ascii="Cambria Math" w:hAnsi="Cambria Math" w:cs="Arial"/>
            <w:szCs w:val="20"/>
          </w:rPr>
          <m:t xml:space="preserve"> &lt; 0.2)</m:t>
        </m:r>
      </m:oMath>
      <w:r w:rsidRPr="008A738F">
        <w:rPr>
          <w:rFonts w:cs="Arial"/>
          <w:szCs w:val="20"/>
        </w:rPr>
        <w:t xml:space="preserve">, middle </w:t>
      </w:r>
      <m:oMath>
        <m:r>
          <w:rPr>
            <w:rFonts w:ascii="Cambria Math" w:hAnsi="Cambria Math" w:cs="Arial"/>
            <w:szCs w:val="20"/>
          </w:rPr>
          <m:t xml:space="preserve">(0.2 ≤ </m:t>
        </m:r>
        <m:r>
          <m:rPr>
            <m:sty m:val="p"/>
          </m:rPr>
          <w:rPr>
            <w:rFonts w:ascii="Cambria Math" w:hAnsi="Cambria Math" w:cs="Arial"/>
            <w:szCs w:val="20"/>
          </w:rPr>
          <m:t>cycle_position</m:t>
        </m:r>
        <m:r>
          <w:rPr>
            <w:rFonts w:ascii="Cambria Math" w:hAnsi="Cambria Math" w:cs="Arial"/>
            <w:szCs w:val="20"/>
          </w:rPr>
          <m:t xml:space="preserve"> ≤ 0.8)</m:t>
        </m:r>
      </m:oMath>
      <w:r w:rsidRPr="008A738F">
        <w:rPr>
          <w:rFonts w:cs="Arial"/>
          <w:szCs w:val="20"/>
        </w:rPr>
        <w:t xml:space="preserve">, and terminal </w:t>
      </w:r>
      <m:oMath>
        <m:r>
          <w:rPr>
            <w:rFonts w:ascii="Cambria Math" w:hAnsi="Cambria Math" w:cs="Arial"/>
            <w:szCs w:val="20"/>
          </w:rPr>
          <m:t>(</m:t>
        </m:r>
        <m:r>
          <m:rPr>
            <m:sty m:val="p"/>
          </m:rPr>
          <w:rPr>
            <w:rFonts w:ascii="Cambria Math" w:hAnsi="Cambria Math" w:cs="Arial"/>
            <w:szCs w:val="20"/>
          </w:rPr>
          <m:t>cycle_position</m:t>
        </m:r>
        <m:r>
          <w:rPr>
            <w:rFonts w:ascii="Cambria Math" w:hAnsi="Cambria Math" w:cs="Arial"/>
            <w:szCs w:val="20"/>
          </w:rPr>
          <m:t xml:space="preserve"> &gt; 0.8)</m:t>
        </m:r>
      </m:oMath>
      <w:r w:rsidRPr="008A738F">
        <w:rPr>
          <w:rFonts w:cs="Arial"/>
          <w:szCs w:val="20"/>
        </w:rPr>
        <w:t>. Table 6 presents the results.</w:t>
      </w:r>
    </w:p>
    <w:p w14:paraId="54E9D063" w14:textId="08DA158B" w:rsidR="00A807E4" w:rsidRPr="008A738F" w:rsidRDefault="00000000" w:rsidP="00623C1B">
      <w:pPr>
        <w:spacing w:before="100" w:beforeAutospacing="1" w:after="100" w:afterAutospacing="1"/>
        <w:rPr>
          <w:rFonts w:cs="Arial"/>
          <w:i/>
          <w:iCs/>
          <w:szCs w:val="20"/>
        </w:rPr>
      </w:pPr>
      <w:r w:rsidRPr="008A738F">
        <w:rPr>
          <w:rFonts w:cs="Arial"/>
          <w:b/>
          <w:bCs/>
          <w:i/>
          <w:iCs/>
          <w:color w:val="1B3A5C"/>
          <w:szCs w:val="20"/>
        </w:rPr>
        <w:t>Table 6</w:t>
      </w:r>
      <w:r w:rsidR="00BD4886">
        <w:rPr>
          <w:rFonts w:cs="Arial"/>
          <w:b/>
          <w:bCs/>
          <w:i/>
          <w:iCs/>
          <w:color w:val="1B3A5C"/>
          <w:szCs w:val="20"/>
        </w:rPr>
        <w:t>.</w:t>
      </w:r>
      <w:r w:rsidRPr="008A738F">
        <w:rPr>
          <w:rFonts w:cs="Arial"/>
          <w:b/>
          <w:bCs/>
          <w:i/>
          <w:iCs/>
          <w:color w:val="1B3A5C"/>
          <w:szCs w:val="20"/>
        </w:rPr>
        <w:t xml:space="preserve"> G8 Cycle-Position Distribution of Extreme Z-Score Excursions (</w:t>
      </w:r>
      <w:r w:rsidR="00265E3A" w:rsidRPr="008A738F">
        <w:rPr>
          <w:rFonts w:cs="Arial"/>
          <w:b/>
          <w:bCs/>
          <w:i/>
          <w:iCs/>
          <w:color w:val="1B3A5C"/>
          <w:szCs w:val="20"/>
        </w:rPr>
        <w:t xml:space="preserve"> </w:t>
      </w:r>
      <m:oMath>
        <m:r>
          <m:rPr>
            <m:sty m:val="bi"/>
          </m:rPr>
          <w:rPr>
            <w:rFonts w:ascii="Cambria Math" w:hAnsi="Cambria Math" w:cs="Arial"/>
            <w:color w:val="1B3A5C"/>
            <w:szCs w:val="20"/>
          </w:rPr>
          <m:t>|z| &gt; 5.0</m:t>
        </m:r>
      </m:oMath>
      <w:r w:rsidRPr="008A738F">
        <w:rPr>
          <w:rFonts w:cs="Arial"/>
          <w:b/>
          <w:bCs/>
          <w:i/>
          <w:iCs/>
          <w:color w:val="1B3A5C"/>
          <w:szCs w:val="20"/>
        </w:rPr>
        <w:t>, Internal Train)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1953"/>
        <w:gridCol w:w="1078"/>
        <w:gridCol w:w="1067"/>
        <w:gridCol w:w="1322"/>
        <w:gridCol w:w="1576"/>
        <w:gridCol w:w="1220"/>
      </w:tblGrid>
      <w:tr w:rsidR="00A807E4" w:rsidRPr="005B0FA3" w14:paraId="2BC3C5C6" w14:textId="77777777" w:rsidTr="00A92256">
        <w:trPr>
          <w:tblHeader/>
        </w:trPr>
        <w:tc>
          <w:tcPr>
            <w:tcW w:w="85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28EC51DD" w14:textId="77777777" w:rsidR="00A807E4" w:rsidRPr="005B0FA3" w:rsidRDefault="00000000" w:rsidP="00623C1B">
            <w:pPr>
              <w:spacing w:before="100" w:beforeAutospacing="1" w:after="100" w:afterAutospacing="1"/>
              <w:jc w:val="center"/>
              <w:rPr>
                <w:rFonts w:cs="Arial"/>
              </w:rPr>
            </w:pPr>
            <w:r w:rsidRPr="005B0FA3">
              <w:rPr>
                <w:rFonts w:cs="Arial"/>
                <w:b/>
                <w:bCs/>
                <w:color w:val="FFFFFF"/>
                <w:sz w:val="18"/>
                <w:szCs w:val="18"/>
              </w:rPr>
              <w:t>Sensor</w:t>
            </w:r>
          </w:p>
        </w:tc>
        <w:tc>
          <w:tcPr>
            <w:tcW w:w="195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D0D5458" w14:textId="77777777" w:rsidR="00A807E4" w:rsidRPr="005B0FA3" w:rsidRDefault="00000000" w:rsidP="00623C1B">
            <w:pPr>
              <w:spacing w:before="100" w:beforeAutospacing="1" w:after="100" w:afterAutospacing="1"/>
              <w:jc w:val="center"/>
              <w:rPr>
                <w:rFonts w:cs="Arial"/>
              </w:rPr>
            </w:pPr>
            <w:r w:rsidRPr="005B0FA3">
              <w:rPr>
                <w:rFonts w:cs="Arial"/>
                <w:b/>
                <w:bCs/>
                <w:color w:val="FFFFFF"/>
                <w:sz w:val="18"/>
                <w:szCs w:val="18"/>
              </w:rPr>
              <w:t>Physical Quantity</w:t>
            </w:r>
          </w:p>
        </w:tc>
        <w:tc>
          <w:tcPr>
            <w:tcW w:w="107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3696B44" w14:textId="77777777" w:rsidR="00A807E4" w:rsidRPr="005B0FA3" w:rsidRDefault="00000000" w:rsidP="00623C1B">
            <w:pPr>
              <w:spacing w:before="100" w:beforeAutospacing="1" w:after="100" w:afterAutospacing="1"/>
              <w:jc w:val="center"/>
              <w:rPr>
                <w:rFonts w:cs="Arial"/>
              </w:rPr>
            </w:pPr>
            <w:r w:rsidRPr="005B0FA3">
              <w:rPr>
                <w:rFonts w:cs="Arial"/>
                <w:b/>
                <w:bCs/>
                <w:color w:val="FFFFFF"/>
                <w:sz w:val="18"/>
                <w:szCs w:val="18"/>
              </w:rPr>
              <w:t>Extreme Rows</w:t>
            </w:r>
          </w:p>
        </w:tc>
        <w:tc>
          <w:tcPr>
            <w:tcW w:w="106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E44EB7E" w14:textId="77777777" w:rsidR="00A807E4" w:rsidRPr="005B0FA3" w:rsidRDefault="00000000" w:rsidP="00623C1B">
            <w:pPr>
              <w:spacing w:before="100" w:beforeAutospacing="1" w:after="100" w:afterAutospacing="1"/>
              <w:jc w:val="center"/>
              <w:rPr>
                <w:rFonts w:cs="Arial"/>
              </w:rPr>
            </w:pPr>
            <w:r w:rsidRPr="005B0FA3">
              <w:rPr>
                <w:rFonts w:cs="Arial"/>
                <w:b/>
                <w:bCs/>
                <w:color w:val="FFFFFF"/>
                <w:sz w:val="18"/>
                <w:szCs w:val="18"/>
              </w:rPr>
              <w:t>% of Total</w:t>
            </w:r>
          </w:p>
        </w:tc>
        <w:tc>
          <w:tcPr>
            <w:tcW w:w="132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50B07CF" w14:textId="12CAD00C" w:rsidR="00A807E4" w:rsidRPr="005B0FA3" w:rsidRDefault="00000000" w:rsidP="00623C1B">
            <w:pPr>
              <w:spacing w:before="100" w:beforeAutospacing="1" w:after="100" w:afterAutospacing="1"/>
              <w:jc w:val="center"/>
              <w:rPr>
                <w:rFonts w:cs="Arial"/>
              </w:rPr>
            </w:pPr>
            <w:r w:rsidRPr="005B0FA3">
              <w:rPr>
                <w:rFonts w:cs="Arial"/>
                <w:b/>
                <w:bCs/>
                <w:color w:val="FFFFFF"/>
                <w:sz w:val="18"/>
                <w:szCs w:val="18"/>
              </w:rPr>
              <w:t xml:space="preserve">Early </w:t>
            </w:r>
            <w:r w:rsidR="00265E3A" w:rsidRPr="005B0FA3">
              <w:rPr>
                <w:rFonts w:cs="Arial"/>
                <w:b/>
                <w:bCs/>
                <w:color w:val="FFFFFF"/>
                <w:sz w:val="18"/>
                <w:szCs w:val="18"/>
              </w:rPr>
              <w:br/>
            </w:r>
            <m:oMathPara>
              <m:oMath>
                <m:r>
                  <m:rPr>
                    <m:sty m:val="bi"/>
                  </m:rPr>
                  <w:rPr>
                    <w:rFonts w:ascii="Cambria Math" w:hAnsi="Cambria Math" w:cs="Arial"/>
                    <w:color w:val="FFFFFF"/>
                    <w:sz w:val="18"/>
                    <w:szCs w:val="18"/>
                  </w:rPr>
                  <m:t>(&lt;20%)</m:t>
                </m:r>
              </m:oMath>
            </m:oMathPara>
          </w:p>
        </w:tc>
        <w:tc>
          <w:tcPr>
            <w:tcW w:w="15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3374B2C" w14:textId="4C1D9FCC" w:rsidR="00A807E4" w:rsidRPr="005B0FA3" w:rsidRDefault="00000000" w:rsidP="00623C1B">
            <w:pPr>
              <w:spacing w:before="100" w:beforeAutospacing="1" w:after="100" w:afterAutospacing="1"/>
              <w:jc w:val="center"/>
              <w:rPr>
                <w:rFonts w:cs="Arial"/>
                <w:b/>
                <w:bCs/>
                <w:color w:val="FFFFFF"/>
                <w:sz w:val="18"/>
                <w:szCs w:val="18"/>
              </w:rPr>
            </w:pPr>
            <w:r w:rsidRPr="005B0FA3">
              <w:rPr>
                <w:rFonts w:cs="Arial"/>
                <w:b/>
                <w:bCs/>
                <w:color w:val="FFFFFF"/>
                <w:sz w:val="18"/>
                <w:szCs w:val="18"/>
              </w:rPr>
              <w:t xml:space="preserve">Terminal </w:t>
            </w:r>
            <w:r w:rsidR="00265E3A" w:rsidRPr="005B0FA3">
              <w:rPr>
                <w:rFonts w:cs="Arial"/>
                <w:b/>
                <w:bCs/>
                <w:color w:val="FFFFFF"/>
                <w:sz w:val="18"/>
                <w:szCs w:val="18"/>
              </w:rPr>
              <w:br/>
            </w:r>
            <m:oMathPara>
              <m:oMath>
                <m:r>
                  <m:rPr>
                    <m:sty m:val="bi"/>
                  </m:rPr>
                  <w:rPr>
                    <w:rFonts w:ascii="Cambria Math" w:hAnsi="Cambria Math" w:cs="Arial"/>
                    <w:color w:val="FFFFFF"/>
                    <w:sz w:val="18"/>
                    <w:szCs w:val="18"/>
                  </w:rPr>
                  <m:t>(&gt;80%)</m:t>
                </m:r>
              </m:oMath>
            </m:oMathPara>
          </w:p>
        </w:tc>
        <w:tc>
          <w:tcPr>
            <w:tcW w:w="122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4B4B8896" w14:textId="77777777" w:rsidR="00A807E4" w:rsidRPr="005B0FA3" w:rsidRDefault="00000000" w:rsidP="00623C1B">
            <w:pPr>
              <w:spacing w:before="100" w:beforeAutospacing="1" w:after="100" w:afterAutospacing="1"/>
              <w:jc w:val="center"/>
              <w:rPr>
                <w:rFonts w:cs="Arial"/>
              </w:rPr>
            </w:pPr>
            <w:r w:rsidRPr="005B0FA3">
              <w:rPr>
                <w:rFonts w:cs="Arial"/>
                <w:b/>
                <w:bCs/>
                <w:color w:val="FFFFFF"/>
                <w:sz w:val="18"/>
                <w:szCs w:val="18"/>
              </w:rPr>
              <w:t>Disposition</w:t>
            </w:r>
          </w:p>
        </w:tc>
      </w:tr>
      <w:tr w:rsidR="004C002F" w14:paraId="23784EBB" w14:textId="77777777" w:rsidTr="00A92256">
        <w:tc>
          <w:tcPr>
            <w:tcW w:w="851" w:type="dxa"/>
            <w:shd w:val="clear" w:color="auto" w:fill="FFFFFF"/>
            <w:tcMar>
              <w:top w:w="80" w:type="dxa"/>
              <w:left w:w="120" w:type="dxa"/>
              <w:bottom w:w="80" w:type="dxa"/>
              <w:right w:w="120" w:type="dxa"/>
            </w:tcMar>
            <w:vAlign w:val="center"/>
          </w:tcPr>
          <w:p w14:paraId="10870A42" w14:textId="77777777" w:rsidR="00A807E4" w:rsidRPr="005B0FA3" w:rsidRDefault="00000000" w:rsidP="00623C1B">
            <w:pPr>
              <w:spacing w:before="100" w:beforeAutospacing="1" w:after="100" w:afterAutospacing="1"/>
              <w:rPr>
                <w:rFonts w:cs="Arial"/>
              </w:rPr>
            </w:pPr>
            <w:r w:rsidRPr="005B0FA3">
              <w:rPr>
                <w:rFonts w:cs="Arial"/>
                <w:sz w:val="18"/>
                <w:szCs w:val="18"/>
              </w:rPr>
              <w:t>s6</w:t>
            </w:r>
          </w:p>
        </w:tc>
        <w:tc>
          <w:tcPr>
            <w:tcW w:w="1953" w:type="dxa"/>
            <w:shd w:val="clear" w:color="auto" w:fill="FFFFFF"/>
            <w:tcMar>
              <w:top w:w="80" w:type="dxa"/>
              <w:left w:w="120" w:type="dxa"/>
              <w:bottom w:w="80" w:type="dxa"/>
              <w:right w:w="120" w:type="dxa"/>
            </w:tcMar>
            <w:vAlign w:val="center"/>
          </w:tcPr>
          <w:p w14:paraId="27A14AD6" w14:textId="77777777" w:rsidR="00A807E4" w:rsidRPr="005B0FA3" w:rsidRDefault="00000000" w:rsidP="00623C1B">
            <w:pPr>
              <w:spacing w:before="100" w:beforeAutospacing="1" w:after="100" w:afterAutospacing="1"/>
              <w:rPr>
                <w:rFonts w:cs="Arial"/>
              </w:rPr>
            </w:pPr>
            <w:r w:rsidRPr="005B0FA3">
              <w:rPr>
                <w:rFonts w:cs="Arial"/>
                <w:sz w:val="18"/>
                <w:szCs w:val="18"/>
              </w:rPr>
              <w:t>P15 Bypass Duct Pressure</w:t>
            </w:r>
          </w:p>
        </w:tc>
        <w:tc>
          <w:tcPr>
            <w:tcW w:w="1078" w:type="dxa"/>
            <w:shd w:val="clear" w:color="auto" w:fill="FFFFFF"/>
            <w:tcMar>
              <w:top w:w="80" w:type="dxa"/>
              <w:left w:w="120" w:type="dxa"/>
              <w:bottom w:w="80" w:type="dxa"/>
              <w:right w:w="120" w:type="dxa"/>
            </w:tcMar>
            <w:vAlign w:val="center"/>
          </w:tcPr>
          <w:p w14:paraId="71C0CACE" w14:textId="77777777" w:rsidR="00A807E4" w:rsidRPr="005B0FA3" w:rsidRDefault="00000000" w:rsidP="00623C1B">
            <w:pPr>
              <w:spacing w:before="100" w:beforeAutospacing="1" w:after="100" w:afterAutospacing="1"/>
              <w:rPr>
                <w:rFonts w:cs="Arial"/>
              </w:rPr>
            </w:pPr>
            <w:r w:rsidRPr="005B0FA3">
              <w:rPr>
                <w:rFonts w:cs="Arial"/>
                <w:sz w:val="18"/>
                <w:szCs w:val="18"/>
              </w:rPr>
              <w:t>81</w:t>
            </w:r>
          </w:p>
        </w:tc>
        <w:tc>
          <w:tcPr>
            <w:tcW w:w="1067" w:type="dxa"/>
            <w:shd w:val="clear" w:color="auto" w:fill="FFFFFF"/>
            <w:tcMar>
              <w:top w:w="80" w:type="dxa"/>
              <w:left w:w="120" w:type="dxa"/>
              <w:bottom w:w="80" w:type="dxa"/>
              <w:right w:w="120" w:type="dxa"/>
            </w:tcMar>
            <w:vAlign w:val="center"/>
          </w:tcPr>
          <w:p w14:paraId="0C314397" w14:textId="77777777" w:rsidR="00A807E4" w:rsidRPr="005B0FA3" w:rsidRDefault="00000000" w:rsidP="00623C1B">
            <w:pPr>
              <w:spacing w:before="100" w:beforeAutospacing="1" w:after="100" w:afterAutospacing="1"/>
              <w:rPr>
                <w:rFonts w:cs="Arial"/>
              </w:rPr>
            </w:pPr>
            <w:r w:rsidRPr="005B0FA3">
              <w:rPr>
                <w:rFonts w:cs="Arial"/>
                <w:sz w:val="18"/>
                <w:szCs w:val="18"/>
              </w:rPr>
              <w:t>0.06%</w:t>
            </w:r>
          </w:p>
        </w:tc>
        <w:tc>
          <w:tcPr>
            <w:tcW w:w="1322" w:type="dxa"/>
            <w:shd w:val="clear" w:color="auto" w:fill="FFFFFF"/>
            <w:tcMar>
              <w:top w:w="80" w:type="dxa"/>
              <w:left w:w="120" w:type="dxa"/>
              <w:bottom w:w="80" w:type="dxa"/>
              <w:right w:w="120" w:type="dxa"/>
            </w:tcMar>
            <w:vAlign w:val="center"/>
          </w:tcPr>
          <w:p w14:paraId="58FAA9FB" w14:textId="77777777" w:rsidR="00A807E4" w:rsidRPr="005B0FA3" w:rsidRDefault="00000000" w:rsidP="00623C1B">
            <w:pPr>
              <w:spacing w:before="100" w:beforeAutospacing="1" w:after="100" w:afterAutospacing="1"/>
              <w:rPr>
                <w:rFonts w:cs="Arial"/>
              </w:rPr>
            </w:pPr>
            <w:r w:rsidRPr="005B0FA3">
              <w:rPr>
                <w:rFonts w:cs="Arial"/>
                <w:sz w:val="18"/>
                <w:szCs w:val="18"/>
              </w:rPr>
              <w:t>0 (0.0%)</w:t>
            </w:r>
          </w:p>
        </w:tc>
        <w:tc>
          <w:tcPr>
            <w:tcW w:w="1576" w:type="dxa"/>
            <w:shd w:val="clear" w:color="auto" w:fill="FFFFFF"/>
            <w:tcMar>
              <w:top w:w="80" w:type="dxa"/>
              <w:left w:w="120" w:type="dxa"/>
              <w:bottom w:w="80" w:type="dxa"/>
              <w:right w:w="120" w:type="dxa"/>
            </w:tcMar>
            <w:vAlign w:val="center"/>
          </w:tcPr>
          <w:p w14:paraId="2357EFE1" w14:textId="77777777" w:rsidR="00A807E4" w:rsidRPr="005B0FA3" w:rsidRDefault="00000000" w:rsidP="00623C1B">
            <w:pPr>
              <w:spacing w:before="100" w:beforeAutospacing="1" w:after="100" w:afterAutospacing="1"/>
              <w:rPr>
                <w:rFonts w:cs="Arial"/>
              </w:rPr>
            </w:pPr>
            <w:r w:rsidRPr="005B0FA3">
              <w:rPr>
                <w:rFonts w:cs="Arial"/>
                <w:sz w:val="18"/>
                <w:szCs w:val="18"/>
              </w:rPr>
              <w:t>81 (100.0%)</w:t>
            </w:r>
          </w:p>
        </w:tc>
        <w:tc>
          <w:tcPr>
            <w:tcW w:w="1220" w:type="dxa"/>
            <w:shd w:val="clear" w:color="auto" w:fill="FFFFFF"/>
            <w:tcMar>
              <w:top w:w="80" w:type="dxa"/>
              <w:left w:w="120" w:type="dxa"/>
              <w:bottom w:w="80" w:type="dxa"/>
              <w:right w:w="120" w:type="dxa"/>
            </w:tcMar>
            <w:vAlign w:val="center"/>
          </w:tcPr>
          <w:p w14:paraId="7F9A6194" w14:textId="77777777" w:rsidR="00A807E4" w:rsidRPr="005B0FA3" w:rsidRDefault="00000000" w:rsidP="00623C1B">
            <w:pPr>
              <w:spacing w:before="100" w:beforeAutospacing="1" w:after="100" w:afterAutospacing="1"/>
              <w:rPr>
                <w:rFonts w:cs="Arial"/>
              </w:rPr>
            </w:pPr>
            <w:r w:rsidRPr="005B0FA3">
              <w:rPr>
                <w:rFonts w:cs="Arial"/>
                <w:sz w:val="18"/>
                <w:szCs w:val="18"/>
              </w:rPr>
              <w:t>RETAIN</w:t>
            </w:r>
          </w:p>
        </w:tc>
      </w:tr>
      <w:tr w:rsidR="004C002F" w14:paraId="64545F31" w14:textId="77777777" w:rsidTr="00A92256">
        <w:tc>
          <w:tcPr>
            <w:tcW w:w="851" w:type="dxa"/>
            <w:shd w:val="clear" w:color="auto" w:fill="F0F4F8"/>
            <w:tcMar>
              <w:top w:w="80" w:type="dxa"/>
              <w:left w:w="120" w:type="dxa"/>
              <w:bottom w:w="80" w:type="dxa"/>
              <w:right w:w="120" w:type="dxa"/>
            </w:tcMar>
            <w:vAlign w:val="center"/>
          </w:tcPr>
          <w:p w14:paraId="35BA3D74" w14:textId="77777777" w:rsidR="00A807E4" w:rsidRPr="005B0FA3" w:rsidRDefault="00000000" w:rsidP="00623C1B">
            <w:pPr>
              <w:spacing w:before="100" w:beforeAutospacing="1" w:after="100" w:afterAutospacing="1"/>
              <w:rPr>
                <w:rFonts w:cs="Arial"/>
              </w:rPr>
            </w:pPr>
            <w:r w:rsidRPr="005B0FA3">
              <w:rPr>
                <w:rFonts w:cs="Arial"/>
                <w:sz w:val="18"/>
                <w:szCs w:val="18"/>
              </w:rPr>
              <w:t>s8</w:t>
            </w:r>
          </w:p>
        </w:tc>
        <w:tc>
          <w:tcPr>
            <w:tcW w:w="1953" w:type="dxa"/>
            <w:shd w:val="clear" w:color="auto" w:fill="F0F4F8"/>
            <w:tcMar>
              <w:top w:w="80" w:type="dxa"/>
              <w:left w:w="120" w:type="dxa"/>
              <w:bottom w:w="80" w:type="dxa"/>
              <w:right w:w="120" w:type="dxa"/>
            </w:tcMar>
            <w:vAlign w:val="center"/>
          </w:tcPr>
          <w:p w14:paraId="44D44A61" w14:textId="77777777" w:rsidR="00A807E4" w:rsidRPr="005B0FA3" w:rsidRDefault="00000000" w:rsidP="00623C1B">
            <w:pPr>
              <w:spacing w:before="100" w:beforeAutospacing="1" w:after="100" w:afterAutospacing="1"/>
              <w:rPr>
                <w:rFonts w:cs="Arial"/>
              </w:rPr>
            </w:pPr>
            <w:r w:rsidRPr="005B0FA3">
              <w:rPr>
                <w:rFonts w:cs="Arial"/>
                <w:sz w:val="18"/>
                <w:szCs w:val="18"/>
              </w:rPr>
              <w:t>Nf Fan Speed</w:t>
            </w:r>
          </w:p>
        </w:tc>
        <w:tc>
          <w:tcPr>
            <w:tcW w:w="1078" w:type="dxa"/>
            <w:shd w:val="clear" w:color="auto" w:fill="F0F4F8"/>
            <w:tcMar>
              <w:top w:w="80" w:type="dxa"/>
              <w:left w:w="120" w:type="dxa"/>
              <w:bottom w:w="80" w:type="dxa"/>
              <w:right w:w="120" w:type="dxa"/>
            </w:tcMar>
            <w:vAlign w:val="center"/>
          </w:tcPr>
          <w:p w14:paraId="1F3650C5" w14:textId="77777777" w:rsidR="00A807E4" w:rsidRPr="005B0FA3" w:rsidRDefault="00000000" w:rsidP="00623C1B">
            <w:pPr>
              <w:spacing w:before="100" w:beforeAutospacing="1" w:after="100" w:afterAutospacing="1"/>
              <w:rPr>
                <w:rFonts w:cs="Arial"/>
              </w:rPr>
            </w:pPr>
            <w:r w:rsidRPr="005B0FA3">
              <w:rPr>
                <w:rFonts w:cs="Arial"/>
                <w:sz w:val="18"/>
                <w:szCs w:val="18"/>
              </w:rPr>
              <w:t>349</w:t>
            </w:r>
          </w:p>
        </w:tc>
        <w:tc>
          <w:tcPr>
            <w:tcW w:w="1067" w:type="dxa"/>
            <w:shd w:val="clear" w:color="auto" w:fill="F0F4F8"/>
            <w:tcMar>
              <w:top w:w="80" w:type="dxa"/>
              <w:left w:w="120" w:type="dxa"/>
              <w:bottom w:w="80" w:type="dxa"/>
              <w:right w:w="120" w:type="dxa"/>
            </w:tcMar>
            <w:vAlign w:val="center"/>
          </w:tcPr>
          <w:p w14:paraId="01C54DC4" w14:textId="77777777" w:rsidR="00A807E4" w:rsidRPr="005B0FA3" w:rsidRDefault="00000000" w:rsidP="00623C1B">
            <w:pPr>
              <w:spacing w:before="100" w:beforeAutospacing="1" w:after="100" w:afterAutospacing="1"/>
              <w:rPr>
                <w:rFonts w:cs="Arial"/>
              </w:rPr>
            </w:pPr>
            <w:r w:rsidRPr="005B0FA3">
              <w:rPr>
                <w:rFonts w:cs="Arial"/>
                <w:sz w:val="18"/>
                <w:szCs w:val="18"/>
              </w:rPr>
              <w:t>0.27%</w:t>
            </w:r>
          </w:p>
        </w:tc>
        <w:tc>
          <w:tcPr>
            <w:tcW w:w="1322" w:type="dxa"/>
            <w:shd w:val="clear" w:color="auto" w:fill="F0F4F8"/>
            <w:tcMar>
              <w:top w:w="80" w:type="dxa"/>
              <w:left w:w="120" w:type="dxa"/>
              <w:bottom w:w="80" w:type="dxa"/>
              <w:right w:w="120" w:type="dxa"/>
            </w:tcMar>
            <w:vAlign w:val="center"/>
          </w:tcPr>
          <w:p w14:paraId="09451486" w14:textId="77777777" w:rsidR="00A807E4" w:rsidRPr="005B0FA3" w:rsidRDefault="00000000" w:rsidP="00623C1B">
            <w:pPr>
              <w:spacing w:before="100" w:beforeAutospacing="1" w:after="100" w:afterAutospacing="1"/>
              <w:rPr>
                <w:rFonts w:cs="Arial"/>
              </w:rPr>
            </w:pPr>
            <w:r w:rsidRPr="005B0FA3">
              <w:rPr>
                <w:rFonts w:cs="Arial"/>
                <w:sz w:val="18"/>
                <w:szCs w:val="18"/>
              </w:rPr>
              <w:t>61 (17.5%)</w:t>
            </w:r>
          </w:p>
        </w:tc>
        <w:tc>
          <w:tcPr>
            <w:tcW w:w="1576" w:type="dxa"/>
            <w:shd w:val="clear" w:color="auto" w:fill="F0F4F8"/>
            <w:tcMar>
              <w:top w:w="80" w:type="dxa"/>
              <w:left w:w="120" w:type="dxa"/>
              <w:bottom w:w="80" w:type="dxa"/>
              <w:right w:w="120" w:type="dxa"/>
            </w:tcMar>
            <w:vAlign w:val="center"/>
          </w:tcPr>
          <w:p w14:paraId="3A3114A0" w14:textId="77777777" w:rsidR="00A807E4" w:rsidRPr="005B0FA3" w:rsidRDefault="00000000" w:rsidP="00623C1B">
            <w:pPr>
              <w:spacing w:before="100" w:beforeAutospacing="1" w:after="100" w:afterAutospacing="1"/>
              <w:rPr>
                <w:rFonts w:cs="Arial"/>
              </w:rPr>
            </w:pPr>
            <w:r w:rsidRPr="005B0FA3">
              <w:rPr>
                <w:rFonts w:cs="Arial"/>
                <w:sz w:val="18"/>
                <w:szCs w:val="18"/>
              </w:rPr>
              <w:t>216 (61.9%)</w:t>
            </w:r>
          </w:p>
        </w:tc>
        <w:tc>
          <w:tcPr>
            <w:tcW w:w="1220" w:type="dxa"/>
            <w:shd w:val="clear" w:color="auto" w:fill="F0F4F8"/>
            <w:tcMar>
              <w:top w:w="80" w:type="dxa"/>
              <w:left w:w="120" w:type="dxa"/>
              <w:bottom w:w="80" w:type="dxa"/>
              <w:right w:w="120" w:type="dxa"/>
            </w:tcMar>
            <w:vAlign w:val="center"/>
          </w:tcPr>
          <w:p w14:paraId="07F11496" w14:textId="77777777" w:rsidR="00A807E4" w:rsidRPr="005B0FA3" w:rsidRDefault="00000000" w:rsidP="00623C1B">
            <w:pPr>
              <w:spacing w:before="100" w:beforeAutospacing="1" w:after="100" w:afterAutospacing="1"/>
              <w:rPr>
                <w:rFonts w:cs="Arial"/>
              </w:rPr>
            </w:pPr>
            <w:r w:rsidRPr="005B0FA3">
              <w:rPr>
                <w:rFonts w:cs="Arial"/>
                <w:sz w:val="18"/>
                <w:szCs w:val="18"/>
              </w:rPr>
              <w:t>RETAIN</w:t>
            </w:r>
          </w:p>
        </w:tc>
      </w:tr>
      <w:tr w:rsidR="004C002F" w14:paraId="6279055E" w14:textId="77777777" w:rsidTr="00A92256">
        <w:tc>
          <w:tcPr>
            <w:tcW w:w="851" w:type="dxa"/>
            <w:shd w:val="clear" w:color="auto" w:fill="FFFFFF"/>
            <w:tcMar>
              <w:top w:w="80" w:type="dxa"/>
              <w:left w:w="120" w:type="dxa"/>
              <w:bottom w:w="80" w:type="dxa"/>
              <w:right w:w="120" w:type="dxa"/>
            </w:tcMar>
            <w:vAlign w:val="center"/>
          </w:tcPr>
          <w:p w14:paraId="54F03A8A" w14:textId="77777777" w:rsidR="00A807E4" w:rsidRPr="005B0FA3" w:rsidRDefault="00000000" w:rsidP="00623C1B">
            <w:pPr>
              <w:spacing w:before="100" w:beforeAutospacing="1" w:after="100" w:afterAutospacing="1"/>
              <w:rPr>
                <w:rFonts w:cs="Arial"/>
              </w:rPr>
            </w:pPr>
            <w:r w:rsidRPr="005B0FA3">
              <w:rPr>
                <w:rFonts w:cs="Arial"/>
                <w:sz w:val="18"/>
                <w:szCs w:val="18"/>
              </w:rPr>
              <w:t>s9</w:t>
            </w:r>
          </w:p>
        </w:tc>
        <w:tc>
          <w:tcPr>
            <w:tcW w:w="1953" w:type="dxa"/>
            <w:shd w:val="clear" w:color="auto" w:fill="FFFFFF"/>
            <w:tcMar>
              <w:top w:w="80" w:type="dxa"/>
              <w:left w:w="120" w:type="dxa"/>
              <w:bottom w:w="80" w:type="dxa"/>
              <w:right w:w="120" w:type="dxa"/>
            </w:tcMar>
            <w:vAlign w:val="center"/>
          </w:tcPr>
          <w:p w14:paraId="1F02A091" w14:textId="77777777" w:rsidR="00A807E4" w:rsidRPr="005B0FA3" w:rsidRDefault="00000000" w:rsidP="00623C1B">
            <w:pPr>
              <w:spacing w:before="100" w:beforeAutospacing="1" w:after="100" w:afterAutospacing="1"/>
              <w:rPr>
                <w:rFonts w:cs="Arial"/>
              </w:rPr>
            </w:pPr>
            <w:r w:rsidRPr="005B0FA3">
              <w:rPr>
                <w:rFonts w:cs="Arial"/>
                <w:sz w:val="18"/>
                <w:szCs w:val="18"/>
              </w:rPr>
              <w:t>Nc Core Speed</w:t>
            </w:r>
          </w:p>
        </w:tc>
        <w:tc>
          <w:tcPr>
            <w:tcW w:w="1078" w:type="dxa"/>
            <w:shd w:val="clear" w:color="auto" w:fill="FFFFFF"/>
            <w:tcMar>
              <w:top w:w="80" w:type="dxa"/>
              <w:left w:w="120" w:type="dxa"/>
              <w:bottom w:w="80" w:type="dxa"/>
              <w:right w:w="120" w:type="dxa"/>
            </w:tcMar>
            <w:vAlign w:val="center"/>
          </w:tcPr>
          <w:p w14:paraId="42D6ABC0" w14:textId="77777777" w:rsidR="00A807E4" w:rsidRPr="005B0FA3" w:rsidRDefault="00000000" w:rsidP="00623C1B">
            <w:pPr>
              <w:spacing w:before="100" w:beforeAutospacing="1" w:after="100" w:afterAutospacing="1"/>
              <w:rPr>
                <w:rFonts w:cs="Arial"/>
              </w:rPr>
            </w:pPr>
            <w:r w:rsidRPr="005B0FA3">
              <w:rPr>
                <w:rFonts w:cs="Arial"/>
                <w:sz w:val="18"/>
                <w:szCs w:val="18"/>
              </w:rPr>
              <w:t>417</w:t>
            </w:r>
          </w:p>
        </w:tc>
        <w:tc>
          <w:tcPr>
            <w:tcW w:w="1067" w:type="dxa"/>
            <w:shd w:val="clear" w:color="auto" w:fill="FFFFFF"/>
            <w:tcMar>
              <w:top w:w="80" w:type="dxa"/>
              <w:left w:w="120" w:type="dxa"/>
              <w:bottom w:w="80" w:type="dxa"/>
              <w:right w:w="120" w:type="dxa"/>
            </w:tcMar>
            <w:vAlign w:val="center"/>
          </w:tcPr>
          <w:p w14:paraId="4087ACC2" w14:textId="77777777" w:rsidR="00A807E4" w:rsidRPr="005B0FA3" w:rsidRDefault="00000000" w:rsidP="00623C1B">
            <w:pPr>
              <w:spacing w:before="100" w:beforeAutospacing="1" w:after="100" w:afterAutospacing="1"/>
              <w:rPr>
                <w:rFonts w:cs="Arial"/>
              </w:rPr>
            </w:pPr>
            <w:r w:rsidRPr="005B0FA3">
              <w:rPr>
                <w:rFonts w:cs="Arial"/>
                <w:sz w:val="18"/>
                <w:szCs w:val="18"/>
              </w:rPr>
              <w:t>0.32%</w:t>
            </w:r>
          </w:p>
        </w:tc>
        <w:tc>
          <w:tcPr>
            <w:tcW w:w="1322" w:type="dxa"/>
            <w:shd w:val="clear" w:color="auto" w:fill="FFFFFF"/>
            <w:tcMar>
              <w:top w:w="80" w:type="dxa"/>
              <w:left w:w="120" w:type="dxa"/>
              <w:bottom w:w="80" w:type="dxa"/>
              <w:right w:w="120" w:type="dxa"/>
            </w:tcMar>
            <w:vAlign w:val="center"/>
          </w:tcPr>
          <w:p w14:paraId="2FFB574F" w14:textId="77777777" w:rsidR="00A807E4" w:rsidRPr="005B0FA3" w:rsidRDefault="00000000" w:rsidP="00623C1B">
            <w:pPr>
              <w:spacing w:before="100" w:beforeAutospacing="1" w:after="100" w:afterAutospacing="1"/>
              <w:rPr>
                <w:rFonts w:cs="Arial"/>
              </w:rPr>
            </w:pPr>
            <w:r w:rsidRPr="005B0FA3">
              <w:rPr>
                <w:rFonts w:cs="Arial"/>
                <w:sz w:val="18"/>
                <w:szCs w:val="18"/>
              </w:rPr>
              <w:t>0 (0.0%)</w:t>
            </w:r>
          </w:p>
        </w:tc>
        <w:tc>
          <w:tcPr>
            <w:tcW w:w="1576" w:type="dxa"/>
            <w:shd w:val="clear" w:color="auto" w:fill="FFFFFF"/>
            <w:tcMar>
              <w:top w:w="80" w:type="dxa"/>
              <w:left w:w="120" w:type="dxa"/>
              <w:bottom w:w="80" w:type="dxa"/>
              <w:right w:w="120" w:type="dxa"/>
            </w:tcMar>
            <w:vAlign w:val="center"/>
          </w:tcPr>
          <w:p w14:paraId="58513A74" w14:textId="77777777" w:rsidR="00A807E4" w:rsidRPr="005B0FA3" w:rsidRDefault="00000000" w:rsidP="00623C1B">
            <w:pPr>
              <w:spacing w:before="100" w:beforeAutospacing="1" w:after="100" w:afterAutospacing="1"/>
              <w:rPr>
                <w:rFonts w:cs="Arial"/>
              </w:rPr>
            </w:pPr>
            <w:r w:rsidRPr="005B0FA3">
              <w:rPr>
                <w:rFonts w:cs="Arial"/>
                <w:sz w:val="18"/>
                <w:szCs w:val="18"/>
              </w:rPr>
              <w:t>417 (100.0%)</w:t>
            </w:r>
          </w:p>
        </w:tc>
        <w:tc>
          <w:tcPr>
            <w:tcW w:w="1220" w:type="dxa"/>
            <w:shd w:val="clear" w:color="auto" w:fill="FFFFFF"/>
            <w:tcMar>
              <w:top w:w="80" w:type="dxa"/>
              <w:left w:w="120" w:type="dxa"/>
              <w:bottom w:w="80" w:type="dxa"/>
              <w:right w:w="120" w:type="dxa"/>
            </w:tcMar>
            <w:vAlign w:val="center"/>
          </w:tcPr>
          <w:p w14:paraId="3F3C5C4B" w14:textId="77777777" w:rsidR="00A807E4" w:rsidRPr="005B0FA3" w:rsidRDefault="00000000" w:rsidP="00623C1B">
            <w:pPr>
              <w:spacing w:before="100" w:beforeAutospacing="1" w:after="100" w:afterAutospacing="1"/>
              <w:rPr>
                <w:rFonts w:cs="Arial"/>
              </w:rPr>
            </w:pPr>
            <w:r w:rsidRPr="005B0FA3">
              <w:rPr>
                <w:rFonts w:cs="Arial"/>
                <w:sz w:val="18"/>
                <w:szCs w:val="18"/>
              </w:rPr>
              <w:t>RETAIN</w:t>
            </w:r>
          </w:p>
        </w:tc>
      </w:tr>
      <w:tr w:rsidR="004C002F" w14:paraId="5C9248E3" w14:textId="77777777" w:rsidTr="00A92256">
        <w:tc>
          <w:tcPr>
            <w:tcW w:w="851" w:type="dxa"/>
            <w:shd w:val="clear" w:color="auto" w:fill="F0F4F8"/>
            <w:tcMar>
              <w:top w:w="80" w:type="dxa"/>
              <w:left w:w="120" w:type="dxa"/>
              <w:bottom w:w="80" w:type="dxa"/>
              <w:right w:w="120" w:type="dxa"/>
            </w:tcMar>
            <w:vAlign w:val="center"/>
          </w:tcPr>
          <w:p w14:paraId="5D8E1710" w14:textId="77777777" w:rsidR="00A807E4" w:rsidRPr="005B0FA3" w:rsidRDefault="00000000" w:rsidP="00623C1B">
            <w:pPr>
              <w:spacing w:before="100" w:beforeAutospacing="1" w:after="100" w:afterAutospacing="1"/>
              <w:rPr>
                <w:rFonts w:cs="Arial"/>
              </w:rPr>
            </w:pPr>
            <w:r w:rsidRPr="005B0FA3">
              <w:rPr>
                <w:rFonts w:cs="Arial"/>
                <w:sz w:val="18"/>
                <w:szCs w:val="18"/>
              </w:rPr>
              <w:t>s13</w:t>
            </w:r>
          </w:p>
        </w:tc>
        <w:tc>
          <w:tcPr>
            <w:tcW w:w="1953" w:type="dxa"/>
            <w:shd w:val="clear" w:color="auto" w:fill="F0F4F8"/>
            <w:tcMar>
              <w:top w:w="80" w:type="dxa"/>
              <w:left w:w="120" w:type="dxa"/>
              <w:bottom w:w="80" w:type="dxa"/>
              <w:right w:w="120" w:type="dxa"/>
            </w:tcMar>
            <w:vAlign w:val="center"/>
          </w:tcPr>
          <w:p w14:paraId="2F17B03B" w14:textId="77777777" w:rsidR="00A807E4" w:rsidRPr="005B0FA3" w:rsidRDefault="00000000" w:rsidP="00623C1B">
            <w:pPr>
              <w:spacing w:before="100" w:beforeAutospacing="1" w:after="100" w:afterAutospacing="1"/>
              <w:rPr>
                <w:rFonts w:cs="Arial"/>
              </w:rPr>
            </w:pPr>
            <w:r w:rsidRPr="005B0FA3">
              <w:rPr>
                <w:rFonts w:cs="Arial"/>
                <w:sz w:val="18"/>
                <w:szCs w:val="18"/>
              </w:rPr>
              <w:t>NRf Corrected Fan Speed</w:t>
            </w:r>
          </w:p>
        </w:tc>
        <w:tc>
          <w:tcPr>
            <w:tcW w:w="1078" w:type="dxa"/>
            <w:shd w:val="clear" w:color="auto" w:fill="F0F4F8"/>
            <w:tcMar>
              <w:top w:w="80" w:type="dxa"/>
              <w:left w:w="120" w:type="dxa"/>
              <w:bottom w:w="80" w:type="dxa"/>
              <w:right w:w="120" w:type="dxa"/>
            </w:tcMar>
            <w:vAlign w:val="center"/>
          </w:tcPr>
          <w:p w14:paraId="3AD0A518" w14:textId="77777777" w:rsidR="00A807E4" w:rsidRPr="005B0FA3" w:rsidRDefault="00000000" w:rsidP="00623C1B">
            <w:pPr>
              <w:spacing w:before="100" w:beforeAutospacing="1" w:after="100" w:afterAutospacing="1"/>
              <w:rPr>
                <w:rFonts w:cs="Arial"/>
              </w:rPr>
            </w:pPr>
            <w:r w:rsidRPr="005B0FA3">
              <w:rPr>
                <w:rFonts w:cs="Arial"/>
                <w:sz w:val="18"/>
                <w:szCs w:val="18"/>
              </w:rPr>
              <w:t>356</w:t>
            </w:r>
          </w:p>
        </w:tc>
        <w:tc>
          <w:tcPr>
            <w:tcW w:w="1067" w:type="dxa"/>
            <w:shd w:val="clear" w:color="auto" w:fill="F0F4F8"/>
            <w:tcMar>
              <w:top w:w="80" w:type="dxa"/>
              <w:left w:w="120" w:type="dxa"/>
              <w:bottom w:w="80" w:type="dxa"/>
              <w:right w:w="120" w:type="dxa"/>
            </w:tcMar>
            <w:vAlign w:val="center"/>
          </w:tcPr>
          <w:p w14:paraId="715A6581" w14:textId="77777777" w:rsidR="00A807E4" w:rsidRPr="005B0FA3" w:rsidRDefault="00000000" w:rsidP="00623C1B">
            <w:pPr>
              <w:spacing w:before="100" w:beforeAutospacing="1" w:after="100" w:afterAutospacing="1"/>
              <w:rPr>
                <w:rFonts w:cs="Arial"/>
              </w:rPr>
            </w:pPr>
            <w:r w:rsidRPr="005B0FA3">
              <w:rPr>
                <w:rFonts w:cs="Arial"/>
                <w:sz w:val="18"/>
                <w:szCs w:val="18"/>
              </w:rPr>
              <w:t>0.28%</w:t>
            </w:r>
          </w:p>
        </w:tc>
        <w:tc>
          <w:tcPr>
            <w:tcW w:w="1322" w:type="dxa"/>
            <w:shd w:val="clear" w:color="auto" w:fill="F0F4F8"/>
            <w:tcMar>
              <w:top w:w="80" w:type="dxa"/>
              <w:left w:w="120" w:type="dxa"/>
              <w:bottom w:w="80" w:type="dxa"/>
              <w:right w:w="120" w:type="dxa"/>
            </w:tcMar>
            <w:vAlign w:val="center"/>
          </w:tcPr>
          <w:p w14:paraId="33F4F342" w14:textId="77777777" w:rsidR="00A807E4" w:rsidRPr="005B0FA3" w:rsidRDefault="00000000" w:rsidP="00623C1B">
            <w:pPr>
              <w:spacing w:before="100" w:beforeAutospacing="1" w:after="100" w:afterAutospacing="1"/>
              <w:rPr>
                <w:rFonts w:cs="Arial"/>
              </w:rPr>
            </w:pPr>
            <w:r w:rsidRPr="005B0FA3">
              <w:rPr>
                <w:rFonts w:cs="Arial"/>
                <w:sz w:val="18"/>
                <w:szCs w:val="18"/>
              </w:rPr>
              <w:t>61 (17.1%)</w:t>
            </w:r>
          </w:p>
        </w:tc>
        <w:tc>
          <w:tcPr>
            <w:tcW w:w="1576" w:type="dxa"/>
            <w:shd w:val="clear" w:color="auto" w:fill="F0F4F8"/>
            <w:tcMar>
              <w:top w:w="80" w:type="dxa"/>
              <w:left w:w="120" w:type="dxa"/>
              <w:bottom w:w="80" w:type="dxa"/>
              <w:right w:w="120" w:type="dxa"/>
            </w:tcMar>
            <w:vAlign w:val="center"/>
          </w:tcPr>
          <w:p w14:paraId="57250C4F" w14:textId="77777777" w:rsidR="00A807E4" w:rsidRPr="005B0FA3" w:rsidRDefault="00000000" w:rsidP="00623C1B">
            <w:pPr>
              <w:spacing w:before="100" w:beforeAutospacing="1" w:after="100" w:afterAutospacing="1"/>
              <w:rPr>
                <w:rFonts w:cs="Arial"/>
              </w:rPr>
            </w:pPr>
            <w:r w:rsidRPr="005B0FA3">
              <w:rPr>
                <w:rFonts w:cs="Arial"/>
                <w:sz w:val="18"/>
                <w:szCs w:val="18"/>
              </w:rPr>
              <w:t>224 (62.9%)</w:t>
            </w:r>
          </w:p>
        </w:tc>
        <w:tc>
          <w:tcPr>
            <w:tcW w:w="1220" w:type="dxa"/>
            <w:shd w:val="clear" w:color="auto" w:fill="F0F4F8"/>
            <w:tcMar>
              <w:top w:w="80" w:type="dxa"/>
              <w:left w:w="120" w:type="dxa"/>
              <w:bottom w:w="80" w:type="dxa"/>
              <w:right w:w="120" w:type="dxa"/>
            </w:tcMar>
            <w:vAlign w:val="center"/>
          </w:tcPr>
          <w:p w14:paraId="43560AAA" w14:textId="77777777" w:rsidR="00A807E4" w:rsidRPr="005B0FA3" w:rsidRDefault="00000000" w:rsidP="00623C1B">
            <w:pPr>
              <w:spacing w:before="100" w:beforeAutospacing="1" w:after="100" w:afterAutospacing="1"/>
              <w:rPr>
                <w:rFonts w:cs="Arial"/>
              </w:rPr>
            </w:pPr>
            <w:r w:rsidRPr="005B0FA3">
              <w:rPr>
                <w:rFonts w:cs="Arial"/>
                <w:sz w:val="18"/>
                <w:szCs w:val="18"/>
              </w:rPr>
              <w:t>RETAIN</w:t>
            </w:r>
          </w:p>
        </w:tc>
      </w:tr>
      <w:tr w:rsidR="004C002F" w14:paraId="55637806" w14:textId="77777777" w:rsidTr="00A92256">
        <w:tc>
          <w:tcPr>
            <w:tcW w:w="851" w:type="dxa"/>
            <w:shd w:val="clear" w:color="auto" w:fill="FFFFFF"/>
            <w:tcMar>
              <w:top w:w="80" w:type="dxa"/>
              <w:left w:w="120" w:type="dxa"/>
              <w:bottom w:w="80" w:type="dxa"/>
              <w:right w:w="120" w:type="dxa"/>
            </w:tcMar>
            <w:vAlign w:val="center"/>
          </w:tcPr>
          <w:p w14:paraId="03BBEFF6" w14:textId="77777777" w:rsidR="00A807E4" w:rsidRPr="005B0FA3" w:rsidRDefault="00000000" w:rsidP="00623C1B">
            <w:pPr>
              <w:spacing w:before="100" w:beforeAutospacing="1" w:after="100" w:afterAutospacing="1"/>
              <w:rPr>
                <w:rFonts w:cs="Arial"/>
              </w:rPr>
            </w:pPr>
            <w:r w:rsidRPr="005B0FA3">
              <w:rPr>
                <w:rFonts w:cs="Arial"/>
                <w:sz w:val="18"/>
                <w:szCs w:val="18"/>
              </w:rPr>
              <w:t>s14</w:t>
            </w:r>
          </w:p>
        </w:tc>
        <w:tc>
          <w:tcPr>
            <w:tcW w:w="1953" w:type="dxa"/>
            <w:shd w:val="clear" w:color="auto" w:fill="FFFFFF"/>
            <w:tcMar>
              <w:top w:w="80" w:type="dxa"/>
              <w:left w:w="120" w:type="dxa"/>
              <w:bottom w:w="80" w:type="dxa"/>
              <w:right w:w="120" w:type="dxa"/>
            </w:tcMar>
            <w:vAlign w:val="center"/>
          </w:tcPr>
          <w:p w14:paraId="5BF1753A" w14:textId="77777777" w:rsidR="00A807E4" w:rsidRPr="005B0FA3" w:rsidRDefault="00000000" w:rsidP="00623C1B">
            <w:pPr>
              <w:spacing w:before="100" w:beforeAutospacing="1" w:after="100" w:afterAutospacing="1"/>
              <w:rPr>
                <w:rFonts w:cs="Arial"/>
              </w:rPr>
            </w:pPr>
            <w:r w:rsidRPr="005B0FA3">
              <w:rPr>
                <w:rFonts w:cs="Arial"/>
                <w:sz w:val="18"/>
                <w:szCs w:val="18"/>
              </w:rPr>
              <w:t>NRc Corrected Core Speed</w:t>
            </w:r>
          </w:p>
        </w:tc>
        <w:tc>
          <w:tcPr>
            <w:tcW w:w="1078" w:type="dxa"/>
            <w:shd w:val="clear" w:color="auto" w:fill="FFFFFF"/>
            <w:tcMar>
              <w:top w:w="80" w:type="dxa"/>
              <w:left w:w="120" w:type="dxa"/>
              <w:bottom w:w="80" w:type="dxa"/>
              <w:right w:w="120" w:type="dxa"/>
            </w:tcMar>
            <w:vAlign w:val="center"/>
          </w:tcPr>
          <w:p w14:paraId="592B0923" w14:textId="77777777" w:rsidR="00A807E4" w:rsidRPr="005B0FA3" w:rsidRDefault="00000000" w:rsidP="00623C1B">
            <w:pPr>
              <w:spacing w:before="100" w:beforeAutospacing="1" w:after="100" w:afterAutospacing="1"/>
              <w:rPr>
                <w:rFonts w:cs="Arial"/>
              </w:rPr>
            </w:pPr>
            <w:r w:rsidRPr="005B0FA3">
              <w:rPr>
                <w:rFonts w:cs="Arial"/>
                <w:sz w:val="18"/>
                <w:szCs w:val="18"/>
              </w:rPr>
              <w:t>430</w:t>
            </w:r>
          </w:p>
        </w:tc>
        <w:tc>
          <w:tcPr>
            <w:tcW w:w="1067" w:type="dxa"/>
            <w:shd w:val="clear" w:color="auto" w:fill="FFFFFF"/>
            <w:tcMar>
              <w:top w:w="80" w:type="dxa"/>
              <w:left w:w="120" w:type="dxa"/>
              <w:bottom w:w="80" w:type="dxa"/>
              <w:right w:w="120" w:type="dxa"/>
            </w:tcMar>
            <w:vAlign w:val="center"/>
          </w:tcPr>
          <w:p w14:paraId="630A601A" w14:textId="77777777" w:rsidR="00A807E4" w:rsidRPr="005B0FA3" w:rsidRDefault="00000000" w:rsidP="00623C1B">
            <w:pPr>
              <w:spacing w:before="100" w:beforeAutospacing="1" w:after="100" w:afterAutospacing="1"/>
              <w:rPr>
                <w:rFonts w:cs="Arial"/>
              </w:rPr>
            </w:pPr>
            <w:r w:rsidRPr="005B0FA3">
              <w:rPr>
                <w:rFonts w:cs="Arial"/>
                <w:sz w:val="18"/>
                <w:szCs w:val="18"/>
              </w:rPr>
              <w:t>0.33%</w:t>
            </w:r>
          </w:p>
        </w:tc>
        <w:tc>
          <w:tcPr>
            <w:tcW w:w="1322" w:type="dxa"/>
            <w:shd w:val="clear" w:color="auto" w:fill="FFFFFF"/>
            <w:tcMar>
              <w:top w:w="80" w:type="dxa"/>
              <w:left w:w="120" w:type="dxa"/>
              <w:bottom w:w="80" w:type="dxa"/>
              <w:right w:w="120" w:type="dxa"/>
            </w:tcMar>
            <w:vAlign w:val="center"/>
          </w:tcPr>
          <w:p w14:paraId="20159DDD" w14:textId="77777777" w:rsidR="00A807E4" w:rsidRPr="005B0FA3" w:rsidRDefault="00000000" w:rsidP="00623C1B">
            <w:pPr>
              <w:spacing w:before="100" w:beforeAutospacing="1" w:after="100" w:afterAutospacing="1"/>
              <w:rPr>
                <w:rFonts w:cs="Arial"/>
              </w:rPr>
            </w:pPr>
            <w:r w:rsidRPr="005B0FA3">
              <w:rPr>
                <w:rFonts w:cs="Arial"/>
                <w:sz w:val="18"/>
                <w:szCs w:val="18"/>
              </w:rPr>
              <w:t>0 (0.0%)</w:t>
            </w:r>
          </w:p>
        </w:tc>
        <w:tc>
          <w:tcPr>
            <w:tcW w:w="1576" w:type="dxa"/>
            <w:shd w:val="clear" w:color="auto" w:fill="FFFFFF"/>
            <w:tcMar>
              <w:top w:w="80" w:type="dxa"/>
              <w:left w:w="120" w:type="dxa"/>
              <w:bottom w:w="80" w:type="dxa"/>
              <w:right w:w="120" w:type="dxa"/>
            </w:tcMar>
            <w:vAlign w:val="center"/>
          </w:tcPr>
          <w:p w14:paraId="7855E7A5" w14:textId="77777777" w:rsidR="00A807E4" w:rsidRPr="005B0FA3" w:rsidRDefault="00000000" w:rsidP="00623C1B">
            <w:pPr>
              <w:spacing w:before="100" w:beforeAutospacing="1" w:after="100" w:afterAutospacing="1"/>
              <w:rPr>
                <w:rFonts w:cs="Arial"/>
              </w:rPr>
            </w:pPr>
            <w:r w:rsidRPr="005B0FA3">
              <w:rPr>
                <w:rFonts w:cs="Arial"/>
                <w:sz w:val="18"/>
                <w:szCs w:val="18"/>
              </w:rPr>
              <w:t>430 (100.0%)</w:t>
            </w:r>
          </w:p>
        </w:tc>
        <w:tc>
          <w:tcPr>
            <w:tcW w:w="1220" w:type="dxa"/>
            <w:shd w:val="clear" w:color="auto" w:fill="FFFFFF"/>
            <w:tcMar>
              <w:top w:w="80" w:type="dxa"/>
              <w:left w:w="120" w:type="dxa"/>
              <w:bottom w:w="80" w:type="dxa"/>
              <w:right w:w="120" w:type="dxa"/>
            </w:tcMar>
            <w:vAlign w:val="center"/>
          </w:tcPr>
          <w:p w14:paraId="12A4A645" w14:textId="77777777" w:rsidR="00A807E4" w:rsidRPr="005B0FA3" w:rsidRDefault="00000000" w:rsidP="00623C1B">
            <w:pPr>
              <w:spacing w:before="100" w:beforeAutospacing="1" w:after="100" w:afterAutospacing="1"/>
              <w:rPr>
                <w:rFonts w:cs="Arial"/>
              </w:rPr>
            </w:pPr>
            <w:r w:rsidRPr="005B0FA3">
              <w:rPr>
                <w:rFonts w:cs="Arial"/>
                <w:sz w:val="18"/>
                <w:szCs w:val="18"/>
              </w:rPr>
              <w:t>RETAIN</w:t>
            </w:r>
          </w:p>
        </w:tc>
      </w:tr>
    </w:tbl>
    <w:p w14:paraId="2DDF7D2A" w14:textId="6F980B5A" w:rsidR="00A92256" w:rsidRPr="008A738F" w:rsidRDefault="00A92256" w:rsidP="00623C1B">
      <w:pPr>
        <w:spacing w:before="100" w:beforeAutospacing="1" w:after="100" w:afterAutospacing="1"/>
        <w:jc w:val="both"/>
        <w:rPr>
          <w:rFonts w:cs="Arial"/>
          <w:szCs w:val="20"/>
        </w:rPr>
      </w:pPr>
      <w:r w:rsidRPr="008A738F">
        <w:rPr>
          <w:rFonts w:cs="Arial"/>
          <w:b/>
          <w:bCs/>
          <w:i/>
          <w:iCs/>
          <w:color w:val="1B3A5C"/>
          <w:szCs w:val="20"/>
        </w:rPr>
        <w:t>Figure 3. G8: Extreme Z-Score Excursions – Cycle-Position Analysis</w:t>
      </w:r>
    </w:p>
    <w:p w14:paraId="0DD25771" w14:textId="5FCCABC6" w:rsidR="00A92256" w:rsidRPr="005B0FA3" w:rsidRDefault="00A92256" w:rsidP="00623C1B">
      <w:pPr>
        <w:spacing w:before="100" w:beforeAutospacing="1" w:after="100" w:afterAutospacing="1"/>
        <w:jc w:val="both"/>
        <w:rPr>
          <w:rFonts w:cs="Arial"/>
        </w:rPr>
      </w:pPr>
      <w:r w:rsidRPr="005B0FA3">
        <w:rPr>
          <w:rFonts w:cs="Arial"/>
          <w:noProof/>
        </w:rPr>
        <w:drawing>
          <wp:inline distT="0" distB="0" distL="0" distR="0" wp14:anchorId="25F0327B" wp14:editId="4F54B2FC">
            <wp:extent cx="5759450" cy="1277620"/>
            <wp:effectExtent l="0" t="0" r="6350" b="5080"/>
            <wp:docPr id="1311658042" name="Picture 1" descr="A graph of the number of extreme exc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58042" name="Picture 1" descr="A graph of the number of extreme excremen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1277620"/>
                    </a:xfrm>
                    <a:prstGeom prst="rect">
                      <a:avLst/>
                    </a:prstGeom>
                    <a:noFill/>
                    <a:ln>
                      <a:noFill/>
                    </a:ln>
                  </pic:spPr>
                </pic:pic>
              </a:graphicData>
            </a:graphic>
          </wp:inline>
        </w:drawing>
      </w:r>
    </w:p>
    <w:p w14:paraId="5F61105D" w14:textId="68CB2606" w:rsidR="00A807E4" w:rsidRPr="008A738F" w:rsidRDefault="00A92256" w:rsidP="00623C1B">
      <w:pPr>
        <w:spacing w:before="100" w:beforeAutospacing="1" w:after="100" w:afterAutospacing="1"/>
        <w:jc w:val="both"/>
        <w:rPr>
          <w:rFonts w:cs="Arial"/>
          <w:szCs w:val="20"/>
        </w:rPr>
      </w:pPr>
      <w:r w:rsidRPr="008A738F">
        <w:rPr>
          <w:rFonts w:cs="Arial"/>
          <w:szCs w:val="20"/>
        </w:rPr>
        <w:t>Figure 3 illustrates all five sensors exhibiting a terminal-dominant excursion profile. Three sensors (s6, s9, s14) show 100% of their extreme values concentrated in the terminal phase; the remaining two (s8, s13) show 61.9% and 62.9% respectively in the terminal phase. Crucially, no sensor exhibits an early-dominant profile that would indicate initialisation transients.</w:t>
      </w:r>
    </w:p>
    <w:p w14:paraId="29BDA384" w14:textId="553051DD" w:rsidR="00A807E4" w:rsidRPr="008A738F" w:rsidRDefault="00000000" w:rsidP="00623C1B">
      <w:pPr>
        <w:spacing w:before="100" w:beforeAutospacing="1" w:after="100" w:afterAutospacing="1"/>
        <w:jc w:val="both"/>
        <w:rPr>
          <w:rFonts w:cs="Arial"/>
          <w:szCs w:val="20"/>
        </w:rPr>
      </w:pPr>
      <w:bookmarkStart w:id="2" w:name="OLE_LINK3"/>
      <w:r w:rsidRPr="008A738F">
        <w:rPr>
          <w:rFonts w:cs="Arial"/>
          <w:szCs w:val="20"/>
        </w:rPr>
        <w:t>The physical interpretation is consistent with turbofan degradation physics. Fan speed deviations (s8, s13) in the terminal phase reflect compressor map migration as blade tip clearance increases with erosion and thermal cycling — a well-documented phenomenology in gas turbine health management literature</w:t>
      </w:r>
      <w:sdt>
        <w:sdtPr>
          <w:rPr>
            <w:rFonts w:cs="Arial"/>
            <w:szCs w:val="20"/>
          </w:rPr>
          <w:id w:val="1823003357"/>
          <w:citation/>
        </w:sdtPr>
        <w:sdtContent>
          <w:r w:rsidR="00BC1A5C" w:rsidRPr="008A738F">
            <w:rPr>
              <w:rFonts w:cs="Arial"/>
              <w:szCs w:val="20"/>
            </w:rPr>
            <w:fldChar w:fldCharType="begin"/>
          </w:r>
          <w:r w:rsidR="00BC1A5C" w:rsidRPr="008A738F">
            <w:rPr>
              <w:rFonts w:cs="Arial"/>
              <w:szCs w:val="20"/>
            </w:rPr>
            <w:instrText xml:space="preserve"> CITATION Wal04 \l 2057 </w:instrText>
          </w:r>
          <w:r w:rsidR="00BC1A5C" w:rsidRPr="008A738F">
            <w:rPr>
              <w:rFonts w:cs="Arial"/>
              <w:szCs w:val="20"/>
            </w:rPr>
            <w:fldChar w:fldCharType="separate"/>
          </w:r>
          <w:r w:rsidR="0074017E">
            <w:rPr>
              <w:rFonts w:cs="Arial"/>
              <w:noProof/>
              <w:szCs w:val="20"/>
            </w:rPr>
            <w:t xml:space="preserve"> </w:t>
          </w:r>
          <w:r w:rsidR="0074017E" w:rsidRPr="0074017E">
            <w:rPr>
              <w:rFonts w:cs="Arial"/>
              <w:noProof/>
              <w:szCs w:val="20"/>
            </w:rPr>
            <w:t>[5]</w:t>
          </w:r>
          <w:r w:rsidR="00BC1A5C" w:rsidRPr="008A738F">
            <w:rPr>
              <w:rFonts w:cs="Arial"/>
              <w:szCs w:val="20"/>
            </w:rPr>
            <w:fldChar w:fldCharType="end"/>
          </w:r>
        </w:sdtContent>
      </w:sdt>
      <w:sdt>
        <w:sdtPr>
          <w:rPr>
            <w:rFonts w:cs="Arial"/>
            <w:szCs w:val="20"/>
          </w:rPr>
          <w:id w:val="-429202987"/>
          <w:citation/>
        </w:sdtPr>
        <w:sdtContent>
          <w:r w:rsidR="00BC1A5C" w:rsidRPr="008A738F">
            <w:rPr>
              <w:rFonts w:cs="Arial"/>
              <w:szCs w:val="20"/>
            </w:rPr>
            <w:fldChar w:fldCharType="begin"/>
          </w:r>
          <w:r w:rsidR="00BC1A5C" w:rsidRPr="008A738F">
            <w:rPr>
              <w:rFonts w:cs="Arial"/>
              <w:szCs w:val="20"/>
            </w:rPr>
            <w:instrText xml:space="preserve"> CITATION Vol14 \l 2057 </w:instrText>
          </w:r>
          <w:r w:rsidR="00BC1A5C" w:rsidRPr="008A738F">
            <w:rPr>
              <w:rFonts w:cs="Arial"/>
              <w:szCs w:val="20"/>
            </w:rPr>
            <w:fldChar w:fldCharType="separate"/>
          </w:r>
          <w:r w:rsidR="0074017E">
            <w:rPr>
              <w:rFonts w:cs="Arial"/>
              <w:noProof/>
              <w:szCs w:val="20"/>
            </w:rPr>
            <w:t xml:space="preserve"> </w:t>
          </w:r>
          <w:r w:rsidR="0074017E" w:rsidRPr="0074017E">
            <w:rPr>
              <w:rFonts w:cs="Arial"/>
              <w:noProof/>
              <w:szCs w:val="20"/>
            </w:rPr>
            <w:t>[8]</w:t>
          </w:r>
          <w:r w:rsidR="00BC1A5C" w:rsidRPr="008A738F">
            <w:rPr>
              <w:rFonts w:cs="Arial"/>
              <w:szCs w:val="20"/>
            </w:rPr>
            <w:fldChar w:fldCharType="end"/>
          </w:r>
        </w:sdtContent>
      </w:sdt>
      <w:sdt>
        <w:sdtPr>
          <w:rPr>
            <w:rFonts w:cs="Arial"/>
            <w:szCs w:val="20"/>
          </w:rPr>
          <w:id w:val="-954796346"/>
          <w:citation/>
        </w:sdtPr>
        <w:sdtContent>
          <w:r w:rsidR="00BC1A5C" w:rsidRPr="008A738F">
            <w:rPr>
              <w:rFonts w:cs="Arial"/>
              <w:szCs w:val="20"/>
            </w:rPr>
            <w:fldChar w:fldCharType="begin"/>
          </w:r>
          <w:r w:rsidR="00BC1A5C" w:rsidRPr="008A738F">
            <w:rPr>
              <w:rFonts w:cs="Arial"/>
              <w:szCs w:val="20"/>
            </w:rPr>
            <w:instrText xml:space="preserve"> CITATION Jaw09 \l 2057 </w:instrText>
          </w:r>
          <w:r w:rsidR="00BC1A5C" w:rsidRPr="008A738F">
            <w:rPr>
              <w:rFonts w:cs="Arial"/>
              <w:szCs w:val="20"/>
            </w:rPr>
            <w:fldChar w:fldCharType="separate"/>
          </w:r>
          <w:r w:rsidR="0074017E">
            <w:rPr>
              <w:rFonts w:cs="Arial"/>
              <w:noProof/>
              <w:szCs w:val="20"/>
            </w:rPr>
            <w:t xml:space="preserve"> </w:t>
          </w:r>
          <w:r w:rsidR="0074017E" w:rsidRPr="0074017E">
            <w:rPr>
              <w:rFonts w:cs="Arial"/>
              <w:noProof/>
              <w:szCs w:val="20"/>
            </w:rPr>
            <w:t>[9]</w:t>
          </w:r>
          <w:r w:rsidR="00BC1A5C" w:rsidRPr="008A738F">
            <w:rPr>
              <w:rFonts w:cs="Arial"/>
              <w:szCs w:val="20"/>
            </w:rPr>
            <w:fldChar w:fldCharType="end"/>
          </w:r>
        </w:sdtContent>
      </w:sdt>
      <w:r w:rsidRPr="008A738F">
        <w:rPr>
          <w:rFonts w:cs="Arial"/>
          <w:szCs w:val="20"/>
        </w:rPr>
        <w:t>. Bypass duct pressure anomalies (s6) in the terminal phase are consistent with fan efficiency loss affecting duct static pressure recovery. Core speed extremes (s9, s14) reflect combustor instability and rotor thermal expansion effects at end-of-life. Decision: no Winsorisation applied.</w:t>
      </w:r>
    </w:p>
    <w:bookmarkEnd w:id="2"/>
    <w:p w14:paraId="6B36CFB9" w14:textId="7235554D" w:rsidR="00A807E4" w:rsidRPr="005B0FA3" w:rsidRDefault="00265E3A" w:rsidP="00623C1B">
      <w:pPr>
        <w:pStyle w:val="Heading2"/>
        <w:spacing w:before="100" w:beforeAutospacing="1" w:after="100" w:afterAutospacing="1"/>
      </w:pPr>
      <w:r w:rsidRPr="005B0FA3">
        <w:t>4.8  G9 — s16 (farB) Partial-Dead Status</w:t>
      </w:r>
      <w:r w:rsidR="00141D41" w:rsidRPr="005B0FA3">
        <w:t xml:space="preserve"> (Cell 14)</w:t>
      </w:r>
    </w:p>
    <w:p w14:paraId="30CBE511" w14:textId="4C924456" w:rsidR="00A807E4" w:rsidRPr="008A738F" w:rsidRDefault="00000000" w:rsidP="00623C1B">
      <w:pPr>
        <w:spacing w:before="100" w:beforeAutospacing="1" w:after="100" w:afterAutospacing="1"/>
        <w:jc w:val="both"/>
        <w:rPr>
          <w:rFonts w:cs="Arial"/>
          <w:szCs w:val="20"/>
        </w:rPr>
      </w:pPr>
      <w:r w:rsidRPr="008A738F">
        <w:rPr>
          <w:rFonts w:cs="Arial"/>
          <w:szCs w:val="20"/>
        </w:rPr>
        <w:t xml:space="preserve">Sensor s16 (farB, Burner Fuel-Air Ratio) was identified in Phase 2 as a partially dead channel. The Phase 3 diagnostic confirms a zero interquartile range </w:t>
      </w:r>
      <m:oMath>
        <m:r>
          <w:rPr>
            <w:rFonts w:ascii="Cambria Math" w:hAnsi="Cambria Math" w:cs="Arial"/>
            <w:szCs w:val="20"/>
          </w:rPr>
          <m:t>(IQR = 0.000000)</m:t>
        </m:r>
      </m:oMath>
      <w:r w:rsidRPr="008A738F">
        <w:rPr>
          <w:rFonts w:cs="Arial"/>
          <w:szCs w:val="20"/>
        </w:rPr>
        <w:t xml:space="preserve"> across the entire training dataset, with non-zero variance present only in the multi-regime subsets (FD002: </w:t>
      </w:r>
      <m:oMath>
        <m:r>
          <w:rPr>
            <w:rFonts w:ascii="Cambria Math" w:hAnsi="Cambria Math" w:cs="Arial"/>
            <w:szCs w:val="20"/>
          </w:rPr>
          <m:t>var = 0.150335</m:t>
        </m:r>
      </m:oMath>
      <w:r w:rsidRPr="008A738F">
        <w:rPr>
          <w:rFonts w:cs="Arial"/>
          <w:szCs w:val="20"/>
        </w:rPr>
        <w:t xml:space="preserve">; FD004: </w:t>
      </w:r>
      <m:oMath>
        <m:r>
          <w:rPr>
            <w:rFonts w:ascii="Cambria Math" w:hAnsi="Cambria Math" w:cs="Arial"/>
            <w:szCs w:val="20"/>
          </w:rPr>
          <m:t>var = 0.148216</m:t>
        </m:r>
      </m:oMath>
      <w:r w:rsidRPr="008A738F">
        <w:rPr>
          <w:rFonts w:cs="Arial"/>
          <w:szCs w:val="20"/>
        </w:rPr>
        <w:t>). The sensor is identically zero in FD001 and FD003.</w:t>
      </w:r>
    </w:p>
    <w:p w14:paraId="166A1B0E" w14:textId="7CE87040" w:rsidR="00EC2201" w:rsidRPr="003C16CF" w:rsidRDefault="00000000" w:rsidP="003C16CF">
      <w:pPr>
        <w:spacing w:before="100" w:beforeAutospacing="1" w:after="100" w:afterAutospacing="1"/>
        <w:jc w:val="both"/>
        <w:rPr>
          <w:rFonts w:cs="Arial"/>
          <w:szCs w:val="20"/>
        </w:rPr>
      </w:pPr>
      <w:r w:rsidRPr="008A738F">
        <w:rPr>
          <w:rFonts w:cs="Arial"/>
          <w:szCs w:val="20"/>
        </w:rPr>
        <w:lastRenderedPageBreak/>
        <w:t>The zero variance in single-regime subsets indicates that the C-MAPSS simulation model holds farB constant in the fixed-operating-point condition, varying it only across the different power settings of the multi-regime subsets. The non-zero variance in FD002/FD004 is an artefact of cross-regime z-normalisation (different regime means create apparent variance when viewed across the full dataset), not a degradation signal.</w:t>
      </w:r>
    </w:p>
    <w:tbl>
      <w:tblPr>
        <w:tblpPr w:leftFromText="180" w:rightFromText="180" w:vertAnchor="text" w:horzAnchor="margin" w:tblpY="111"/>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6"/>
      </w:tblGrid>
      <w:tr w:rsidR="00EC2201" w:rsidRPr="005B0FA3" w14:paraId="0330CE97" w14:textId="77777777" w:rsidTr="004B7E70">
        <w:tc>
          <w:tcPr>
            <w:tcW w:w="8916"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53CD39D7" w14:textId="7102C38E" w:rsidR="00EC2201" w:rsidRPr="005B0FA3" w:rsidRDefault="00EC2201" w:rsidP="00296B4A">
            <w:pPr>
              <w:spacing w:before="100" w:beforeAutospacing="1" w:after="100" w:afterAutospacing="1"/>
              <w:jc w:val="both"/>
              <w:rPr>
                <w:rFonts w:eastAsia="Arial" w:cs="Arial"/>
                <w:color w:val="2D2D2D"/>
                <w:sz w:val="18"/>
                <w:szCs w:val="18"/>
              </w:rPr>
            </w:pPr>
            <w:r w:rsidRPr="005B0FA3">
              <w:rPr>
                <w:rFonts w:cs="Arial"/>
                <w:color w:val="AD4454"/>
                <w:sz w:val="18"/>
                <w:szCs w:val="18"/>
              </w:rPr>
              <w:t xml:space="preserve">Disposition: s16 is retained in the feature matrix. Its variance (0.107013) clears the VARIANCE_THRESHOLD of 1e-5, qualifying it as an active sensor; however, its kinematic expansion features </w:t>
            </w:r>
            <w:r w:rsidRPr="003C16CF">
              <w:rPr>
                <w:rFonts w:ascii="Courier New" w:hAnsi="Courier New" w:cs="Courier New"/>
                <w:color w:val="AD4454"/>
                <w:sz w:val="18"/>
                <w:szCs w:val="18"/>
              </w:rPr>
              <w:t>(s16_delta, s16_rmean, s16_rstd)</w:t>
            </w:r>
            <w:r w:rsidRPr="005B0FA3">
              <w:rPr>
                <w:rFonts w:cs="Arial"/>
                <w:color w:val="AD4454"/>
                <w:sz w:val="18"/>
                <w:szCs w:val="18"/>
              </w:rPr>
              <w:t xml:space="preserve"> will carry near-zero signal for the FD001 and FD003 populations. Phase 4 SHAP ablation will determine the net contribution.</w:t>
            </w:r>
          </w:p>
        </w:tc>
      </w:tr>
    </w:tbl>
    <w:p w14:paraId="58047871" w14:textId="77777777" w:rsidR="00EC2201" w:rsidRPr="005B0FA3" w:rsidRDefault="00EC2201" w:rsidP="00623C1B">
      <w:pPr>
        <w:spacing w:before="100" w:beforeAutospacing="1" w:after="100" w:afterAutospacing="1"/>
        <w:jc w:val="both"/>
        <w:rPr>
          <w:rFonts w:cs="Arial"/>
        </w:rPr>
      </w:pPr>
    </w:p>
    <w:p w14:paraId="0C7597AD" w14:textId="33C38996" w:rsidR="00A807E4" w:rsidRPr="005B0FA3" w:rsidRDefault="00265E3A" w:rsidP="00623C1B">
      <w:pPr>
        <w:pStyle w:val="Heading2"/>
        <w:spacing w:before="100" w:beforeAutospacing="1" w:after="100" w:afterAutospacing="1"/>
      </w:pPr>
      <w:r w:rsidRPr="005B0FA3">
        <w:t>4.9  G10 — Multivariate Health Index</w:t>
      </w:r>
      <w:r w:rsidR="00EC2201" w:rsidRPr="005B0FA3">
        <w:t xml:space="preserve"> (Cell 15)</w:t>
      </w:r>
    </w:p>
    <w:p w14:paraId="16486D8A" w14:textId="66EDB3CF" w:rsidR="00A807E4" w:rsidRPr="008A738F" w:rsidRDefault="00000000" w:rsidP="00623C1B">
      <w:pPr>
        <w:spacing w:before="100" w:beforeAutospacing="1" w:after="100" w:afterAutospacing="1"/>
        <w:jc w:val="both"/>
        <w:rPr>
          <w:rFonts w:cs="Arial"/>
          <w:szCs w:val="20"/>
        </w:rPr>
      </w:pPr>
      <w:r w:rsidRPr="008A738F">
        <w:rPr>
          <w:rFonts w:cs="Arial"/>
          <w:szCs w:val="20"/>
        </w:rPr>
        <w:t xml:space="preserve">Phase 2 flagged that univariate EGT (s4) monitoring was inadequate to characterise the P-F interval across all fault modes, given the high coefficient of variation </w:t>
      </w:r>
      <m:oMath>
        <m:r>
          <w:rPr>
            <w:rFonts w:ascii="Cambria Math" w:hAnsi="Cambria Math" w:cs="Arial"/>
            <w:szCs w:val="20"/>
          </w:rPr>
          <m:t>(CV = 1.052)</m:t>
        </m:r>
      </m:oMath>
      <w:r w:rsidRPr="008A738F">
        <w:rPr>
          <w:rFonts w:cs="Arial"/>
          <w:szCs w:val="20"/>
        </w:rPr>
        <w:t xml:space="preserve"> observed in the P-F span distribution. A multivariate health index was mandated to integrate degradation signals from sensors with independent physical interpretations.</w:t>
      </w:r>
    </w:p>
    <w:p w14:paraId="371A8C29" w14:textId="48180CDA" w:rsidR="00A807E4" w:rsidRPr="008A738F" w:rsidRDefault="00000000" w:rsidP="00623C1B">
      <w:pPr>
        <w:spacing w:before="100" w:beforeAutospacing="1" w:after="100" w:afterAutospacing="1"/>
        <w:jc w:val="both"/>
        <w:rPr>
          <w:rFonts w:cs="Arial"/>
          <w:szCs w:val="20"/>
        </w:rPr>
      </w:pPr>
      <w:r w:rsidRPr="008A738F">
        <w:rPr>
          <w:rFonts w:cs="Arial"/>
          <w:szCs w:val="20"/>
        </w:rPr>
        <w:t>The three sensors selected for the composite index (s4, s7, s9) correspond to EGT (T50), HPC outlet pressure (P30), and core speed (Nc) respectively. These three channels are confirmed active across all four fault modes and capture degradation from complementary thermodynamic and mechanical perspectives: thermal loading (s4), compressor pressure delivery (s7), and rotor dynamic condition (s9). The composite index is defined as:</w:t>
      </w:r>
    </w:p>
    <w:p w14:paraId="107FD6FE" w14:textId="382F1C82" w:rsidR="00A807E4" w:rsidRPr="008A738F" w:rsidRDefault="00EC2201" w:rsidP="00623C1B">
      <w:pPr>
        <w:spacing w:before="100" w:beforeAutospacing="1" w:after="100" w:afterAutospacing="1"/>
        <w:jc w:val="center"/>
        <w:rPr>
          <w:rFonts w:cs="Arial"/>
          <w:szCs w:val="20"/>
        </w:rPr>
      </w:pPr>
      <m:oMathPara>
        <m:oMath>
          <m:r>
            <w:rPr>
              <w:rFonts w:ascii="Cambria Math" w:hAnsi="Cambria Math" w:cs="Arial"/>
              <w:color w:val="0D1B2A"/>
              <w:szCs w:val="20"/>
            </w:rPr>
            <m:t>healt</m:t>
          </m:r>
          <m:sSub>
            <m:sSubPr>
              <m:ctrlPr>
                <w:rPr>
                  <w:rFonts w:ascii="Cambria Math" w:hAnsi="Cambria Math" w:cs="Arial"/>
                  <w:i/>
                  <w:color w:val="0D1B2A"/>
                  <w:szCs w:val="20"/>
                </w:rPr>
              </m:ctrlPr>
            </m:sSubPr>
            <m:e>
              <m:r>
                <w:rPr>
                  <w:rFonts w:ascii="Cambria Math" w:hAnsi="Cambria Math" w:cs="Arial"/>
                  <w:color w:val="0D1B2A"/>
                  <w:szCs w:val="20"/>
                </w:rPr>
                <m:t>h</m:t>
              </m:r>
            </m:e>
            <m:sub>
              <m:r>
                <w:rPr>
                  <w:rFonts w:ascii="Cambria Math" w:hAnsi="Cambria Math" w:cs="Arial"/>
                  <w:color w:val="0D1B2A"/>
                  <w:szCs w:val="20"/>
                </w:rPr>
                <m:t>index</m:t>
              </m:r>
            </m:sub>
          </m:sSub>
          <m:r>
            <w:rPr>
              <w:rFonts w:ascii="Cambria Math" w:hAnsi="Cambria Math" w:cs="Arial"/>
              <w:color w:val="0D1B2A"/>
              <w:szCs w:val="20"/>
            </w:rPr>
            <m:t>=</m:t>
          </m:r>
          <m:f>
            <m:fPr>
              <m:ctrlPr>
                <w:rPr>
                  <w:rFonts w:ascii="Cambria Math" w:hAnsi="Cambria Math" w:cs="Arial"/>
                  <w:color w:val="0D1B2A"/>
                  <w:szCs w:val="20"/>
                </w:rPr>
              </m:ctrlPr>
            </m:fPr>
            <m:num>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s4</m:t>
                  </m:r>
                </m:sub>
              </m:sSub>
              <m:r>
                <w:rPr>
                  <w:rFonts w:ascii="Cambria Math" w:hAnsi="Cambria Math" w:cs="Arial"/>
                  <w:color w:val="0D1B2A"/>
                  <w:szCs w:val="20"/>
                </w:rPr>
                <m:t>+</m:t>
              </m:r>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s7</m:t>
                  </m:r>
                </m:sub>
              </m:sSub>
              <m:r>
                <w:rPr>
                  <w:rFonts w:ascii="Cambria Math" w:hAnsi="Cambria Math" w:cs="Arial"/>
                  <w:color w:val="0D1B2A"/>
                  <w:szCs w:val="20"/>
                </w:rPr>
                <m:t>+</m:t>
              </m:r>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s9</m:t>
                  </m:r>
                </m:sub>
              </m:sSub>
              <m:ctrlPr>
                <w:rPr>
                  <w:rFonts w:ascii="Cambria Math" w:hAnsi="Cambria Math" w:cs="Arial"/>
                  <w:i/>
                  <w:color w:val="0D1B2A"/>
                  <w:szCs w:val="20"/>
                </w:rPr>
              </m:ctrlPr>
            </m:num>
            <m:den>
              <m:r>
                <w:rPr>
                  <w:rFonts w:ascii="Cambria Math" w:hAnsi="Cambria Math" w:cs="Arial"/>
                  <w:color w:val="0D1B2A"/>
                  <w:szCs w:val="20"/>
                </w:rPr>
                <m:t>3</m:t>
              </m:r>
              <m:ctrlPr>
                <w:rPr>
                  <w:rFonts w:ascii="Cambria Math" w:hAnsi="Cambria Math" w:cs="Arial"/>
                  <w:i/>
                  <w:color w:val="0D1B2A"/>
                  <w:szCs w:val="20"/>
                </w:rPr>
              </m:ctrlPr>
            </m:den>
          </m:f>
        </m:oMath>
      </m:oMathPara>
    </w:p>
    <w:p w14:paraId="033767F4" w14:textId="62A6502A" w:rsidR="00A807E4" w:rsidRPr="008A738F" w:rsidRDefault="00000000" w:rsidP="00EC2201">
      <w:pPr>
        <w:spacing w:before="100" w:beforeAutospacing="1" w:after="100" w:afterAutospacing="1"/>
        <w:rPr>
          <w:rFonts w:cs="Arial"/>
          <w:szCs w:val="20"/>
        </w:rPr>
      </w:pPr>
      <w:r w:rsidRPr="008A738F">
        <w:rPr>
          <w:rFonts w:cs="Arial"/>
          <w:color w:val="0D1B2A"/>
          <w:szCs w:val="20"/>
        </w:rPr>
        <w:t xml:space="preserve">where </w:t>
      </w:r>
      <m:oMath>
        <m:r>
          <w:rPr>
            <w:rFonts w:ascii="Cambria Math" w:hAnsi="Cambria Math" w:cs="Arial"/>
            <w:color w:val="0D1B2A"/>
            <w:szCs w:val="20"/>
          </w:rPr>
          <m:t>z</m:t>
        </m:r>
      </m:oMath>
      <w:r w:rsidRPr="008A738F">
        <w:rPr>
          <w:rFonts w:cs="Arial"/>
          <w:color w:val="0D1B2A"/>
          <w:szCs w:val="20"/>
        </w:rPr>
        <w:t xml:space="preserve"> denotes the regime-normalised z-score from Phase 2</w:t>
      </w:r>
      <w:r w:rsidR="00EC2201" w:rsidRPr="008A738F">
        <w:rPr>
          <w:rFonts w:cs="Arial"/>
          <w:color w:val="0D1B2A"/>
          <w:szCs w:val="20"/>
        </w:rPr>
        <w:t>.</w:t>
      </w:r>
    </w:p>
    <w:p w14:paraId="13CD75BD" w14:textId="0A525D49" w:rsidR="00A807E4" w:rsidRPr="008A738F" w:rsidRDefault="00000000" w:rsidP="00623C1B">
      <w:pPr>
        <w:spacing w:before="100" w:beforeAutospacing="1" w:after="100" w:afterAutospacing="1"/>
        <w:jc w:val="both"/>
        <w:rPr>
          <w:rFonts w:cs="Arial"/>
          <w:szCs w:val="20"/>
        </w:rPr>
      </w:pPr>
      <w:r w:rsidRPr="008A738F">
        <w:rPr>
          <w:rFonts w:cs="Arial"/>
          <w:szCs w:val="20"/>
        </w:rPr>
        <w:t xml:space="preserve">The resulting health index in the training partition has </w:t>
      </w:r>
      <m:oMath>
        <m:r>
          <w:rPr>
            <w:rFonts w:ascii="Cambria Math" w:hAnsi="Cambria Math" w:cs="Arial"/>
            <w:szCs w:val="20"/>
          </w:rPr>
          <m:t>mean ≈0.0000</m:t>
        </m:r>
      </m:oMath>
      <w:r w:rsidRPr="008A738F">
        <w:rPr>
          <w:rFonts w:cs="Arial"/>
          <w:szCs w:val="20"/>
        </w:rPr>
        <w:t xml:space="preserve"> and </w:t>
      </w:r>
      <m:oMath>
        <m:r>
          <w:rPr>
            <w:rFonts w:ascii="Cambria Math" w:hAnsi="Cambria Math" w:cs="Arial"/>
            <w:szCs w:val="20"/>
          </w:rPr>
          <m:t>std = 0.6660</m:t>
        </m:r>
      </m:oMath>
      <w:r w:rsidRPr="008A738F">
        <w:rPr>
          <w:rFonts w:cs="Arial"/>
          <w:szCs w:val="20"/>
        </w:rPr>
        <w:t xml:space="preserve">, with a range of </w:t>
      </w:r>
      <m:oMath>
        <m:r>
          <w:rPr>
            <w:rFonts w:ascii="Cambria Math" w:hAnsi="Cambria Math" w:cs="Arial"/>
            <w:szCs w:val="20"/>
          </w:rPr>
          <m:t>[-2.1748, 3.6960]</m:t>
        </m:r>
      </m:oMath>
      <w:r w:rsidRPr="008A738F">
        <w:rPr>
          <w:rFonts w:cs="Arial"/>
          <w:szCs w:val="20"/>
        </w:rPr>
        <w:t xml:space="preserve">. The reduced standard deviation relative to the individual sensor channels (which have unit variance by construction) indicates partial cancellation of independent noise components, as expected for a mean ensemble of partially correlated signals. The positive maximum </w:t>
      </w:r>
      <m:oMath>
        <m:r>
          <w:rPr>
            <w:rFonts w:ascii="Cambria Math" w:hAnsi="Cambria Math" w:cs="Arial"/>
            <w:szCs w:val="20"/>
          </w:rPr>
          <m:t>(3.696)</m:t>
        </m:r>
      </m:oMath>
      <w:r w:rsidRPr="008A738F">
        <w:rPr>
          <w:rFonts w:cs="Arial"/>
          <w:szCs w:val="20"/>
        </w:rPr>
        <w:t xml:space="preserve"> reflects terminal-phase amplification when all three sensors simultaneously exceed their regime baseline — the condition of highest degradation severity.</w:t>
      </w:r>
    </w:p>
    <w:p w14:paraId="4C2A8ABB" w14:textId="74770152" w:rsidR="00A807E4" w:rsidRPr="008A738F" w:rsidRDefault="00000000" w:rsidP="00623C1B">
      <w:pPr>
        <w:spacing w:before="100" w:beforeAutospacing="1" w:after="100" w:afterAutospacing="1"/>
        <w:rPr>
          <w:rFonts w:cs="Arial"/>
          <w:i/>
          <w:iCs/>
          <w:szCs w:val="20"/>
        </w:rPr>
      </w:pPr>
      <w:bookmarkStart w:id="3" w:name="OLE_LINK4"/>
      <w:r w:rsidRPr="008A738F">
        <w:rPr>
          <w:rFonts w:cs="Arial"/>
          <w:b/>
          <w:bCs/>
          <w:i/>
          <w:iCs/>
          <w:color w:val="1B3A5C"/>
          <w:szCs w:val="20"/>
        </w:rPr>
        <w:t>Table 7</w:t>
      </w:r>
      <w:r w:rsidR="00BD4886">
        <w:rPr>
          <w:rFonts w:cs="Arial"/>
          <w:b/>
          <w:bCs/>
          <w:i/>
          <w:iCs/>
          <w:color w:val="1B3A5C"/>
          <w:szCs w:val="20"/>
        </w:rPr>
        <w:t>.</w:t>
      </w:r>
      <w:r w:rsidRPr="008A738F">
        <w:rPr>
          <w:rFonts w:cs="Arial"/>
          <w:b/>
          <w:bCs/>
          <w:i/>
          <w:iCs/>
          <w:color w:val="1B3A5C"/>
          <w:szCs w:val="20"/>
        </w:rPr>
        <w:t xml:space="preserve"> G10 Multivariate Health Index Summary Statistics (Internal Train)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276"/>
        <w:gridCol w:w="6520"/>
      </w:tblGrid>
      <w:tr w:rsidR="00A807E4" w:rsidRPr="005B0FA3" w14:paraId="677418FB" w14:textId="77777777" w:rsidTr="00265E3A">
        <w:trPr>
          <w:tblHeader/>
        </w:trPr>
        <w:tc>
          <w:tcPr>
            <w:tcW w:w="127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bookmarkEnd w:id="3"/>
          <w:p w14:paraId="1719152F"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Statistic</w:t>
            </w:r>
          </w:p>
        </w:tc>
        <w:tc>
          <w:tcPr>
            <w:tcW w:w="12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84E591B"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Value</w:t>
            </w:r>
          </w:p>
        </w:tc>
        <w:tc>
          <w:tcPr>
            <w:tcW w:w="652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30BD4105"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Interpretation</w:t>
            </w:r>
          </w:p>
        </w:tc>
      </w:tr>
      <w:tr w:rsidR="004C002F" w14:paraId="7FF7DE8C" w14:textId="77777777" w:rsidTr="00265E3A">
        <w:tc>
          <w:tcPr>
            <w:tcW w:w="1271" w:type="dxa"/>
            <w:shd w:val="clear" w:color="auto" w:fill="FFFFFF"/>
            <w:tcMar>
              <w:top w:w="80" w:type="dxa"/>
              <w:left w:w="120" w:type="dxa"/>
              <w:bottom w:w="80" w:type="dxa"/>
              <w:right w:w="120" w:type="dxa"/>
            </w:tcMar>
            <w:vAlign w:val="center"/>
          </w:tcPr>
          <w:p w14:paraId="6BEF4FEA" w14:textId="77777777" w:rsidR="00A807E4" w:rsidRPr="005B0FA3" w:rsidRDefault="00000000" w:rsidP="00623C1B">
            <w:pPr>
              <w:spacing w:before="100" w:beforeAutospacing="1" w:after="100" w:afterAutospacing="1"/>
              <w:rPr>
                <w:rFonts w:cs="Arial"/>
              </w:rPr>
            </w:pPr>
            <w:r w:rsidRPr="005B0FA3">
              <w:rPr>
                <w:rFonts w:cs="Arial"/>
                <w:sz w:val="18"/>
                <w:szCs w:val="18"/>
              </w:rPr>
              <w:t>Mean</w:t>
            </w:r>
          </w:p>
        </w:tc>
        <w:tc>
          <w:tcPr>
            <w:tcW w:w="1276" w:type="dxa"/>
            <w:shd w:val="clear" w:color="auto" w:fill="FFFFFF"/>
            <w:tcMar>
              <w:top w:w="80" w:type="dxa"/>
              <w:left w:w="120" w:type="dxa"/>
              <w:bottom w:w="80" w:type="dxa"/>
              <w:right w:w="120" w:type="dxa"/>
            </w:tcMar>
            <w:vAlign w:val="center"/>
          </w:tcPr>
          <w:p w14:paraId="56D9B214" w14:textId="6C2626BA" w:rsidR="00A807E4" w:rsidRPr="005B0FA3" w:rsidRDefault="00265E3A" w:rsidP="00623C1B">
            <w:pPr>
              <w:spacing w:before="100" w:beforeAutospacing="1" w:after="100" w:afterAutospacing="1"/>
              <w:rPr>
                <w:rFonts w:cs="Arial"/>
              </w:rPr>
            </w:pPr>
            <m:oMathPara>
              <m:oMathParaPr>
                <m:jc m:val="left"/>
              </m:oMathParaPr>
              <m:oMath>
                <m:r>
                  <w:rPr>
                    <w:rFonts w:ascii="Cambria Math" w:hAnsi="Cambria Math" w:cs="Arial"/>
                    <w:sz w:val="18"/>
                    <w:szCs w:val="18"/>
                  </w:rPr>
                  <m:t>≈0.0000</m:t>
                </m:r>
              </m:oMath>
            </m:oMathPara>
          </w:p>
        </w:tc>
        <w:tc>
          <w:tcPr>
            <w:tcW w:w="6520" w:type="dxa"/>
            <w:shd w:val="clear" w:color="auto" w:fill="FFFFFF"/>
            <w:tcMar>
              <w:top w:w="80" w:type="dxa"/>
              <w:left w:w="120" w:type="dxa"/>
              <w:bottom w:w="80" w:type="dxa"/>
              <w:right w:w="120" w:type="dxa"/>
            </w:tcMar>
            <w:vAlign w:val="center"/>
          </w:tcPr>
          <w:p w14:paraId="78917CA8" w14:textId="77777777" w:rsidR="00A807E4" w:rsidRPr="005B0FA3" w:rsidRDefault="00000000" w:rsidP="00623C1B">
            <w:pPr>
              <w:spacing w:before="100" w:beforeAutospacing="1" w:after="100" w:afterAutospacing="1"/>
              <w:rPr>
                <w:rFonts w:cs="Arial"/>
              </w:rPr>
            </w:pPr>
            <w:r w:rsidRPr="005B0FA3">
              <w:rPr>
                <w:rFonts w:cs="Arial"/>
                <w:sz w:val="18"/>
                <w:szCs w:val="18"/>
              </w:rPr>
              <w:t>Zero-centred by construction (z-space inputs)</w:t>
            </w:r>
          </w:p>
        </w:tc>
      </w:tr>
      <w:tr w:rsidR="004C002F" w14:paraId="1E09DF18" w14:textId="77777777" w:rsidTr="00265E3A">
        <w:tc>
          <w:tcPr>
            <w:tcW w:w="1271" w:type="dxa"/>
            <w:shd w:val="clear" w:color="auto" w:fill="F0F4F8"/>
            <w:tcMar>
              <w:top w:w="80" w:type="dxa"/>
              <w:left w:w="120" w:type="dxa"/>
              <w:bottom w:w="80" w:type="dxa"/>
              <w:right w:w="120" w:type="dxa"/>
            </w:tcMar>
            <w:vAlign w:val="center"/>
          </w:tcPr>
          <w:p w14:paraId="3A5CD97A" w14:textId="77777777" w:rsidR="00A807E4" w:rsidRPr="005B0FA3" w:rsidRDefault="00000000" w:rsidP="00623C1B">
            <w:pPr>
              <w:spacing w:before="100" w:beforeAutospacing="1" w:after="100" w:afterAutospacing="1"/>
              <w:rPr>
                <w:rFonts w:cs="Arial"/>
              </w:rPr>
            </w:pPr>
            <w:r w:rsidRPr="005B0FA3">
              <w:rPr>
                <w:rFonts w:cs="Arial"/>
                <w:sz w:val="18"/>
                <w:szCs w:val="18"/>
              </w:rPr>
              <w:t>Std Dev</w:t>
            </w:r>
          </w:p>
        </w:tc>
        <w:tc>
          <w:tcPr>
            <w:tcW w:w="1276" w:type="dxa"/>
            <w:shd w:val="clear" w:color="auto" w:fill="F0F4F8"/>
            <w:tcMar>
              <w:top w:w="80" w:type="dxa"/>
              <w:left w:w="120" w:type="dxa"/>
              <w:bottom w:w="80" w:type="dxa"/>
              <w:right w:w="120" w:type="dxa"/>
            </w:tcMar>
            <w:vAlign w:val="center"/>
          </w:tcPr>
          <w:p w14:paraId="170FF1B2" w14:textId="77777777" w:rsidR="00A807E4" w:rsidRPr="005B0FA3" w:rsidRDefault="00000000" w:rsidP="00623C1B">
            <w:pPr>
              <w:spacing w:before="100" w:beforeAutospacing="1" w:after="100" w:afterAutospacing="1"/>
              <w:rPr>
                <w:rFonts w:cs="Arial"/>
              </w:rPr>
            </w:pPr>
            <w:r w:rsidRPr="005B0FA3">
              <w:rPr>
                <w:rFonts w:cs="Arial"/>
                <w:sz w:val="18"/>
                <w:szCs w:val="18"/>
              </w:rPr>
              <w:t>0.6660</w:t>
            </w:r>
          </w:p>
        </w:tc>
        <w:tc>
          <w:tcPr>
            <w:tcW w:w="6520" w:type="dxa"/>
            <w:shd w:val="clear" w:color="auto" w:fill="F0F4F8"/>
            <w:tcMar>
              <w:top w:w="80" w:type="dxa"/>
              <w:left w:w="120" w:type="dxa"/>
              <w:bottom w:w="80" w:type="dxa"/>
              <w:right w:w="120" w:type="dxa"/>
            </w:tcMar>
            <w:vAlign w:val="center"/>
          </w:tcPr>
          <w:p w14:paraId="59B7E964" w14:textId="77777777" w:rsidR="00A807E4" w:rsidRPr="005B0FA3" w:rsidRDefault="00000000" w:rsidP="00623C1B">
            <w:pPr>
              <w:spacing w:before="100" w:beforeAutospacing="1" w:after="100" w:afterAutospacing="1"/>
              <w:rPr>
                <w:rFonts w:cs="Arial"/>
              </w:rPr>
            </w:pPr>
            <w:r w:rsidRPr="005B0FA3">
              <w:rPr>
                <w:rFonts w:cs="Arial"/>
                <w:sz w:val="18"/>
                <w:szCs w:val="18"/>
              </w:rPr>
              <w:t>Sub-unit std: partial noise cancellation across s4, s7, s9</w:t>
            </w:r>
          </w:p>
        </w:tc>
      </w:tr>
      <w:tr w:rsidR="004C002F" w14:paraId="1D9C4C77" w14:textId="77777777" w:rsidTr="00265E3A">
        <w:tc>
          <w:tcPr>
            <w:tcW w:w="1271" w:type="dxa"/>
            <w:shd w:val="clear" w:color="auto" w:fill="FFFFFF"/>
            <w:tcMar>
              <w:top w:w="80" w:type="dxa"/>
              <w:left w:w="120" w:type="dxa"/>
              <w:bottom w:w="80" w:type="dxa"/>
              <w:right w:w="120" w:type="dxa"/>
            </w:tcMar>
            <w:vAlign w:val="center"/>
          </w:tcPr>
          <w:p w14:paraId="296CA39C" w14:textId="77777777" w:rsidR="00A807E4" w:rsidRPr="005B0FA3" w:rsidRDefault="00000000" w:rsidP="00623C1B">
            <w:pPr>
              <w:spacing w:before="100" w:beforeAutospacing="1" w:after="100" w:afterAutospacing="1"/>
              <w:rPr>
                <w:rFonts w:cs="Arial"/>
              </w:rPr>
            </w:pPr>
            <w:r w:rsidRPr="005B0FA3">
              <w:rPr>
                <w:rFonts w:cs="Arial"/>
                <w:sz w:val="18"/>
                <w:szCs w:val="18"/>
              </w:rPr>
              <w:t>Minimum</w:t>
            </w:r>
          </w:p>
        </w:tc>
        <w:tc>
          <w:tcPr>
            <w:tcW w:w="1276" w:type="dxa"/>
            <w:shd w:val="clear" w:color="auto" w:fill="FFFFFF"/>
            <w:tcMar>
              <w:top w:w="80" w:type="dxa"/>
              <w:left w:w="120" w:type="dxa"/>
              <w:bottom w:w="80" w:type="dxa"/>
              <w:right w:w="120" w:type="dxa"/>
            </w:tcMar>
            <w:vAlign w:val="center"/>
          </w:tcPr>
          <w:p w14:paraId="47CD533D" w14:textId="77777777" w:rsidR="00A807E4" w:rsidRPr="005B0FA3" w:rsidRDefault="00000000" w:rsidP="00623C1B">
            <w:pPr>
              <w:spacing w:before="100" w:beforeAutospacing="1" w:after="100" w:afterAutospacing="1"/>
              <w:rPr>
                <w:rFonts w:cs="Arial"/>
              </w:rPr>
            </w:pPr>
            <w:r w:rsidRPr="005B0FA3">
              <w:rPr>
                <w:rFonts w:cs="Arial"/>
                <w:sz w:val="18"/>
                <w:szCs w:val="18"/>
              </w:rPr>
              <w:t>−2.1748</w:t>
            </w:r>
          </w:p>
        </w:tc>
        <w:tc>
          <w:tcPr>
            <w:tcW w:w="6520" w:type="dxa"/>
            <w:shd w:val="clear" w:color="auto" w:fill="FFFFFF"/>
            <w:tcMar>
              <w:top w:w="80" w:type="dxa"/>
              <w:left w:w="120" w:type="dxa"/>
              <w:bottom w:w="80" w:type="dxa"/>
              <w:right w:w="120" w:type="dxa"/>
            </w:tcMar>
            <w:vAlign w:val="center"/>
          </w:tcPr>
          <w:p w14:paraId="2AFF3483" w14:textId="77777777" w:rsidR="00A807E4" w:rsidRPr="005B0FA3" w:rsidRDefault="00000000" w:rsidP="00623C1B">
            <w:pPr>
              <w:spacing w:before="100" w:beforeAutospacing="1" w:after="100" w:afterAutospacing="1"/>
              <w:rPr>
                <w:rFonts w:cs="Arial"/>
              </w:rPr>
            </w:pPr>
            <w:r w:rsidRPr="005B0FA3">
              <w:rPr>
                <w:rFonts w:cs="Arial"/>
                <w:sz w:val="18"/>
                <w:szCs w:val="18"/>
              </w:rPr>
              <w:t>Maximum simultaneous healthy-below-baseline condition</w:t>
            </w:r>
          </w:p>
        </w:tc>
      </w:tr>
      <w:tr w:rsidR="004C002F" w14:paraId="5798EA86" w14:textId="77777777" w:rsidTr="00265E3A">
        <w:tc>
          <w:tcPr>
            <w:tcW w:w="1271" w:type="dxa"/>
            <w:shd w:val="clear" w:color="auto" w:fill="F0F4F8"/>
            <w:tcMar>
              <w:top w:w="80" w:type="dxa"/>
              <w:left w:w="120" w:type="dxa"/>
              <w:bottom w:w="80" w:type="dxa"/>
              <w:right w:w="120" w:type="dxa"/>
            </w:tcMar>
            <w:vAlign w:val="center"/>
          </w:tcPr>
          <w:p w14:paraId="3C69393E" w14:textId="77777777" w:rsidR="00A807E4" w:rsidRPr="005B0FA3" w:rsidRDefault="00000000" w:rsidP="00623C1B">
            <w:pPr>
              <w:spacing w:before="100" w:beforeAutospacing="1" w:after="100" w:afterAutospacing="1"/>
              <w:rPr>
                <w:rFonts w:cs="Arial"/>
              </w:rPr>
            </w:pPr>
            <w:r w:rsidRPr="005B0FA3">
              <w:rPr>
                <w:rFonts w:cs="Arial"/>
                <w:sz w:val="18"/>
                <w:szCs w:val="18"/>
              </w:rPr>
              <w:t>Maximum</w:t>
            </w:r>
          </w:p>
        </w:tc>
        <w:tc>
          <w:tcPr>
            <w:tcW w:w="1276" w:type="dxa"/>
            <w:shd w:val="clear" w:color="auto" w:fill="F0F4F8"/>
            <w:tcMar>
              <w:top w:w="80" w:type="dxa"/>
              <w:left w:w="120" w:type="dxa"/>
              <w:bottom w:w="80" w:type="dxa"/>
              <w:right w:w="120" w:type="dxa"/>
            </w:tcMar>
            <w:vAlign w:val="center"/>
          </w:tcPr>
          <w:p w14:paraId="2BC5CE93" w14:textId="77777777" w:rsidR="00A807E4" w:rsidRPr="005B0FA3" w:rsidRDefault="00000000" w:rsidP="00623C1B">
            <w:pPr>
              <w:spacing w:before="100" w:beforeAutospacing="1" w:after="100" w:afterAutospacing="1"/>
              <w:rPr>
                <w:rFonts w:cs="Arial"/>
              </w:rPr>
            </w:pPr>
            <w:r w:rsidRPr="005B0FA3">
              <w:rPr>
                <w:rFonts w:cs="Arial"/>
                <w:sz w:val="18"/>
                <w:szCs w:val="18"/>
              </w:rPr>
              <w:t>3.6960</w:t>
            </w:r>
          </w:p>
        </w:tc>
        <w:tc>
          <w:tcPr>
            <w:tcW w:w="6520" w:type="dxa"/>
            <w:shd w:val="clear" w:color="auto" w:fill="F0F4F8"/>
            <w:tcMar>
              <w:top w:w="80" w:type="dxa"/>
              <w:left w:w="120" w:type="dxa"/>
              <w:bottom w:w="80" w:type="dxa"/>
              <w:right w:w="120" w:type="dxa"/>
            </w:tcMar>
            <w:vAlign w:val="center"/>
          </w:tcPr>
          <w:p w14:paraId="5E92A914" w14:textId="77777777" w:rsidR="00A807E4" w:rsidRPr="005B0FA3" w:rsidRDefault="00000000" w:rsidP="00623C1B">
            <w:pPr>
              <w:spacing w:before="100" w:beforeAutospacing="1" w:after="100" w:afterAutospacing="1"/>
              <w:rPr>
                <w:rFonts w:cs="Arial"/>
              </w:rPr>
            </w:pPr>
            <w:r w:rsidRPr="005B0FA3">
              <w:rPr>
                <w:rFonts w:cs="Arial"/>
                <w:sz w:val="18"/>
                <w:szCs w:val="18"/>
              </w:rPr>
              <w:t>Maximum terminal amplification — all three sensors at end-of-life</w:t>
            </w:r>
          </w:p>
        </w:tc>
      </w:tr>
    </w:tbl>
    <w:p w14:paraId="22E85230" w14:textId="2D64BB57" w:rsidR="005B0FA3" w:rsidRPr="005B0FA3" w:rsidRDefault="00194912" w:rsidP="007F5567">
      <w:pPr>
        <w:pStyle w:val="NormalWeb"/>
        <w:jc w:val="both"/>
        <w:rPr>
          <w:rFonts w:cs="Arial"/>
          <w:szCs w:val="20"/>
        </w:rPr>
      </w:pPr>
      <w:r>
        <w:rPr>
          <w:rFonts w:cs="Arial"/>
          <w:szCs w:val="20"/>
        </w:rPr>
        <w:t xml:space="preserve">Figure 4: </w:t>
      </w:r>
      <w:r w:rsidR="005B0FA3" w:rsidRPr="005B0FA3">
        <w:rPr>
          <w:rFonts w:cs="Arial"/>
          <w:szCs w:val="20"/>
        </w:rPr>
        <w:t>Engine unit 118 from FD004 represents one of the most demanding validation cases in the FD00u corpus: a dual-fault engine operating across six K-Means regimes with a trajectory of approximately 550 cycles. The multivariate health index — computed as the mean of z-normalised s4 (EGT), s7 (P30), and s9 (Nc) at each cycle — is plotted in Figure 4 and exhibits the two-phase degradation structure that a physically credible health indicator must produce.</w:t>
      </w:r>
    </w:p>
    <w:p w14:paraId="45A5B668" w14:textId="38875109" w:rsidR="005B0FA3" w:rsidRPr="005B0FA3" w:rsidRDefault="005B0FA3" w:rsidP="007F5567">
      <w:pPr>
        <w:pStyle w:val="NormalWeb"/>
        <w:jc w:val="both"/>
        <w:rPr>
          <w:rFonts w:cs="Arial"/>
          <w:szCs w:val="20"/>
        </w:rPr>
      </w:pPr>
      <w:r w:rsidRPr="005B0FA3">
        <w:rPr>
          <w:rFonts w:cs="Arial"/>
          <w:szCs w:val="20"/>
        </w:rPr>
        <w:t xml:space="preserve">From cycle 0 to approximately cycle 300, the index oscillates around zero with a standard deviation of approximately </w:t>
      </w:r>
      <m:oMath>
        <m:r>
          <w:rPr>
            <w:rFonts w:ascii="Cambria Math" w:hAnsi="Cambria Math" w:cs="Arial"/>
            <w:szCs w:val="20"/>
          </w:rPr>
          <m:t>±0.3</m:t>
        </m:r>
      </m:oMath>
      <w:r w:rsidRPr="005B0FA3">
        <w:rPr>
          <w:rFonts w:cs="Arial"/>
          <w:szCs w:val="20"/>
        </w:rPr>
        <w:t xml:space="preserve"> to </w:t>
      </w:r>
      <m:oMath>
        <m:r>
          <w:rPr>
            <w:rFonts w:ascii="Cambria Math" w:hAnsi="Cambria Math" w:cs="Arial"/>
            <w:szCs w:val="20"/>
          </w:rPr>
          <m:t>±0.5</m:t>
        </m:r>
      </m:oMath>
      <w:r w:rsidRPr="005B0FA3">
        <w:rPr>
          <w:rFonts w:cs="Arial"/>
          <w:szCs w:val="20"/>
        </w:rPr>
        <w:t xml:space="preserve">, consistent with normal cycle-to-cycle operational variability in z-space. No </w:t>
      </w:r>
      <w:r w:rsidRPr="005B0FA3">
        <w:rPr>
          <w:rFonts w:cs="Arial"/>
          <w:szCs w:val="20"/>
        </w:rPr>
        <w:lastRenderedPageBreak/>
        <w:t xml:space="preserve">systematic drift is present during this period. From approximately cycle 300, a monotonically increasing trend emerges that accelerates markedly from cycle 400, reaching values in excess of 3.0 standard deviations in the terminal phase — well beyond the Shewhart UWL threshold of </w:t>
      </w:r>
      <m:oMath>
        <m:d>
          <m:dPr>
            <m:begChr m:val="|"/>
            <m:endChr m:val="|"/>
            <m:ctrlPr>
              <w:rPr>
                <w:rFonts w:ascii="Cambria Math" w:hAnsi="Cambria Math" w:cs="Arial"/>
                <w:i/>
                <w:szCs w:val="20"/>
              </w:rPr>
            </m:ctrlPr>
          </m:dPr>
          <m:e>
            <m:r>
              <w:rPr>
                <w:rFonts w:ascii="Cambria Math" w:hAnsi="Cambria Math" w:cs="Arial"/>
                <w:szCs w:val="20"/>
              </w:rPr>
              <m:t>z</m:t>
            </m:r>
          </m:e>
        </m:d>
        <m:r>
          <w:rPr>
            <w:rFonts w:ascii="Cambria Math" w:hAnsi="Cambria Math" w:cs="Arial"/>
            <w:szCs w:val="20"/>
          </w:rPr>
          <m:t>&gt;2</m:t>
        </m:r>
      </m:oMath>
      <w:r w:rsidRPr="005B0FA3">
        <w:rPr>
          <w:rFonts w:cs="Arial"/>
          <w:szCs w:val="20"/>
        </w:rPr>
        <w:t xml:space="preserve"> established in Phase 2 Gate 3. The P-F interval is clearly recoverable from this trajectory: the index crosses the warning threshold with sufficient lead time to permit a planned maintenance intervention before end of life.</w:t>
      </w:r>
    </w:p>
    <w:p w14:paraId="6DC704FA" w14:textId="5175E1B1" w:rsidR="005B0FA3" w:rsidRPr="004F3239" w:rsidRDefault="005B0FA3" w:rsidP="007F5567">
      <w:pPr>
        <w:pStyle w:val="NormalWeb"/>
        <w:jc w:val="both"/>
        <w:rPr>
          <w:rFonts w:cs="Arial"/>
          <w:szCs w:val="20"/>
        </w:rPr>
      </w:pPr>
      <w:r w:rsidRPr="005B0FA3">
        <w:rPr>
          <w:rFonts w:cs="Arial"/>
          <w:szCs w:val="20"/>
        </w:rPr>
        <w:t>The behaviour of this index for a dual-fault subset carries specific significance. FD004 subjects both the HPC and fan to simultaneous degradation, introducing correlated perturbations across all three constituent sensors. A univariate EGT monitor would detect HPC deterioration but may produce ambiguous or premature alerts when fan degradation independently perturbs the thermal environment. By requiring coordinated drift across three physically independent degradation pathways — thermal (s4), pressure (s7), and mechanical (s9) — before the index elevates materially, the multivariate formulation provides the false-alarm robustness that a single-sensor policy cannot guarantee. A transient exceedance in one sensor alone is insufficient to produce the sustained upward trajectory visible from cycle 300; only genuine coordinated multi-system deterioration generates this signal. This directly validates the G10 resolution and supports the operational argument presented in Section 9.5 for the multivariate health index as the primary dispatch monitoring feature in Phase 4.</w:t>
      </w:r>
    </w:p>
    <w:p w14:paraId="409FEC33" w14:textId="6AC2E270" w:rsidR="00EC2201" w:rsidRPr="004F3239" w:rsidRDefault="005B0FA3" w:rsidP="004F3239">
      <w:pPr>
        <w:spacing w:before="100" w:beforeAutospacing="1" w:after="100" w:afterAutospacing="1"/>
        <w:rPr>
          <w:rFonts w:cs="Arial"/>
          <w:i/>
          <w:iCs/>
        </w:rPr>
      </w:pPr>
      <w:r w:rsidRPr="004F3239">
        <w:rPr>
          <w:rFonts w:cs="Arial"/>
          <w:b/>
          <w:bCs/>
          <w:i/>
          <w:iCs/>
          <w:color w:val="1B3A5C"/>
          <w:szCs w:val="20"/>
        </w:rPr>
        <w:t>Figure 4. Multivariate Health Index Trajectory: FD004 Unit 188 (Internal Train)</w:t>
      </w:r>
      <w:r w:rsidR="00EC2201" w:rsidRPr="005B0FA3">
        <w:rPr>
          <w:rFonts w:cs="Arial"/>
          <w:noProof/>
        </w:rPr>
        <w:drawing>
          <wp:inline distT="0" distB="0" distL="0" distR="0" wp14:anchorId="313BCE22" wp14:editId="582BD3E2">
            <wp:extent cx="5759450" cy="1876425"/>
            <wp:effectExtent l="0" t="0" r="6350" b="3175"/>
            <wp:docPr id="1067300186" name="Picture 2" descr="A graph showing a graph of h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0186" name="Picture 2" descr="A graph showing a graph of h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1876425"/>
                    </a:xfrm>
                    <a:prstGeom prst="rect">
                      <a:avLst/>
                    </a:prstGeom>
                    <a:noFill/>
                    <a:ln>
                      <a:noFill/>
                    </a:ln>
                  </pic:spPr>
                </pic:pic>
              </a:graphicData>
            </a:graphic>
          </wp:inline>
        </w:drawing>
      </w:r>
    </w:p>
    <w:p w14:paraId="4EF6097D" w14:textId="7634BA92" w:rsidR="00A807E4" w:rsidRPr="005B0FA3" w:rsidRDefault="00265E3A" w:rsidP="00623C1B">
      <w:pPr>
        <w:pStyle w:val="Heading2"/>
        <w:spacing w:before="100" w:beforeAutospacing="1" w:after="100" w:afterAutospacing="1"/>
      </w:pPr>
      <w:bookmarkStart w:id="4" w:name="OLE_LINK5"/>
      <w:r w:rsidRPr="005B0FA3">
        <w:t>4.10  G11 — Regime Assignment Out-of-Distribution Guard</w:t>
      </w:r>
      <w:r w:rsidR="007F5567">
        <w:t xml:space="preserve"> (Cell 16)</w:t>
      </w:r>
    </w:p>
    <w:p w14:paraId="50BEBFA1" w14:textId="77777777" w:rsidR="00101C0C" w:rsidRPr="00BB31E8" w:rsidRDefault="00101C0C" w:rsidP="00101C0C">
      <w:pPr>
        <w:spacing w:before="100" w:beforeAutospacing="1" w:after="100" w:afterAutospacing="1"/>
        <w:jc w:val="both"/>
        <w:rPr>
          <w:rFonts w:cs="Arial"/>
          <w:szCs w:val="20"/>
        </w:rPr>
      </w:pPr>
      <w:r w:rsidRPr="00BB31E8">
        <w:rPr>
          <w:rFonts w:cs="Arial"/>
          <w:szCs w:val="20"/>
        </w:rPr>
        <w:t>The Phase 2 K-Means regime classifier assigns a regime label to every engine cycle using the minimum Euclidean distance to one of six centroids in operational settings space (op1, op2, op3). This hard-assignment approach provides no indication of whether a given operational point is genuinely in-distribution relative to the training regime structure. An operational point that lies far from all centroids will still be assigned to the least-distant regime and will produce a normalised feature vector computed against statistics derived from a physically different operating condition — rendering the downstream RUL prediction physically nonsensical without any indication to the model or the operator that this has occurred.</w:t>
      </w:r>
    </w:p>
    <w:p w14:paraId="40CA5BE7" w14:textId="77777777" w:rsidR="00101C0C" w:rsidRPr="00BB31E8" w:rsidRDefault="00101C0C" w:rsidP="00101C0C">
      <w:pPr>
        <w:spacing w:before="100" w:beforeAutospacing="1" w:after="100" w:afterAutospacing="1"/>
        <w:jc w:val="both"/>
        <w:rPr>
          <w:rFonts w:cs="Arial"/>
          <w:szCs w:val="20"/>
        </w:rPr>
      </w:pPr>
      <w:r w:rsidRPr="00BB31E8">
        <w:rPr>
          <w:rFonts w:cs="Arial"/>
          <w:szCs w:val="20"/>
        </w:rPr>
        <w:t xml:space="preserve">The Phase 3 diagnostic quantified the distance distribution by computing the minimum distance from each training row to its assigned centroid using </w:t>
      </w:r>
      <w:r w:rsidRPr="00BB31E8">
        <w:rPr>
          <w:rFonts w:ascii="Courier New" w:hAnsi="Courier New" w:cs="Courier New"/>
          <w:szCs w:val="20"/>
        </w:rPr>
        <w:t>KMeans.transform().min(axis=1).</w:t>
      </w:r>
      <w:r w:rsidRPr="00BB31E8">
        <w:rPr>
          <w:rFonts w:cs="Arial"/>
          <w:szCs w:val="20"/>
        </w:rPr>
        <w:t xml:space="preserve"> Table 8 presents the percentile distribution of centroid distances for the two multi-regime subsets.</w:t>
      </w:r>
    </w:p>
    <w:p w14:paraId="083EFD3C" w14:textId="58D10599" w:rsidR="00A807E4" w:rsidRPr="005B0FA3" w:rsidRDefault="00000000" w:rsidP="005B0FA3">
      <w:pPr>
        <w:spacing w:before="100" w:beforeAutospacing="1" w:after="100" w:afterAutospacing="1"/>
        <w:jc w:val="both"/>
        <w:rPr>
          <w:rFonts w:cs="Arial"/>
          <w:i/>
          <w:iCs/>
          <w:szCs w:val="20"/>
        </w:rPr>
      </w:pPr>
      <w:r w:rsidRPr="005B0FA3">
        <w:rPr>
          <w:rFonts w:cs="Arial"/>
          <w:b/>
          <w:bCs/>
          <w:i/>
          <w:iCs/>
          <w:color w:val="1B3A5C"/>
          <w:szCs w:val="20"/>
        </w:rPr>
        <w:t>Table 8</w:t>
      </w:r>
      <w:r w:rsidR="00BD4886">
        <w:rPr>
          <w:rFonts w:cs="Arial"/>
          <w:b/>
          <w:bCs/>
          <w:i/>
          <w:iCs/>
          <w:color w:val="1B3A5C"/>
          <w:szCs w:val="20"/>
        </w:rPr>
        <w:t>.</w:t>
      </w:r>
      <w:r w:rsidRPr="005B0FA3">
        <w:rPr>
          <w:rFonts w:cs="Arial"/>
          <w:b/>
          <w:bCs/>
          <w:i/>
          <w:iCs/>
          <w:color w:val="1B3A5C"/>
          <w:szCs w:val="20"/>
        </w:rPr>
        <w:t xml:space="preserve"> G11 Distance-to-Nearest-Centroid Statistics (Internal Train)</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1074"/>
        <w:gridCol w:w="1228"/>
        <w:gridCol w:w="1183"/>
        <w:gridCol w:w="1482"/>
        <w:gridCol w:w="3194"/>
      </w:tblGrid>
      <w:tr w:rsidR="0053337F" w:rsidRPr="005B0FA3" w14:paraId="78E2E4B1" w14:textId="77777777" w:rsidTr="005B0FA3">
        <w:trPr>
          <w:tblHeader/>
        </w:trPr>
        <w:tc>
          <w:tcPr>
            <w:tcW w:w="90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73859061"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Subset</w:t>
            </w:r>
          </w:p>
        </w:tc>
        <w:tc>
          <w:tcPr>
            <w:tcW w:w="107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600D22C"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Regimes</w:t>
            </w:r>
          </w:p>
        </w:tc>
        <w:tc>
          <w:tcPr>
            <w:tcW w:w="122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88BC244"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P95 Distance</w:t>
            </w:r>
          </w:p>
        </w:tc>
        <w:tc>
          <w:tcPr>
            <w:tcW w:w="118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4A89434"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P99 Distance</w:t>
            </w:r>
          </w:p>
        </w:tc>
        <w:tc>
          <w:tcPr>
            <w:tcW w:w="148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24A5F24"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Maximum Distance</w:t>
            </w:r>
          </w:p>
        </w:tc>
        <w:tc>
          <w:tcPr>
            <w:tcW w:w="3194"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3A30B029"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Recommended OOD Threshold</w:t>
            </w:r>
          </w:p>
        </w:tc>
      </w:tr>
      <w:tr w:rsidR="004C002F" w14:paraId="1EF18550" w14:textId="77777777" w:rsidTr="005B0FA3">
        <w:tc>
          <w:tcPr>
            <w:tcW w:w="908" w:type="dxa"/>
            <w:shd w:val="clear" w:color="auto" w:fill="FFFFFF"/>
            <w:tcMar>
              <w:top w:w="80" w:type="dxa"/>
              <w:left w:w="120" w:type="dxa"/>
              <w:bottom w:w="80" w:type="dxa"/>
              <w:right w:w="120" w:type="dxa"/>
            </w:tcMar>
            <w:vAlign w:val="center"/>
          </w:tcPr>
          <w:p w14:paraId="336C454D" w14:textId="77777777" w:rsidR="00A807E4" w:rsidRPr="005B0FA3" w:rsidRDefault="00000000" w:rsidP="00623C1B">
            <w:pPr>
              <w:spacing w:before="100" w:beforeAutospacing="1" w:after="100" w:afterAutospacing="1"/>
              <w:rPr>
                <w:rFonts w:cs="Arial"/>
              </w:rPr>
            </w:pPr>
            <w:r w:rsidRPr="005B0FA3">
              <w:rPr>
                <w:rFonts w:cs="Arial"/>
                <w:sz w:val="18"/>
                <w:szCs w:val="18"/>
              </w:rPr>
              <w:t>FD002</w:t>
            </w:r>
          </w:p>
        </w:tc>
        <w:tc>
          <w:tcPr>
            <w:tcW w:w="1074" w:type="dxa"/>
            <w:shd w:val="clear" w:color="auto" w:fill="FFFFFF"/>
            <w:tcMar>
              <w:top w:w="80" w:type="dxa"/>
              <w:left w:w="120" w:type="dxa"/>
              <w:bottom w:w="80" w:type="dxa"/>
              <w:right w:w="120" w:type="dxa"/>
            </w:tcMar>
            <w:vAlign w:val="center"/>
          </w:tcPr>
          <w:p w14:paraId="5BAB5D22" w14:textId="77777777" w:rsidR="00A807E4" w:rsidRPr="005B0FA3" w:rsidRDefault="00000000" w:rsidP="00623C1B">
            <w:pPr>
              <w:spacing w:before="100" w:beforeAutospacing="1" w:after="100" w:afterAutospacing="1"/>
              <w:rPr>
                <w:rFonts w:cs="Arial"/>
              </w:rPr>
            </w:pPr>
            <w:r w:rsidRPr="005B0FA3">
              <w:rPr>
                <w:rFonts w:cs="Arial"/>
                <w:sz w:val="18"/>
                <w:szCs w:val="18"/>
              </w:rPr>
              <w:t>6</w:t>
            </w:r>
          </w:p>
        </w:tc>
        <w:tc>
          <w:tcPr>
            <w:tcW w:w="1228" w:type="dxa"/>
            <w:shd w:val="clear" w:color="auto" w:fill="FFFFFF"/>
            <w:tcMar>
              <w:top w:w="80" w:type="dxa"/>
              <w:left w:w="120" w:type="dxa"/>
              <w:bottom w:w="80" w:type="dxa"/>
              <w:right w:w="120" w:type="dxa"/>
            </w:tcMar>
            <w:vAlign w:val="center"/>
          </w:tcPr>
          <w:p w14:paraId="5820CA1A" w14:textId="77777777" w:rsidR="00A807E4" w:rsidRPr="005B0FA3" w:rsidRDefault="00000000" w:rsidP="00623C1B">
            <w:pPr>
              <w:spacing w:before="100" w:beforeAutospacing="1" w:after="100" w:afterAutospacing="1"/>
              <w:rPr>
                <w:rFonts w:cs="Arial"/>
              </w:rPr>
            </w:pPr>
            <w:r w:rsidRPr="005B0FA3">
              <w:rPr>
                <w:rFonts w:cs="Arial"/>
                <w:sz w:val="18"/>
                <w:szCs w:val="18"/>
              </w:rPr>
              <w:t>65.0058</w:t>
            </w:r>
          </w:p>
        </w:tc>
        <w:tc>
          <w:tcPr>
            <w:tcW w:w="1183" w:type="dxa"/>
            <w:shd w:val="clear" w:color="auto" w:fill="FFFFFF"/>
            <w:tcMar>
              <w:top w:w="80" w:type="dxa"/>
              <w:left w:w="120" w:type="dxa"/>
              <w:bottom w:w="80" w:type="dxa"/>
              <w:right w:w="120" w:type="dxa"/>
            </w:tcMar>
            <w:vAlign w:val="center"/>
          </w:tcPr>
          <w:p w14:paraId="7CF61EBC" w14:textId="77777777" w:rsidR="00A807E4" w:rsidRPr="005B0FA3" w:rsidRDefault="00000000" w:rsidP="00623C1B">
            <w:pPr>
              <w:spacing w:before="100" w:beforeAutospacing="1" w:after="100" w:afterAutospacing="1"/>
              <w:rPr>
                <w:rFonts w:cs="Arial"/>
              </w:rPr>
            </w:pPr>
            <w:r w:rsidRPr="005B0FA3">
              <w:rPr>
                <w:rFonts w:cs="Arial"/>
                <w:sz w:val="18"/>
                <w:szCs w:val="18"/>
              </w:rPr>
              <w:t>65.0060</w:t>
            </w:r>
          </w:p>
        </w:tc>
        <w:tc>
          <w:tcPr>
            <w:tcW w:w="1482" w:type="dxa"/>
            <w:shd w:val="clear" w:color="auto" w:fill="FFFFFF"/>
            <w:tcMar>
              <w:top w:w="80" w:type="dxa"/>
              <w:left w:w="120" w:type="dxa"/>
              <w:bottom w:w="80" w:type="dxa"/>
              <w:right w:w="120" w:type="dxa"/>
            </w:tcMar>
            <w:vAlign w:val="center"/>
          </w:tcPr>
          <w:p w14:paraId="09060398" w14:textId="77777777" w:rsidR="00A807E4" w:rsidRPr="005B0FA3" w:rsidRDefault="00000000" w:rsidP="00623C1B">
            <w:pPr>
              <w:spacing w:before="100" w:beforeAutospacing="1" w:after="100" w:afterAutospacing="1"/>
              <w:rPr>
                <w:rFonts w:cs="Arial"/>
              </w:rPr>
            </w:pPr>
            <w:r w:rsidRPr="005B0FA3">
              <w:rPr>
                <w:rFonts w:cs="Arial"/>
                <w:sz w:val="18"/>
                <w:szCs w:val="18"/>
              </w:rPr>
              <w:t>65.0061</w:t>
            </w:r>
          </w:p>
        </w:tc>
        <w:tc>
          <w:tcPr>
            <w:tcW w:w="3194" w:type="dxa"/>
            <w:shd w:val="clear" w:color="auto" w:fill="FFFFFF"/>
            <w:tcMar>
              <w:top w:w="80" w:type="dxa"/>
              <w:left w:w="120" w:type="dxa"/>
              <w:bottom w:w="80" w:type="dxa"/>
              <w:right w:w="120" w:type="dxa"/>
            </w:tcMar>
            <w:vAlign w:val="center"/>
          </w:tcPr>
          <w:p w14:paraId="46C483E8" w14:textId="77777777" w:rsidR="00A807E4" w:rsidRPr="005B0FA3" w:rsidRDefault="00000000" w:rsidP="00623C1B">
            <w:pPr>
              <w:spacing w:before="100" w:beforeAutospacing="1" w:after="100" w:afterAutospacing="1"/>
              <w:rPr>
                <w:rFonts w:cs="Arial"/>
              </w:rPr>
            </w:pPr>
            <w:r w:rsidRPr="005B0FA3">
              <w:rPr>
                <w:rFonts w:cs="Arial"/>
                <w:sz w:val="18"/>
                <w:szCs w:val="18"/>
              </w:rPr>
              <w:t>65.0060 (P99)</w:t>
            </w:r>
          </w:p>
        </w:tc>
      </w:tr>
      <w:tr w:rsidR="004C002F" w14:paraId="7625391C" w14:textId="77777777" w:rsidTr="0053337F">
        <w:tc>
          <w:tcPr>
            <w:tcW w:w="908" w:type="dxa"/>
            <w:shd w:val="clear" w:color="auto" w:fill="F0F4F8"/>
            <w:tcMar>
              <w:top w:w="80" w:type="dxa"/>
              <w:left w:w="120" w:type="dxa"/>
              <w:bottom w:w="80" w:type="dxa"/>
              <w:right w:w="120" w:type="dxa"/>
            </w:tcMar>
            <w:vAlign w:val="center"/>
          </w:tcPr>
          <w:p w14:paraId="70ED3FBF" w14:textId="77777777" w:rsidR="00A807E4" w:rsidRPr="005B0FA3" w:rsidRDefault="00000000" w:rsidP="00623C1B">
            <w:pPr>
              <w:spacing w:before="100" w:beforeAutospacing="1" w:after="100" w:afterAutospacing="1"/>
              <w:rPr>
                <w:rFonts w:cs="Arial"/>
              </w:rPr>
            </w:pPr>
            <w:r w:rsidRPr="005B0FA3">
              <w:rPr>
                <w:rFonts w:cs="Arial"/>
                <w:sz w:val="18"/>
                <w:szCs w:val="18"/>
              </w:rPr>
              <w:t>FD004</w:t>
            </w:r>
          </w:p>
        </w:tc>
        <w:tc>
          <w:tcPr>
            <w:tcW w:w="1074" w:type="dxa"/>
            <w:shd w:val="clear" w:color="auto" w:fill="F0F4F8"/>
            <w:tcMar>
              <w:top w:w="80" w:type="dxa"/>
              <w:left w:w="120" w:type="dxa"/>
              <w:bottom w:w="80" w:type="dxa"/>
              <w:right w:w="120" w:type="dxa"/>
            </w:tcMar>
            <w:vAlign w:val="center"/>
          </w:tcPr>
          <w:p w14:paraId="58B37ED7" w14:textId="77777777" w:rsidR="00A807E4" w:rsidRPr="005B0FA3" w:rsidRDefault="00000000" w:rsidP="00623C1B">
            <w:pPr>
              <w:spacing w:before="100" w:beforeAutospacing="1" w:after="100" w:afterAutospacing="1"/>
              <w:rPr>
                <w:rFonts w:cs="Arial"/>
              </w:rPr>
            </w:pPr>
            <w:r w:rsidRPr="005B0FA3">
              <w:rPr>
                <w:rFonts w:cs="Arial"/>
                <w:sz w:val="18"/>
                <w:szCs w:val="18"/>
              </w:rPr>
              <w:t>6</w:t>
            </w:r>
          </w:p>
        </w:tc>
        <w:tc>
          <w:tcPr>
            <w:tcW w:w="1228" w:type="dxa"/>
            <w:shd w:val="clear" w:color="auto" w:fill="F0F4F8"/>
            <w:tcMar>
              <w:top w:w="80" w:type="dxa"/>
              <w:left w:w="120" w:type="dxa"/>
              <w:bottom w:w="80" w:type="dxa"/>
              <w:right w:w="120" w:type="dxa"/>
            </w:tcMar>
            <w:vAlign w:val="center"/>
          </w:tcPr>
          <w:p w14:paraId="7915F311" w14:textId="77777777" w:rsidR="00A807E4" w:rsidRPr="005B0FA3" w:rsidRDefault="00000000" w:rsidP="00623C1B">
            <w:pPr>
              <w:spacing w:before="100" w:beforeAutospacing="1" w:after="100" w:afterAutospacing="1"/>
              <w:rPr>
                <w:rFonts w:cs="Arial"/>
              </w:rPr>
            </w:pPr>
            <w:r w:rsidRPr="005B0FA3">
              <w:rPr>
                <w:rFonts w:cs="Arial"/>
                <w:sz w:val="18"/>
                <w:szCs w:val="18"/>
              </w:rPr>
              <w:t>65.0058</w:t>
            </w:r>
          </w:p>
        </w:tc>
        <w:tc>
          <w:tcPr>
            <w:tcW w:w="1183" w:type="dxa"/>
            <w:shd w:val="clear" w:color="auto" w:fill="F0F4F8"/>
            <w:tcMar>
              <w:top w:w="80" w:type="dxa"/>
              <w:left w:w="120" w:type="dxa"/>
              <w:bottom w:w="80" w:type="dxa"/>
              <w:right w:w="120" w:type="dxa"/>
            </w:tcMar>
            <w:vAlign w:val="center"/>
          </w:tcPr>
          <w:p w14:paraId="5A1AC1C5" w14:textId="77777777" w:rsidR="00A807E4" w:rsidRPr="005B0FA3" w:rsidRDefault="00000000" w:rsidP="00623C1B">
            <w:pPr>
              <w:spacing w:before="100" w:beforeAutospacing="1" w:after="100" w:afterAutospacing="1"/>
              <w:rPr>
                <w:rFonts w:cs="Arial"/>
              </w:rPr>
            </w:pPr>
            <w:r w:rsidRPr="005B0FA3">
              <w:rPr>
                <w:rFonts w:cs="Arial"/>
                <w:sz w:val="18"/>
                <w:szCs w:val="18"/>
              </w:rPr>
              <w:t>65.0060</w:t>
            </w:r>
          </w:p>
        </w:tc>
        <w:tc>
          <w:tcPr>
            <w:tcW w:w="1482" w:type="dxa"/>
            <w:shd w:val="clear" w:color="auto" w:fill="F0F4F8"/>
            <w:tcMar>
              <w:top w:w="80" w:type="dxa"/>
              <w:left w:w="120" w:type="dxa"/>
              <w:bottom w:w="80" w:type="dxa"/>
              <w:right w:w="120" w:type="dxa"/>
            </w:tcMar>
            <w:vAlign w:val="center"/>
          </w:tcPr>
          <w:p w14:paraId="4F88804D" w14:textId="77777777" w:rsidR="00A807E4" w:rsidRPr="005B0FA3" w:rsidRDefault="00000000" w:rsidP="00623C1B">
            <w:pPr>
              <w:spacing w:before="100" w:beforeAutospacing="1" w:after="100" w:afterAutospacing="1"/>
              <w:rPr>
                <w:rFonts w:cs="Arial"/>
              </w:rPr>
            </w:pPr>
            <w:r w:rsidRPr="005B0FA3">
              <w:rPr>
                <w:rFonts w:cs="Arial"/>
                <w:sz w:val="18"/>
                <w:szCs w:val="18"/>
              </w:rPr>
              <w:t>65.0061</w:t>
            </w:r>
          </w:p>
        </w:tc>
        <w:tc>
          <w:tcPr>
            <w:tcW w:w="3194" w:type="dxa"/>
            <w:shd w:val="clear" w:color="auto" w:fill="F0F4F8"/>
            <w:tcMar>
              <w:top w:w="80" w:type="dxa"/>
              <w:left w:w="120" w:type="dxa"/>
              <w:bottom w:w="80" w:type="dxa"/>
              <w:right w:w="120" w:type="dxa"/>
            </w:tcMar>
            <w:vAlign w:val="center"/>
          </w:tcPr>
          <w:p w14:paraId="42AEECBA" w14:textId="77777777" w:rsidR="00A807E4" w:rsidRPr="005B0FA3" w:rsidRDefault="00000000" w:rsidP="00623C1B">
            <w:pPr>
              <w:spacing w:before="100" w:beforeAutospacing="1" w:after="100" w:afterAutospacing="1"/>
              <w:rPr>
                <w:rFonts w:cs="Arial"/>
              </w:rPr>
            </w:pPr>
            <w:r w:rsidRPr="005B0FA3">
              <w:rPr>
                <w:rFonts w:cs="Arial"/>
                <w:sz w:val="18"/>
                <w:szCs w:val="18"/>
              </w:rPr>
              <w:t>65.0060 (P99)</w:t>
            </w:r>
          </w:p>
        </w:tc>
      </w:tr>
    </w:tbl>
    <w:p w14:paraId="18B04C90" w14:textId="77777777" w:rsidR="0003435E" w:rsidRPr="00BB31E8" w:rsidRDefault="0003435E" w:rsidP="00444BDF">
      <w:pPr>
        <w:spacing w:before="100" w:beforeAutospacing="1" w:after="100" w:afterAutospacing="1"/>
        <w:jc w:val="both"/>
        <w:rPr>
          <w:rFonts w:cs="Arial"/>
          <w:szCs w:val="20"/>
        </w:rPr>
      </w:pPr>
      <w:r w:rsidRPr="00BB31E8">
        <w:rPr>
          <w:rFonts w:cs="Arial"/>
          <w:szCs w:val="20"/>
        </w:rPr>
        <w:lastRenderedPageBreak/>
        <w:t>The distance distribution reveals a property of C-MAPSS that renders a runtime OOD guard non-implementable in the current pipeline: P95, P99, and the maximum distance are essentially identical at 65.006 across both multi-regime subsets. This extreme concentration arises because C-MAPSS is a discrete simulation — the six operating conditions in FD002 and FD004 are not drawn from a continuous distribution but are exactly six fixed points in operational settings space. Every cycle in the dataset is generated at precisely one of these six points, meaning every observation sits at exactly the same distance from its assigned centroid. There is no spread, no ambiguity in regime assignments, and no observations that are genuinely distant from all centroids. In this context the P99 threshold of 65.006 is a documentation value rather than a meaningful decision boundary — every training observation either sits exactly at a centroid or at this distance, with nothing in between.</w:t>
      </w:r>
    </w:p>
    <w:p w14:paraId="3E75F7F2" w14:textId="77777777" w:rsidR="0003435E" w:rsidRPr="00BB31E8" w:rsidRDefault="0003435E" w:rsidP="00444BDF">
      <w:pPr>
        <w:spacing w:before="100" w:beforeAutospacing="1" w:after="100" w:afterAutospacing="1"/>
        <w:jc w:val="both"/>
        <w:rPr>
          <w:rFonts w:cs="Arial"/>
          <w:szCs w:val="20"/>
        </w:rPr>
      </w:pPr>
      <w:r w:rsidRPr="00BB31E8">
        <w:rPr>
          <w:rFonts w:cs="Arial"/>
          <w:szCs w:val="20"/>
        </w:rPr>
        <w:t>This is a structural property of the simulation and not a failure of the pipeline. However, it has a critical implication for deployment. Real engine telemetry transitions continuously through thrust settings and altitudes — every cycle will sit at a slightly different position in operational settings space, producing a genuine continuous distribution of centroid distances with meaningful spread. In that context, a cycle sitting at a distance materially beyond P99 is a genuine OOD signal indicating that the engine is operating outside the conditions the model was trained on, and the P99 threshold becomes a live rejection boundary that prevents physically nonsensical predictions from reaching a maintenance engineer.</w:t>
      </w:r>
    </w:p>
    <w:p w14:paraId="761C942B" w14:textId="50005844" w:rsidR="00444BDF" w:rsidRPr="00444BDF" w:rsidRDefault="0003435E" w:rsidP="00444BDF">
      <w:pPr>
        <w:spacing w:before="100" w:beforeAutospacing="1" w:after="100" w:afterAutospacing="1"/>
        <w:jc w:val="both"/>
        <w:rPr>
          <w:rFonts w:cs="Arial"/>
          <w:szCs w:val="20"/>
        </w:rPr>
      </w:pPr>
      <w:r w:rsidRPr="00BB31E8">
        <w:rPr>
          <w:rFonts w:cs="Arial"/>
          <w:szCs w:val="20"/>
        </w:rPr>
        <w:t>The OOD guard is therefore not absent from FusionCore by oversight — it is documented and architecturally specified, but its meaningful implementation requires a continuous operational data distribution that C-MAPSS cannot provide</w:t>
      </w:r>
      <w:r w:rsidR="00050574">
        <w:rPr>
          <w:rFonts w:cs="Arial"/>
          <w:szCs w:val="20"/>
        </w:rPr>
        <w:t>.</w:t>
      </w:r>
      <w:r w:rsidR="00050574" w:rsidRPr="00050574">
        <w:rPr>
          <w:rStyle w:val="FootnoteReference"/>
          <w:rFonts w:cs="Arial"/>
          <w:color w:val="E97132" w:themeColor="accent2"/>
          <w:szCs w:val="20"/>
        </w:rPr>
        <w:footnoteReference w:id="5"/>
      </w:r>
    </w:p>
    <w:tbl>
      <w:tblPr>
        <w:tblpPr w:leftFromText="180" w:rightFromText="180" w:vertAnchor="text" w:horzAnchor="margin" w:tblpY="111"/>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444BDF" w:rsidRPr="005B0FA3" w14:paraId="16016E0A" w14:textId="77777777" w:rsidTr="004B7E70">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416D37C6" w14:textId="0162A13D" w:rsidR="00444BDF" w:rsidRPr="00444BDF" w:rsidRDefault="00444BDF" w:rsidP="00872F21">
            <w:pPr>
              <w:spacing w:before="100" w:beforeAutospacing="1" w:after="100" w:afterAutospacing="1"/>
              <w:jc w:val="both"/>
              <w:rPr>
                <w:rFonts w:cs="Arial"/>
                <w:color w:val="AD4454"/>
                <w:sz w:val="18"/>
                <w:szCs w:val="18"/>
              </w:rPr>
            </w:pPr>
            <w:r w:rsidRPr="00BB31E8">
              <w:rPr>
                <w:rFonts w:cs="Arial"/>
                <w:color w:val="AD4454"/>
                <w:sz w:val="18"/>
                <w:szCs w:val="18"/>
              </w:rPr>
              <w:t xml:space="preserve">Disposition: Diagnostic. The P99 threshold of 65.006 is formally documented as the OOD boundary specification. Full implementation of a runtime OOD rejection layer is deferred to FusionCore </w:t>
            </w:r>
            <m:oMath>
              <m:sSub>
                <m:sSubPr>
                  <m:ctrlPr>
                    <w:rPr>
                      <w:rFonts w:ascii="Cambria Math" w:hAnsi="Cambria Math" w:cs="Arial"/>
                      <w:i/>
                      <w:color w:val="AD4454"/>
                      <w:sz w:val="18"/>
                      <w:szCs w:val="18"/>
                    </w:rPr>
                  </m:ctrlPr>
                </m:sSubPr>
                <m:e>
                  <m:r>
                    <w:rPr>
                      <w:rFonts w:ascii="Cambria Math" w:hAnsi="Cambria Math" w:cs="Arial"/>
                      <w:color w:val="AD4454"/>
                      <w:sz w:val="18"/>
                      <w:szCs w:val="18"/>
                    </w:rPr>
                    <m:t>v</m:t>
                  </m:r>
                </m:e>
                <m:sub>
                  <m:r>
                    <w:rPr>
                      <w:rFonts w:ascii="Cambria Math" w:hAnsi="Cambria Math" w:cs="Arial"/>
                      <w:color w:val="AD4454"/>
                      <w:sz w:val="18"/>
                      <w:szCs w:val="18"/>
                    </w:rPr>
                    <m:t>2</m:t>
                  </m:r>
                </m:sub>
              </m:sSub>
            </m:oMath>
            <w:r w:rsidRPr="00BB31E8">
              <w:rPr>
                <w:rFonts w:cs="Arial"/>
                <w:color w:val="AD4454"/>
                <w:sz w:val="18"/>
                <w:szCs w:val="18"/>
              </w:rPr>
              <w:t>, where continuous real operational telemetry would produce a genuine centroid distance distribution against which the threshold can be calibrated and validated.</w:t>
            </w:r>
          </w:p>
        </w:tc>
      </w:tr>
    </w:tbl>
    <w:p w14:paraId="736BA83C" w14:textId="3AE78E4C" w:rsidR="00C82AD0" w:rsidRDefault="00C82AD0" w:rsidP="00C82AD0">
      <w:pPr>
        <w:pStyle w:val="Heading2"/>
      </w:pPr>
      <w:bookmarkStart w:id="5" w:name="OLE_LINK6"/>
      <w:bookmarkEnd w:id="4"/>
      <w:r>
        <w:t>4.11 G12 — Survival Analysis Framework (Cell 17)</w:t>
      </w:r>
    </w:p>
    <w:p w14:paraId="224A7D26" w14:textId="77777777" w:rsidR="001D1834" w:rsidRPr="001D1834" w:rsidRDefault="001D1834" w:rsidP="001D1834">
      <w:pPr>
        <w:rPr>
          <w:b/>
          <w:bCs/>
          <w:szCs w:val="27"/>
        </w:rPr>
      </w:pPr>
      <w:r w:rsidRPr="001D1834">
        <w:rPr>
          <w:b/>
          <w:bCs/>
        </w:rPr>
        <w:t>Why This Analysis Was Required</w:t>
      </w:r>
    </w:p>
    <w:p w14:paraId="1EAFDA1F" w14:textId="0925B25E" w:rsidR="001D1834" w:rsidRPr="007F2129" w:rsidRDefault="001D1834" w:rsidP="00872F21">
      <w:pPr>
        <w:pStyle w:val="font-claude-response-body"/>
        <w:jc w:val="both"/>
        <w:rPr>
          <w:i/>
          <w:iCs/>
        </w:rPr>
      </w:pPr>
      <w:r>
        <w:t>A smoke alarm tells you fire is present. It does not tell you how long you have before the building is uninhabitable. The Phase 2 UWL alert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&gt;2</m:t>
        </m:r>
      </m:oMath>
      <w:r>
        <w:t xml:space="preserve">) has exactly this limitation: it signals that an engine has crossed a degradation threshold but provides no information about how much useful life remains. A maintenance scheduler cannot optimise shop visit timing, MRO slot allocation, or aircraft substitution planning from a binary alert alone — they need a probability: </w:t>
      </w:r>
      <w:r w:rsidRPr="007F2129">
        <w:rPr>
          <w:i/>
          <w:iCs/>
        </w:rPr>
        <w:t>what is the chance this engine fails within the next N cycles?</w:t>
      </w:r>
    </w:p>
    <w:p w14:paraId="5B4F9D65" w14:textId="77777777" w:rsidR="001D1834" w:rsidRDefault="001D1834" w:rsidP="00872F21">
      <w:pPr>
        <w:pStyle w:val="font-claude-response-body"/>
        <w:jc w:val="both"/>
      </w:pPr>
      <w:r>
        <w:t xml:space="preserve">Phase 2 Item 7 quantified the inadequacy formally, reporting a pooled P-F interval coefficient of variation (CV) of 1.052 across the training population — meaning the time from alert to failure varied so widely that the alert timing alone was operationally uninformative. Phase 2 accordingly mandated a survival analysis framework incorporating Cox Proportional Hazards modelling, which shifts the question from </w:t>
      </w:r>
      <w:r>
        <w:rPr>
          <w:rStyle w:val="Emphasis"/>
        </w:rPr>
        <w:t>"has the threshold been crossed?"</w:t>
      </w:r>
      <w:r>
        <w:t xml:space="preserve"> to </w:t>
      </w:r>
      <w:r>
        <w:rPr>
          <w:rStyle w:val="Emphasis"/>
        </w:rPr>
        <w:t>"given what we know about this engine, what is its conditional probability of surviving the next N cycles?"</w:t>
      </w:r>
    </w:p>
    <w:p w14:paraId="18560622" w14:textId="77777777" w:rsidR="001D1834" w:rsidRPr="001D1834" w:rsidRDefault="001D1834" w:rsidP="00872F21">
      <w:pPr>
        <w:jc w:val="both"/>
        <w:rPr>
          <w:b/>
          <w:bCs/>
        </w:rPr>
      </w:pPr>
      <w:r w:rsidRPr="001D1834">
        <w:rPr>
          <w:b/>
          <w:bCs/>
        </w:rPr>
        <w:t>The P-F Interval as the Unit of Analysis</w:t>
      </w:r>
    </w:p>
    <w:p w14:paraId="3736030B" w14:textId="77777777" w:rsidR="001D1834" w:rsidRDefault="001D1834" w:rsidP="00872F21">
      <w:pPr>
        <w:pStyle w:val="font-claude-response-body"/>
        <w:jc w:val="both"/>
      </w:pPr>
      <w:r>
        <w:t xml:space="preserve">The analysis operates on the </w:t>
      </w:r>
      <w:r>
        <w:rPr>
          <w:rStyle w:val="Strong"/>
        </w:rPr>
        <w:t>P-F interval</w:t>
      </w:r>
      <w:r>
        <w:t xml:space="preserve"> — the number of engine cycles between the first UWL breach and functional failure. Formally, for engine </w:t>
      </w:r>
      <m:oMath>
        <m:r>
          <w:rPr>
            <w:rFonts w:ascii="Cambria Math" w:hAnsi="Cambria Math"/>
          </w:rPr>
          <m:t>u</m:t>
        </m:r>
      </m:oMath>
      <w:r>
        <w:t xml:space="preserve">: </w:t>
      </w:r>
    </w:p>
    <w:p w14:paraId="2E1F9BC8" w14:textId="77777777" w:rsidR="001D1834" w:rsidRDefault="00000000" w:rsidP="00872F21">
      <w:pPr>
        <w:jc w:val="both"/>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PF</m:t>
              </m:r>
            </m:sub>
          </m:sSub>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breach</m:t>
              </m:r>
            </m:sub>
          </m:sSub>
          <m:r>
            <w:rPr>
              <w:rFonts w:ascii="Cambria Math" w:hAnsi="Cambria Math"/>
            </w:rPr>
            <m:t>(u)</m:t>
          </m:r>
          <m:r>
            <w:rPr>
              <w:rFonts w:ascii="Cambria Math" w:hAnsi="Cambria Math"/>
            </w:rPr>
            <w:br/>
          </m:r>
        </m:oMath>
      </m:oMathPara>
    </w:p>
    <w:p w14:paraId="0DA818E2" w14:textId="063874D4" w:rsidR="001D1834" w:rsidRPr="001D1834" w:rsidRDefault="001D1834" w:rsidP="00872F21">
      <w:pPr>
        <w:pStyle w:val="font-claude-response-body"/>
        <w:jc w:val="both"/>
        <w:rPr>
          <w:i/>
          <w:iCs/>
        </w:rPr>
      </w:pPr>
      <w: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breach</m:t>
            </m:r>
          </m:sub>
        </m:sSub>
        <m:r>
          <w:rPr>
            <w:rFonts w:ascii="Cambria Math" w:hAnsi="Cambria Math"/>
          </w:rPr>
          <m:t>(u)=</m:t>
        </m:r>
        <m:r>
          <m:rPr>
            <m:sty m:val="p"/>
          </m:rPr>
          <w:rPr>
            <w:rFonts w:ascii="Cambria Math" w:hAnsi="Cambria Math"/>
          </w:rPr>
          <m:t>min</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s4</m:t>
            </m:r>
          </m:sub>
        </m:sSub>
        <m:r>
          <w:rPr>
            <w:rFonts w:ascii="Cambria Math" w:hAnsi="Cambria Math"/>
          </w:rPr>
          <m:t>(u,c)</m:t>
        </m:r>
        <m:r>
          <m:rPr>
            <m:sty m:val="p"/>
          </m:rPr>
          <w:rPr>
            <w:rFonts w:ascii="Cambria Math" w:hAnsi="Cambria Math"/>
          </w:rPr>
          <m:t>∣</m:t>
        </m:r>
        <m:r>
          <w:rPr>
            <w:rFonts w:ascii="Cambria Math" w:hAnsi="Cambria Math"/>
          </w:rPr>
          <m:t>&gt;2}</m:t>
        </m:r>
      </m:oMath>
      <w:r w:rsidR="007F2129">
        <w:t xml:space="preserve"> </w:t>
      </w:r>
      <w:r>
        <w:t xml:space="preserve">is the first cycle at which the regime-normalised EGT z-score exceeds the alert threshold. Engines that never breach the UWL before failure are treated as right-censored observations — a standard survival analysis convention meaning </w:t>
      </w:r>
      <w:r w:rsidRPr="001D1834">
        <w:rPr>
          <w:i/>
          <w:iCs/>
        </w:rPr>
        <w:t>"the event had not yet occurred when observation ended."</w:t>
      </w:r>
    </w:p>
    <w:p w14:paraId="79140686" w14:textId="430C2215" w:rsidR="001D1834" w:rsidRDefault="001D1834" w:rsidP="00872F21">
      <w:pPr>
        <w:pStyle w:val="font-claude-response-body"/>
        <w:jc w:val="both"/>
      </w:pPr>
      <w:r>
        <w:t>Think of the P-F interval as the maintenance planning window: the number of cycles the operator has between receiving the alert and being forced to act. Characterising its distribution — and understanding what drives its length — is the core purpose of this section.</w:t>
      </w:r>
    </w:p>
    <w:p w14:paraId="4BCABFC4" w14:textId="309C5921" w:rsidR="00666BF8" w:rsidRPr="00FA0528" w:rsidRDefault="00666BF8" w:rsidP="00666BF8">
      <w:pPr>
        <w:pStyle w:val="Heading3"/>
      </w:pPr>
      <w:r w:rsidRPr="00FA0528">
        <w:t>4.11.1 Sample Composition</w:t>
      </w:r>
    </w:p>
    <w:p w14:paraId="649B04D3" w14:textId="77777777" w:rsidR="00872F21" w:rsidRPr="00872F21" w:rsidRDefault="00872F21" w:rsidP="00872F21">
      <w:pPr>
        <w:spacing w:before="100" w:beforeAutospacing="1" w:after="100" w:afterAutospacing="1"/>
        <w:jc w:val="both"/>
        <w:rPr>
          <w:rFonts w:cs="Arial"/>
          <w:szCs w:val="20"/>
        </w:rPr>
      </w:pPr>
      <w:r w:rsidRPr="00872F21">
        <w:rPr>
          <w:rFonts w:cs="Arial"/>
          <w:szCs w:val="20"/>
        </w:rPr>
        <w:t>Of the 567 engines in the Internal Train partition, all 567 (100%) breach the UWL in s4 prior to failure. The censoring fraction is therefore 0.0%.</w:t>
      </w:r>
    </w:p>
    <w:p w14:paraId="2A150D50" w14:textId="53AE5F62" w:rsidR="00872F21" w:rsidRPr="00872F21" w:rsidRDefault="00872F21" w:rsidP="00872F21">
      <w:pPr>
        <w:spacing w:before="100" w:beforeAutospacing="1" w:after="100" w:afterAutospacing="1"/>
        <w:jc w:val="both"/>
        <w:rPr>
          <w:rFonts w:cs="Arial"/>
          <w:szCs w:val="20"/>
        </w:rPr>
      </w:pPr>
      <w:r w:rsidRPr="00872F21">
        <w:rPr>
          <w:rFonts w:cs="Arial"/>
          <w:szCs w:val="20"/>
        </w:rPr>
        <w:t>This result is expected from the C-MAPSS simulation design (Saxena &amp; Goebel, 2008</w:t>
      </w:r>
      <w:sdt>
        <w:sdtPr>
          <w:rPr>
            <w:rFonts w:cs="Arial"/>
            <w:szCs w:val="20"/>
          </w:rPr>
          <w:id w:val="-1193603856"/>
          <w:citation/>
        </w:sdtPr>
        <w:sdtContent>
          <w:r>
            <w:rPr>
              <w:rFonts w:cs="Arial"/>
              <w:szCs w:val="20"/>
            </w:rPr>
            <w:fldChar w:fldCharType="begin"/>
          </w:r>
          <w:r>
            <w:rPr>
              <w:rFonts w:cs="Arial"/>
              <w:szCs w:val="20"/>
            </w:rPr>
            <w:instrText xml:space="preserve"> CITATION Ack11 \l 2057 </w:instrText>
          </w:r>
          <w:r>
            <w:rPr>
              <w:rFonts w:cs="Arial"/>
              <w:szCs w:val="20"/>
            </w:rPr>
            <w:fldChar w:fldCharType="separate"/>
          </w:r>
          <w:r w:rsidR="0074017E">
            <w:rPr>
              <w:rFonts w:cs="Arial"/>
              <w:noProof/>
              <w:szCs w:val="20"/>
            </w:rPr>
            <w:t xml:space="preserve"> </w:t>
          </w:r>
          <w:r w:rsidR="0074017E" w:rsidRPr="0074017E">
            <w:rPr>
              <w:rFonts w:cs="Arial"/>
              <w:noProof/>
              <w:szCs w:val="20"/>
            </w:rPr>
            <w:t>[1]</w:t>
          </w:r>
          <w:r>
            <w:rPr>
              <w:rFonts w:cs="Arial"/>
              <w:szCs w:val="20"/>
            </w:rPr>
            <w:fldChar w:fldCharType="end"/>
          </w:r>
        </w:sdtContent>
      </w:sdt>
      <w:r w:rsidRPr="00872F21">
        <w:rPr>
          <w:rFonts w:cs="Arial"/>
          <w:szCs w:val="20"/>
        </w:rPr>
        <w:t>): all trajectories terminate at functional failure, and all engines undergo progressive HPC efficiency loss that manifests as EGT elevation. In a real fleet, some engines would be removed for reasons other than EGT degradation (scheduled maintenance, bird strike, borescope findings), producing genuine censored observations. The zero censoring fraction is a property of the simulation environment, not a claim about operational fleets, and is noted as a structural limitation of C-MAPSS as a proxy for real operational data.</w:t>
      </w:r>
    </w:p>
    <w:p w14:paraId="72FC61E9" w14:textId="77777777" w:rsidR="00666BF8" w:rsidRPr="00FA0528" w:rsidRDefault="00666BF8" w:rsidP="00666BF8">
      <w:pPr>
        <w:pStyle w:val="Heading3"/>
      </w:pPr>
      <w:r w:rsidRPr="00FA0528">
        <w:t>4.11.2 Kaplan-Meier Estimation</w:t>
      </w:r>
    </w:p>
    <w:p w14:paraId="57DED2D7" w14:textId="03543787" w:rsidR="00872F21" w:rsidRDefault="00872F21" w:rsidP="00666BF8">
      <w:pPr>
        <w:spacing w:before="100" w:beforeAutospacing="1" w:after="100" w:afterAutospacing="1"/>
        <w:jc w:val="both"/>
        <w:rPr>
          <w:rFonts w:cs="Arial"/>
          <w:szCs w:val="20"/>
        </w:rPr>
      </w:pPr>
      <w:r>
        <w:rPr>
          <w:rStyle w:val="Strong"/>
        </w:rPr>
        <w:t>What it does:</w:t>
      </w:r>
      <w:r>
        <w:t xml:space="preserve"> Before fitting any model, it is important to let the data describe itself. The Kaplan-Meier estimator </w:t>
      </w:r>
      <w:r w:rsidRPr="00FA0528">
        <w:rPr>
          <w:rFonts w:cs="Arial"/>
          <w:szCs w:val="20"/>
        </w:rPr>
        <w:t>(Kaplan &amp; Meier, 1958)</w:t>
      </w:r>
      <w:r w:rsidRPr="000C4627">
        <w:rPr>
          <w:rStyle w:val="FootnoteReference"/>
          <w:rFonts w:cs="Arial"/>
          <w:color w:val="E97132" w:themeColor="accent2"/>
          <w:szCs w:val="20"/>
        </w:rPr>
        <w:footnoteReference w:id="6"/>
      </w:r>
      <w:sdt>
        <w:sdtPr>
          <w:rPr>
            <w:rFonts w:cs="Arial"/>
            <w:szCs w:val="20"/>
          </w:rPr>
          <w:id w:val="-1169560828"/>
          <w:citation/>
        </w:sdtPr>
        <w:sdtContent>
          <w:r>
            <w:rPr>
              <w:rFonts w:cs="Arial"/>
              <w:szCs w:val="20"/>
            </w:rPr>
            <w:fldChar w:fldCharType="begin"/>
          </w:r>
          <w:r>
            <w:rPr>
              <w:rFonts w:cs="Arial"/>
              <w:szCs w:val="20"/>
            </w:rPr>
            <w:instrText xml:space="preserve"> CITATION Kap58 \l 2057 </w:instrText>
          </w:r>
          <w:r>
            <w:rPr>
              <w:rFonts w:cs="Arial"/>
              <w:szCs w:val="20"/>
            </w:rPr>
            <w:fldChar w:fldCharType="separate"/>
          </w:r>
          <w:r w:rsidR="0074017E">
            <w:rPr>
              <w:rFonts w:cs="Arial"/>
              <w:noProof/>
              <w:szCs w:val="20"/>
            </w:rPr>
            <w:t xml:space="preserve"> </w:t>
          </w:r>
          <w:r w:rsidR="0074017E" w:rsidRPr="0074017E">
            <w:rPr>
              <w:rFonts w:cs="Arial"/>
              <w:noProof/>
              <w:szCs w:val="20"/>
            </w:rPr>
            <w:t>[10]</w:t>
          </w:r>
          <w:r>
            <w:rPr>
              <w:rFonts w:cs="Arial"/>
              <w:szCs w:val="20"/>
            </w:rPr>
            <w:fldChar w:fldCharType="end"/>
          </w:r>
        </w:sdtContent>
      </w:sdt>
      <w:r>
        <w:t xml:space="preserve"> produces an empirical survival curve — a picture of what fraction of engines are still within their P-F window after </w:t>
      </w:r>
      <m:oMath>
        <m:r>
          <w:rPr>
            <w:rFonts w:ascii="Cambria Math" w:hAnsi="Cambria Math"/>
          </w:rPr>
          <m:t>t</m:t>
        </m:r>
      </m:oMath>
      <w:r>
        <w:t xml:space="preserve"> cycles, computed directly from the data without assuming any particular distribution shape.</w:t>
      </w:r>
    </w:p>
    <w:p w14:paraId="3FD0C513" w14:textId="24178840" w:rsidR="00872F21" w:rsidRPr="00872F21" w:rsidRDefault="00872F21" w:rsidP="00872F21">
      <w:pPr>
        <w:spacing w:before="100" w:beforeAutospacing="1" w:after="100" w:afterAutospacing="1"/>
        <w:jc w:val="both"/>
        <w:rPr>
          <w:rFonts w:cs="Arial"/>
          <w:szCs w:val="20"/>
        </w:rPr>
      </w:pPr>
      <w:r w:rsidRPr="00872F21">
        <w:rPr>
          <w:rFonts w:cs="Arial"/>
          <w:szCs w:val="20"/>
        </w:rPr>
        <w:t>The Kaplan-Meier estimator is defined as:</w:t>
      </w:r>
    </w:p>
    <w:p w14:paraId="47254A09" w14:textId="6F9AF5AE" w:rsidR="00872F21" w:rsidRPr="00872F21" w:rsidRDefault="00000000" w:rsidP="00872F21">
      <w:pPr>
        <w:jc w:val="both"/>
        <w:rPr>
          <w:rFonts w:cs="Arial"/>
          <w:szCs w:val="20"/>
        </w:rPr>
      </w:pPr>
      <m:oMathPara>
        <m:oMath>
          <m:acc>
            <m:accPr>
              <m:ctrlPr>
                <w:rPr>
                  <w:rFonts w:ascii="Cambria Math" w:hAnsi="Cambria Math" w:cs="Arial"/>
                  <w:szCs w:val="20"/>
                </w:rPr>
              </m:ctrlPr>
            </m:accPr>
            <m:e>
              <m:r>
                <w:rPr>
                  <w:rFonts w:ascii="Cambria Math" w:hAnsi="Cambria Math" w:cs="Arial"/>
                  <w:szCs w:val="20"/>
                </w:rPr>
                <m:t>S</m:t>
              </m:r>
            </m:e>
          </m:acc>
          <m:r>
            <w:rPr>
              <w:rFonts w:ascii="Cambria Math" w:hAnsi="Cambria Math" w:cs="Arial"/>
              <w:szCs w:val="20"/>
            </w:rPr>
            <m:t>(t)=</m:t>
          </m:r>
          <m:nary>
            <m:naryPr>
              <m:chr m:val="∏"/>
              <m:limLoc m:val="undOvr"/>
              <m:grow m:val="1"/>
              <m:supHide m:val="1"/>
              <m:ctrlPr>
                <w:rPr>
                  <w:rFonts w:ascii="Cambria Math" w:hAnsi="Cambria Math" w:cs="Arial"/>
                  <w:szCs w:val="20"/>
                </w:rPr>
              </m:ctrlPr>
            </m:naryPr>
            <m:sub>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 xml:space="preserve"> ≤ t</m:t>
              </m:r>
            </m:sub>
            <m:sup/>
            <m:e>
              <m:d>
                <m:dPr>
                  <m:ctrlPr>
                    <w:rPr>
                      <w:rFonts w:ascii="Cambria Math" w:hAnsi="Cambria Math" w:cs="Arial"/>
                      <w:szCs w:val="20"/>
                    </w:rPr>
                  </m:ctrlPr>
                </m:dPr>
                <m:e>
                  <m:r>
                    <w:rPr>
                      <w:rFonts w:ascii="Cambria Math" w:hAnsi="Cambria Math" w:cs="Arial"/>
                      <w:szCs w:val="20"/>
                    </w:rPr>
                    <m:t>1-</m:t>
                  </m:r>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num>
                    <m:den>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den>
                  </m:f>
                </m:e>
              </m:d>
            </m:e>
          </m:nary>
          <m:r>
            <m:rPr>
              <m:sty m:val="p"/>
            </m:rPr>
            <w:rPr>
              <w:rFonts w:cs="Arial"/>
              <w:szCs w:val="20"/>
            </w:rPr>
            <w:br/>
          </m:r>
        </m:oMath>
      </m:oMathPara>
    </w:p>
    <w:p w14:paraId="7C9616D4" w14:textId="4A45402D" w:rsidR="00872F21" w:rsidRPr="00872F21" w:rsidRDefault="00872F21" w:rsidP="00872F21">
      <w:pPr>
        <w:spacing w:before="100" w:beforeAutospacing="1" w:after="100" w:afterAutospacing="1"/>
        <w:jc w:val="both"/>
        <w:rPr>
          <w:rFonts w:cs="Arial"/>
          <w:szCs w:val="20"/>
        </w:rPr>
      </w:pPr>
      <w:r w:rsidRPr="00872F21">
        <w:rPr>
          <w:rFonts w:cs="Arial"/>
          <w:szCs w:val="20"/>
        </w:rPr>
        <w:t xml:space="preserve">where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Pr>
          <w:rFonts w:cs="Arial"/>
          <w:szCs w:val="20"/>
        </w:rPr>
        <w:t xml:space="preserve"> </w:t>
      </w:r>
      <w:r w:rsidRPr="00872F21">
        <w:rPr>
          <w:rFonts w:cs="Arial"/>
          <w:szCs w:val="20"/>
        </w:rPr>
        <w:t xml:space="preserve">denotes the </w:t>
      </w:r>
      <m:oMath>
        <m:r>
          <w:rPr>
            <w:rFonts w:ascii="Cambria Math" w:hAnsi="Cambria Math" w:cs="Arial"/>
            <w:szCs w:val="20"/>
          </w:rPr>
          <m:t>i</m:t>
        </m:r>
      </m:oMath>
      <w:r w:rsidRPr="00872F21">
        <w:rPr>
          <w:rFonts w:cs="Arial"/>
          <w:szCs w:val="20"/>
        </w:rPr>
        <w:t xml:space="preserve">-th distinct failure time, </w:t>
      </w:r>
      <m:oMath>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oMath>
      <w:r>
        <w:rPr>
          <w:rFonts w:cs="Arial"/>
          <w:szCs w:val="20"/>
        </w:rPr>
        <w:t xml:space="preserve"> </w:t>
      </w:r>
      <w:r w:rsidRPr="00872F21">
        <w:rPr>
          <w:rFonts w:cs="Arial"/>
          <w:szCs w:val="20"/>
        </w:rPr>
        <w:t xml:space="preserve">the number of failures at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872F21">
        <w:rPr>
          <w:rFonts w:cs="Arial"/>
          <w:szCs w:val="20"/>
        </w:rPr>
        <w:t xml:space="preserve">, and </w:t>
      </w:r>
      <m:oMath>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oMath>
      <w:r>
        <w:rPr>
          <w:rFonts w:cs="Arial"/>
          <w:szCs w:val="20"/>
        </w:rPr>
        <w:t xml:space="preserve"> </w:t>
      </w:r>
      <w:r w:rsidRPr="00872F21">
        <w:rPr>
          <w:rFonts w:cs="Arial"/>
          <w:szCs w:val="20"/>
        </w:rPr>
        <w:t xml:space="preserve">the number of engines at risk immediately prior to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872F21">
        <w:rPr>
          <w:rFonts w:cs="Arial"/>
          <w:szCs w:val="20"/>
        </w:rPr>
        <w:t xml:space="preserve">. At each observed failure time, the survival probability is multiplied by the fraction of at-risk engines that did not fail — a rolling product that decays from 1.0 at </w:t>
      </w:r>
      <m:oMath>
        <m:r>
          <w:rPr>
            <w:rFonts w:ascii="Cambria Math" w:hAnsi="Cambria Math" w:cs="Arial"/>
            <w:szCs w:val="20"/>
          </w:rPr>
          <m:t>t=0</m:t>
        </m:r>
      </m:oMath>
      <w:r>
        <w:rPr>
          <w:rFonts w:cs="Arial"/>
          <w:szCs w:val="20"/>
        </w:rPr>
        <w:t xml:space="preserve"> </w:t>
      </w:r>
      <w:r w:rsidRPr="00872F21">
        <w:rPr>
          <w:rFonts w:cs="Arial"/>
          <w:szCs w:val="20"/>
        </w:rPr>
        <w:t xml:space="preserve">toward 0.0 as engines progressively fail. </w:t>
      </w:r>
    </w:p>
    <w:p w14:paraId="24F6C1DF" w14:textId="77777777" w:rsidR="00872F21" w:rsidRPr="00872F21" w:rsidRDefault="00872F21" w:rsidP="00872F21">
      <w:pPr>
        <w:spacing w:before="100" w:beforeAutospacing="1" w:after="100" w:afterAutospacing="1"/>
        <w:jc w:val="both"/>
        <w:rPr>
          <w:rFonts w:cs="Arial"/>
          <w:szCs w:val="20"/>
        </w:rPr>
      </w:pPr>
      <w:r w:rsidRPr="00872F21">
        <w:rPr>
          <w:rFonts w:cs="Arial"/>
          <w:szCs w:val="20"/>
        </w:rPr>
        <w:t>Curves were fitted for the overall training population and stratified by fault mode family (single-fault: FD001/FD002; dual-fault: FD003/FD004). The stratified curves provide the first empirical answer to the question of whether the maintenance planning window is materially different for engines experiencing HPC-only versus HPC-plus-fan degradation.</w:t>
      </w:r>
    </w:p>
    <w:p w14:paraId="0C02485C" w14:textId="77777777" w:rsidR="00872F21" w:rsidRDefault="00872F21">
      <w:pPr>
        <w:rPr>
          <w:rFonts w:cs="Arial"/>
          <w:b/>
          <w:bCs/>
          <w:i/>
          <w:iCs/>
          <w:color w:val="1B3A5C"/>
          <w:szCs w:val="20"/>
        </w:rPr>
      </w:pPr>
      <w:r>
        <w:rPr>
          <w:rFonts w:cs="Arial"/>
          <w:b/>
          <w:bCs/>
          <w:i/>
          <w:iCs/>
          <w:color w:val="1B3A5C"/>
          <w:szCs w:val="20"/>
        </w:rPr>
        <w:br w:type="page"/>
      </w:r>
    </w:p>
    <w:p w14:paraId="4CBD1DA2" w14:textId="5DBBE30D" w:rsidR="00666BF8" w:rsidRPr="00FA0528" w:rsidRDefault="00666BF8" w:rsidP="00666BF8">
      <w:pPr>
        <w:spacing w:before="100" w:beforeAutospacing="1" w:after="100" w:afterAutospacing="1" w:line="278" w:lineRule="auto"/>
        <w:jc w:val="both"/>
        <w:rPr>
          <w:rFonts w:eastAsiaTheme="minorHAnsi" w:cs="Arial"/>
          <w:i/>
          <w:iCs/>
          <w:kern w:val="2"/>
          <w:szCs w:val="20"/>
          <w:lang w:eastAsia="en-US"/>
          <w14:ligatures w14:val="standardContextual"/>
        </w:rPr>
      </w:pPr>
      <w:r>
        <w:rPr>
          <w:rFonts w:cs="Arial"/>
          <w:b/>
          <w:bCs/>
          <w:i/>
          <w:iCs/>
          <w:color w:val="1B3A5C"/>
          <w:szCs w:val="20"/>
        </w:rPr>
        <w:lastRenderedPageBreak/>
        <w:t>Figure 5. G12: Kaplan-Meier Survival Curves — Overall and Stratified by Fault Mode Family</w:t>
      </w:r>
    </w:p>
    <w:p w14:paraId="0E26AC3E" w14:textId="77777777" w:rsidR="00666BF8" w:rsidRPr="00FA0528" w:rsidRDefault="00666BF8" w:rsidP="00666BF8">
      <w:pPr>
        <w:spacing w:before="100" w:beforeAutospacing="1" w:after="100" w:afterAutospacing="1"/>
        <w:jc w:val="both"/>
        <w:rPr>
          <w:rFonts w:cs="Arial"/>
          <w:szCs w:val="20"/>
        </w:rPr>
      </w:pPr>
      <w:r>
        <w:rPr>
          <w:noProof/>
        </w:rPr>
        <w:drawing>
          <wp:inline distT="0" distB="0" distL="0" distR="0" wp14:anchorId="6B5CE740" wp14:editId="153CCA5B">
            <wp:extent cx="5731510" cy="2221865"/>
            <wp:effectExtent l="0" t="0" r="0" b="635"/>
            <wp:docPr id="107686800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8003" name="Picture 1"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7CAA7892" w14:textId="77777777" w:rsidR="00666BF8" w:rsidRPr="00FA0528" w:rsidRDefault="00666BF8" w:rsidP="00666BF8">
      <w:pPr>
        <w:pStyle w:val="Heading3"/>
      </w:pPr>
      <w:r w:rsidRPr="00FA0528">
        <w:t>4.11.3 Log-Rank Test: Fault Mode Family Stratification</w:t>
      </w:r>
    </w:p>
    <w:p w14:paraId="4742AFE5" w14:textId="77777777" w:rsidR="00BF2439" w:rsidRPr="00BF2439" w:rsidRDefault="00BF2439" w:rsidP="00BF2439">
      <w:pPr>
        <w:spacing w:before="100" w:beforeAutospacing="1" w:after="100" w:afterAutospacing="1"/>
        <w:jc w:val="both"/>
        <w:rPr>
          <w:rFonts w:cs="Arial"/>
          <w:szCs w:val="20"/>
        </w:rPr>
      </w:pPr>
      <w:r w:rsidRPr="00BF2439">
        <w:rPr>
          <w:rFonts w:cs="Arial"/>
          <w:b/>
          <w:bCs/>
          <w:szCs w:val="20"/>
        </w:rPr>
        <w:t>What it does:</w:t>
      </w:r>
      <w:r w:rsidRPr="00BF2439">
        <w:rPr>
          <w:rFonts w:cs="Arial"/>
          <w:szCs w:val="20"/>
        </w:rPr>
        <w:t xml:space="preserve"> The Kaplan-Meier curves show the survival profiles visually. The log-rank test provides a formal statistical answer to the question: </w:t>
      </w:r>
      <w:r w:rsidRPr="00BF2439">
        <w:rPr>
          <w:rFonts w:cs="Arial"/>
          <w:i/>
          <w:iCs/>
          <w:szCs w:val="20"/>
        </w:rPr>
        <w:t>are the two curves actually different, or is the apparent separation within the range of sampling noise?</w:t>
      </w:r>
    </w:p>
    <w:p w14:paraId="6462CFDD" w14:textId="662E1BC7" w:rsidR="00BF2439" w:rsidRPr="00BF2439" w:rsidRDefault="00BF2439" w:rsidP="00BF2439">
      <w:pPr>
        <w:spacing w:before="100" w:beforeAutospacing="1" w:after="100" w:afterAutospacing="1"/>
        <w:jc w:val="both"/>
        <w:rPr>
          <w:rFonts w:cs="Arial"/>
          <w:szCs w:val="20"/>
        </w:rPr>
      </w:pPr>
      <w:r w:rsidRPr="00BF2439">
        <w:rPr>
          <w:rFonts w:cs="Arial"/>
          <w:szCs w:val="20"/>
        </w:rPr>
        <w:t>The log-rank test (Mantel, 1966</w:t>
      </w:r>
      <w:sdt>
        <w:sdtPr>
          <w:rPr>
            <w:rFonts w:cs="Arial"/>
            <w:szCs w:val="20"/>
          </w:rPr>
          <w:id w:val="-318654557"/>
          <w:citation/>
        </w:sdtPr>
        <w:sdtContent>
          <w:r>
            <w:rPr>
              <w:rFonts w:cs="Arial"/>
              <w:szCs w:val="20"/>
            </w:rPr>
            <w:fldChar w:fldCharType="begin"/>
          </w:r>
          <w:r>
            <w:rPr>
              <w:rFonts w:cs="Arial"/>
              <w:szCs w:val="20"/>
            </w:rPr>
            <w:instrText xml:space="preserve"> CITATION Man66 \l 2057 </w:instrText>
          </w:r>
          <w:r>
            <w:rPr>
              <w:rFonts w:cs="Arial"/>
              <w:szCs w:val="20"/>
            </w:rPr>
            <w:fldChar w:fldCharType="separate"/>
          </w:r>
          <w:r w:rsidR="0074017E">
            <w:rPr>
              <w:rFonts w:cs="Arial"/>
              <w:noProof/>
              <w:szCs w:val="20"/>
            </w:rPr>
            <w:t xml:space="preserve"> </w:t>
          </w:r>
          <w:r w:rsidR="0074017E" w:rsidRPr="0074017E">
            <w:rPr>
              <w:rFonts w:cs="Arial"/>
              <w:noProof/>
              <w:szCs w:val="20"/>
            </w:rPr>
            <w:t>[11]</w:t>
          </w:r>
          <w:r>
            <w:rPr>
              <w:rFonts w:cs="Arial"/>
              <w:szCs w:val="20"/>
            </w:rPr>
            <w:fldChar w:fldCharType="end"/>
          </w:r>
        </w:sdtContent>
      </w:sdt>
      <w:r w:rsidRPr="00BF2439">
        <w:rPr>
          <w:rFonts w:cs="Arial"/>
          <w:szCs w:val="20"/>
        </w:rPr>
        <w:t>) compares the observed number of failures in each group against the number expected under the null hypothesis of identical survival functions:</w:t>
      </w:r>
    </w:p>
    <w:p w14:paraId="3DCD2BCD" w14:textId="77777777" w:rsidR="00BF2439" w:rsidRPr="00BF2439" w:rsidRDefault="00000000" w:rsidP="00BF2439">
      <w:pPr>
        <w:jc w:val="both"/>
        <w:rPr>
          <w:rFonts w:cs="Arial"/>
          <w:szCs w:val="20"/>
        </w:rPr>
      </w:pPr>
      <m:oMathPara>
        <m:oMath>
          <m:sSubSup>
            <m:sSubSupPr>
              <m:ctrlPr>
                <w:rPr>
                  <w:rFonts w:ascii="Cambria Math" w:hAnsi="Cambria Math" w:cs="Arial"/>
                  <w:szCs w:val="20"/>
                </w:rPr>
              </m:ctrlPr>
            </m:sSubSupPr>
            <m:e>
              <m:r>
                <w:rPr>
                  <w:rFonts w:ascii="Cambria Math" w:hAnsi="Cambria Math" w:cs="Arial"/>
                  <w:szCs w:val="20"/>
                </w:rPr>
                <m:t>χ</m:t>
              </m:r>
            </m:e>
            <m:sub>
              <m:r>
                <m:rPr>
                  <m:sty m:val="p"/>
                </m:rPr>
                <w:rPr>
                  <w:rFonts w:ascii="Cambria Math" w:hAnsi="Cambria Math" w:cs="Arial"/>
                  <w:szCs w:val="20"/>
                </w:rPr>
                <m:t>LR</m:t>
              </m:r>
            </m:sub>
            <m:sup>
              <m:r>
                <w:rPr>
                  <w:rFonts w:ascii="Cambria Math" w:hAnsi="Cambria Math" w:cs="Arial"/>
                  <w:szCs w:val="20"/>
                </w:rPr>
                <m:t>2</m:t>
              </m:r>
            </m:sup>
          </m:sSubSup>
          <m:r>
            <w:rPr>
              <w:rFonts w:ascii="Cambria Math" w:hAnsi="Cambria Math" w:cs="Arial"/>
              <w:szCs w:val="20"/>
            </w:rPr>
            <m:t>=</m:t>
          </m:r>
          <m:f>
            <m:fPr>
              <m:ctrlPr>
                <w:rPr>
                  <w:rFonts w:ascii="Cambria Math" w:hAnsi="Cambria Math" w:cs="Arial"/>
                  <w:szCs w:val="20"/>
                </w:rPr>
              </m:ctrlPr>
            </m:fPr>
            <m:num>
              <m:sSup>
                <m:sSupPr>
                  <m:ctrlPr>
                    <w:rPr>
                      <w:rFonts w:ascii="Cambria Math" w:hAnsi="Cambria Math" w:cs="Arial"/>
                      <w:szCs w:val="20"/>
                    </w:rPr>
                  </m:ctrlPr>
                </m:sSupPr>
                <m:e>
                  <m:d>
                    <m:dPr>
                      <m:ctrlPr>
                        <w:rPr>
                          <w:rFonts w:ascii="Cambria Math" w:hAnsi="Cambria Math" w:cs="Arial"/>
                          <w:szCs w:val="20"/>
                        </w:rPr>
                      </m:ctrlPr>
                    </m:dPr>
                    <m:e>
                      <m:nary>
                        <m:naryPr>
                          <m:chr m:val="∑"/>
                          <m:limLoc m:val="undOvr"/>
                          <m:grow m:val="1"/>
                          <m:supHide m:val="1"/>
                          <m:ctrlPr>
                            <w:rPr>
                              <w:rFonts w:ascii="Cambria Math" w:hAnsi="Cambria Math" w:cs="Arial"/>
                              <w:szCs w:val="20"/>
                            </w:rPr>
                          </m:ctrlPr>
                        </m:naryPr>
                        <m:sub>
                          <m:r>
                            <w:rPr>
                              <w:rFonts w:ascii="Cambria Math" w:hAnsi="Cambria Math" w:cs="Arial"/>
                              <w:szCs w:val="20"/>
                            </w:rPr>
                            <m:t>i</m:t>
                          </m:r>
                        </m:sub>
                        <m:sup/>
                        <m:e>
                          <m:r>
                            <w:rPr>
                              <w:rFonts w:ascii="Cambria Math" w:hAnsi="Cambria Math" w:cs="Arial"/>
                              <w:szCs w:val="20"/>
                            </w:rPr>
                            <m:t>(</m:t>
                          </m:r>
                        </m:e>
                      </m:nary>
                      <m:sSub>
                        <m:sSubPr>
                          <m:ctrlPr>
                            <w:rPr>
                              <w:rFonts w:ascii="Cambria Math" w:hAnsi="Cambria Math" w:cs="Arial"/>
                              <w:szCs w:val="20"/>
                            </w:rPr>
                          </m:ctrlPr>
                        </m:sSubPr>
                        <m:e>
                          <m:r>
                            <w:rPr>
                              <w:rFonts w:ascii="Cambria Math" w:hAnsi="Cambria Math" w:cs="Arial"/>
                              <w:szCs w:val="20"/>
                            </w:rPr>
                            <m:t>O</m:t>
                          </m:r>
                        </m:e>
                        <m:sub>
                          <m:r>
                            <w:rPr>
                              <w:rFonts w:ascii="Cambria Math" w:hAnsi="Cambria Math" w:cs="Arial"/>
                              <w:szCs w:val="20"/>
                            </w:rPr>
                            <m:t>1i</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E</m:t>
                          </m:r>
                        </m:e>
                        <m:sub>
                          <m:r>
                            <w:rPr>
                              <w:rFonts w:ascii="Cambria Math" w:hAnsi="Cambria Math" w:cs="Arial"/>
                              <w:szCs w:val="20"/>
                            </w:rPr>
                            <m:t>1i</m:t>
                          </m:r>
                        </m:sub>
                      </m:sSub>
                      <m:r>
                        <w:rPr>
                          <w:rFonts w:ascii="Cambria Math" w:hAnsi="Cambria Math" w:cs="Arial"/>
                          <w:szCs w:val="20"/>
                        </w:rPr>
                        <m:t>)</m:t>
                      </m:r>
                    </m:e>
                  </m:d>
                </m:e>
                <m:sup>
                  <m:r>
                    <w:rPr>
                      <w:rFonts w:ascii="Cambria Math" w:hAnsi="Cambria Math" w:cs="Arial"/>
                      <w:szCs w:val="20"/>
                    </w:rPr>
                    <m:t>2</m:t>
                  </m:r>
                </m:sup>
              </m:sSup>
            </m:num>
            <m:den>
              <m:nary>
                <m:naryPr>
                  <m:chr m:val="∑"/>
                  <m:limLoc m:val="undOvr"/>
                  <m:grow m:val="1"/>
                  <m:supHide m:val="1"/>
                  <m:ctrlPr>
                    <w:rPr>
                      <w:rFonts w:ascii="Cambria Math" w:hAnsi="Cambria Math" w:cs="Arial"/>
                      <w:szCs w:val="20"/>
                    </w:rPr>
                  </m:ctrlPr>
                </m:naryPr>
                <m:sub>
                  <m:r>
                    <w:rPr>
                      <w:rFonts w:ascii="Cambria Math" w:hAnsi="Cambria Math" w:cs="Arial"/>
                      <w:szCs w:val="20"/>
                    </w:rPr>
                    <m:t>i</m:t>
                  </m:r>
                </m:sub>
                <m:sup/>
                <m:e>
                  <m:sSub>
                    <m:sSubPr>
                      <m:ctrlPr>
                        <w:rPr>
                          <w:rFonts w:ascii="Cambria Math" w:hAnsi="Cambria Math" w:cs="Arial"/>
                          <w:szCs w:val="20"/>
                        </w:rPr>
                      </m:ctrlPr>
                    </m:sSubPr>
                    <m:e>
                      <m:r>
                        <w:rPr>
                          <w:rFonts w:ascii="Cambria Math" w:hAnsi="Cambria Math" w:cs="Arial"/>
                          <w:szCs w:val="20"/>
                        </w:rPr>
                        <m:t>V</m:t>
                      </m:r>
                    </m:e>
                    <m:sub>
                      <m:r>
                        <w:rPr>
                          <w:rFonts w:ascii="Cambria Math" w:hAnsi="Cambria Math" w:cs="Arial"/>
                          <w:szCs w:val="20"/>
                        </w:rPr>
                        <m:t>i</m:t>
                      </m:r>
                    </m:sub>
                  </m:sSub>
                </m:e>
              </m:nary>
            </m:den>
          </m:f>
          <m:r>
            <m:rPr>
              <m:sty m:val="p"/>
            </m:rPr>
            <w:rPr>
              <w:rFonts w:cs="Arial"/>
              <w:szCs w:val="20"/>
            </w:rPr>
            <w:br/>
          </m:r>
        </m:oMath>
      </m:oMathPara>
    </w:p>
    <w:p w14:paraId="03161B23" w14:textId="7FBD6712" w:rsidR="00BF2439" w:rsidRPr="00BF2439" w:rsidRDefault="00BF2439" w:rsidP="00BF2439">
      <w:pPr>
        <w:spacing w:before="100" w:beforeAutospacing="1" w:after="100" w:afterAutospacing="1"/>
        <w:jc w:val="both"/>
        <w:rPr>
          <w:rFonts w:cs="Arial"/>
          <w:szCs w:val="20"/>
        </w:rPr>
      </w:pPr>
      <w:r w:rsidRPr="00BF2439">
        <w:rPr>
          <w:rFonts w:cs="Arial"/>
          <w:szCs w:val="20"/>
        </w:rPr>
        <w:t xml:space="preserve">where </w:t>
      </w:r>
      <m:oMath>
        <m:sSub>
          <m:sSubPr>
            <m:ctrlPr>
              <w:rPr>
                <w:rFonts w:ascii="Cambria Math" w:hAnsi="Cambria Math" w:cs="Arial"/>
                <w:szCs w:val="20"/>
              </w:rPr>
            </m:ctrlPr>
          </m:sSubPr>
          <m:e>
            <m:r>
              <w:rPr>
                <w:rFonts w:ascii="Cambria Math" w:hAnsi="Cambria Math" w:cs="Arial"/>
                <w:szCs w:val="20"/>
              </w:rPr>
              <m:t>O</m:t>
            </m:r>
          </m:e>
          <m:sub>
            <m:r>
              <w:rPr>
                <w:rFonts w:ascii="Cambria Math" w:hAnsi="Cambria Math" w:cs="Arial"/>
                <w:szCs w:val="20"/>
              </w:rPr>
              <m:t>1i</m:t>
            </m:r>
          </m:sub>
        </m:sSub>
      </m:oMath>
      <w:r>
        <w:rPr>
          <w:rFonts w:cs="Arial"/>
          <w:szCs w:val="20"/>
        </w:rPr>
        <w:t xml:space="preserve"> </w:t>
      </w:r>
      <w:r w:rsidRPr="00BF2439">
        <w:rPr>
          <w:rFonts w:cs="Arial"/>
          <w:szCs w:val="20"/>
        </w:rPr>
        <w:t xml:space="preserve">and </w:t>
      </w:r>
      <m:oMath>
        <m:sSub>
          <m:sSubPr>
            <m:ctrlPr>
              <w:rPr>
                <w:rFonts w:ascii="Cambria Math" w:hAnsi="Cambria Math" w:cs="Arial"/>
                <w:szCs w:val="20"/>
              </w:rPr>
            </m:ctrlPr>
          </m:sSubPr>
          <m:e>
            <m:r>
              <w:rPr>
                <w:rFonts w:ascii="Cambria Math" w:hAnsi="Cambria Math" w:cs="Arial"/>
                <w:szCs w:val="20"/>
              </w:rPr>
              <m:t>E</m:t>
            </m:r>
          </m:e>
          <m:sub>
            <m:r>
              <w:rPr>
                <w:rFonts w:ascii="Cambria Math" w:hAnsi="Cambria Math" w:cs="Arial"/>
                <w:szCs w:val="20"/>
              </w:rPr>
              <m:t>1i</m:t>
            </m:r>
          </m:sub>
        </m:sSub>
      </m:oMath>
      <w:r>
        <w:rPr>
          <w:rFonts w:cs="Arial"/>
          <w:szCs w:val="20"/>
        </w:rPr>
        <w:t xml:space="preserve"> </w:t>
      </w:r>
      <w:r w:rsidRPr="00BF2439">
        <w:rPr>
          <w:rFonts w:cs="Arial"/>
          <w:szCs w:val="20"/>
        </w:rPr>
        <w:t xml:space="preserve">are the observed and expected failures in group 1 at time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BF2439">
        <w:rPr>
          <w:rFonts w:cs="Arial"/>
          <w:szCs w:val="20"/>
        </w:rPr>
        <w:t xml:space="preserve">, and </w:t>
      </w:r>
      <m:oMath>
        <m:sSub>
          <m:sSubPr>
            <m:ctrlPr>
              <w:rPr>
                <w:rFonts w:ascii="Cambria Math" w:hAnsi="Cambria Math" w:cs="Arial"/>
                <w:szCs w:val="20"/>
              </w:rPr>
            </m:ctrlPr>
          </m:sSubPr>
          <m:e>
            <m:r>
              <w:rPr>
                <w:rFonts w:ascii="Cambria Math" w:hAnsi="Cambria Math" w:cs="Arial"/>
                <w:szCs w:val="20"/>
              </w:rPr>
              <m:t>V</m:t>
            </m:r>
          </m:e>
          <m:sub>
            <m:r>
              <w:rPr>
                <w:rFonts w:ascii="Cambria Math" w:hAnsi="Cambria Math" w:cs="Arial"/>
                <w:szCs w:val="20"/>
              </w:rPr>
              <m:t>i</m:t>
            </m:r>
          </m:sub>
        </m:sSub>
      </m:oMath>
      <w:r>
        <w:rPr>
          <w:rFonts w:cs="Arial"/>
          <w:szCs w:val="20"/>
        </w:rPr>
        <w:t xml:space="preserve"> </w:t>
      </w:r>
      <w:r w:rsidRPr="00BF2439">
        <w:rPr>
          <w:rFonts w:cs="Arial"/>
          <w:szCs w:val="20"/>
        </w:rPr>
        <w:t>is the hypergeometric variance.</w:t>
      </w:r>
    </w:p>
    <w:p w14:paraId="2EEE5694" w14:textId="5614F907" w:rsidR="00666BF8" w:rsidRPr="005B0FA3" w:rsidRDefault="00666BF8" w:rsidP="00666BF8">
      <w:pPr>
        <w:spacing w:before="100" w:beforeAutospacing="1" w:after="100" w:afterAutospacing="1"/>
        <w:jc w:val="both"/>
        <w:rPr>
          <w:rFonts w:cs="Arial"/>
          <w:i/>
          <w:iCs/>
          <w:szCs w:val="20"/>
        </w:rPr>
      </w:pPr>
      <w:r w:rsidRPr="005B0FA3">
        <w:rPr>
          <w:rFonts w:cs="Arial"/>
          <w:b/>
          <w:bCs/>
          <w:i/>
          <w:iCs/>
          <w:color w:val="1B3A5C"/>
          <w:szCs w:val="20"/>
        </w:rPr>
        <w:t xml:space="preserve">Table </w:t>
      </w:r>
      <w:r>
        <w:rPr>
          <w:rFonts w:cs="Arial"/>
          <w:b/>
          <w:bCs/>
          <w:i/>
          <w:iCs/>
          <w:color w:val="1B3A5C"/>
          <w:szCs w:val="20"/>
        </w:rPr>
        <w:t>9.</w:t>
      </w:r>
      <w:r w:rsidRPr="005B0FA3">
        <w:rPr>
          <w:rFonts w:cs="Arial"/>
          <w:b/>
          <w:bCs/>
          <w:i/>
          <w:iCs/>
          <w:color w:val="1B3A5C"/>
          <w:szCs w:val="20"/>
        </w:rPr>
        <w:t xml:space="preserve"> </w:t>
      </w:r>
      <w:r>
        <w:rPr>
          <w:rFonts w:cs="Arial"/>
          <w:b/>
          <w:bCs/>
          <w:i/>
          <w:iCs/>
          <w:color w:val="1B3A5C"/>
          <w:szCs w:val="20"/>
        </w:rPr>
        <w:t>G12 Log-Rank Test: Single-Fault vs Dual-Fault Survival</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686"/>
      </w:tblGrid>
      <w:tr w:rsidR="00666BF8" w:rsidRPr="005B0FA3" w14:paraId="65CE9CC5" w14:textId="77777777" w:rsidTr="004D0D18">
        <w:trPr>
          <w:tblHeader/>
        </w:trPr>
        <w:tc>
          <w:tcPr>
            <w:tcW w:w="283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087C3FFD" w14:textId="77777777" w:rsidR="00666BF8" w:rsidRPr="005B0FA3" w:rsidRDefault="00666BF8" w:rsidP="004D0D18">
            <w:pPr>
              <w:spacing w:before="100" w:beforeAutospacing="1" w:after="100" w:afterAutospacing="1"/>
              <w:rPr>
                <w:rFonts w:cs="Arial"/>
              </w:rPr>
            </w:pPr>
            <w:r>
              <w:rPr>
                <w:rFonts w:cs="Arial"/>
                <w:b/>
                <w:bCs/>
                <w:color w:val="FFFFFF"/>
                <w:sz w:val="18"/>
                <w:szCs w:val="18"/>
              </w:rPr>
              <w:t>Statistic</w:t>
            </w:r>
          </w:p>
        </w:tc>
        <w:tc>
          <w:tcPr>
            <w:tcW w:w="3686"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1AF86AF" w14:textId="77777777" w:rsidR="00666BF8" w:rsidRPr="005B0FA3" w:rsidRDefault="00666BF8" w:rsidP="004D0D18">
            <w:pPr>
              <w:spacing w:before="100" w:beforeAutospacing="1" w:after="100" w:afterAutospacing="1"/>
              <w:rPr>
                <w:rFonts w:cs="Arial"/>
              </w:rPr>
            </w:pPr>
            <w:r>
              <w:rPr>
                <w:rFonts w:cs="Arial"/>
                <w:b/>
                <w:bCs/>
                <w:color w:val="FFFFFF"/>
                <w:sz w:val="18"/>
                <w:szCs w:val="18"/>
              </w:rPr>
              <w:t>Value</w:t>
            </w:r>
          </w:p>
        </w:tc>
      </w:tr>
      <w:tr w:rsidR="00666BF8" w14:paraId="6FEA9F84" w14:textId="77777777" w:rsidTr="004D0D18">
        <w:tc>
          <w:tcPr>
            <w:tcW w:w="2830" w:type="dxa"/>
            <w:shd w:val="clear" w:color="auto" w:fill="FFFFFF"/>
            <w:tcMar>
              <w:top w:w="80" w:type="dxa"/>
              <w:left w:w="120" w:type="dxa"/>
              <w:bottom w:w="80" w:type="dxa"/>
              <w:right w:w="120" w:type="dxa"/>
            </w:tcMar>
            <w:vAlign w:val="center"/>
          </w:tcPr>
          <w:p w14:paraId="4261306C" w14:textId="77777777" w:rsidR="00666BF8" w:rsidRPr="005B0FA3" w:rsidRDefault="00666BF8" w:rsidP="004D0D18">
            <w:pPr>
              <w:spacing w:before="100" w:beforeAutospacing="1" w:after="100" w:afterAutospacing="1"/>
              <w:rPr>
                <w:rFonts w:cs="Arial"/>
              </w:rPr>
            </w:pPr>
            <w:r w:rsidRPr="00FA0528">
              <w:rPr>
                <w:rFonts w:cs="Arial"/>
                <w:szCs w:val="20"/>
              </w:rPr>
              <w:t>Test statistic (</w:t>
            </w:r>
            <m:oMath>
              <m:sSup>
                <m:sSupPr>
                  <m:ctrlPr>
                    <w:rPr>
                      <w:rFonts w:ascii="Cambria Math" w:hAnsi="Cambria Math" w:cs="Arial"/>
                      <w:szCs w:val="20"/>
                    </w:rPr>
                  </m:ctrlPr>
                </m:sSupPr>
                <m:e>
                  <m:r>
                    <w:rPr>
                      <w:rFonts w:ascii="Cambria Math" w:hAnsi="Cambria Math" w:cs="Arial"/>
                      <w:szCs w:val="20"/>
                    </w:rPr>
                    <m:t>χ</m:t>
                  </m:r>
                </m:e>
                <m:sup>
                  <m:r>
                    <w:rPr>
                      <w:rFonts w:ascii="Cambria Math" w:hAnsi="Cambria Math" w:cs="Arial"/>
                      <w:szCs w:val="20"/>
                    </w:rPr>
                    <m:t>2</m:t>
                  </m:r>
                </m:sup>
              </m:sSup>
            </m:oMath>
            <w:r w:rsidRPr="00FA0528">
              <w:rPr>
                <w:rFonts w:cs="Arial"/>
                <w:szCs w:val="20"/>
              </w:rPr>
              <w:t xml:space="preserve">) </w:t>
            </w:r>
          </w:p>
        </w:tc>
        <w:tc>
          <w:tcPr>
            <w:tcW w:w="3686" w:type="dxa"/>
            <w:shd w:val="clear" w:color="auto" w:fill="FFFFFF"/>
            <w:tcMar>
              <w:top w:w="80" w:type="dxa"/>
              <w:left w:w="120" w:type="dxa"/>
              <w:bottom w:w="80" w:type="dxa"/>
              <w:right w:w="120" w:type="dxa"/>
            </w:tcMar>
            <w:vAlign w:val="center"/>
          </w:tcPr>
          <w:p w14:paraId="258B6691" w14:textId="77777777" w:rsidR="00666BF8" w:rsidRPr="005B0FA3" w:rsidRDefault="00666BF8" w:rsidP="004D0D18">
            <w:pPr>
              <w:spacing w:before="100" w:beforeAutospacing="1" w:after="100" w:afterAutospacing="1"/>
              <w:rPr>
                <w:rFonts w:cs="Arial"/>
              </w:rPr>
            </w:pPr>
            <w:r w:rsidRPr="00FA0528">
              <w:rPr>
                <w:rFonts w:cs="Arial"/>
                <w:szCs w:val="20"/>
              </w:rPr>
              <w:t>0.689</w:t>
            </w:r>
          </w:p>
        </w:tc>
      </w:tr>
      <w:tr w:rsidR="00666BF8" w14:paraId="73990011" w14:textId="77777777" w:rsidTr="004D0D18">
        <w:tc>
          <w:tcPr>
            <w:tcW w:w="2830" w:type="dxa"/>
            <w:shd w:val="clear" w:color="auto" w:fill="F0F4F8"/>
            <w:tcMar>
              <w:top w:w="80" w:type="dxa"/>
              <w:left w:w="120" w:type="dxa"/>
              <w:bottom w:w="80" w:type="dxa"/>
              <w:right w:w="120" w:type="dxa"/>
            </w:tcMar>
            <w:vAlign w:val="center"/>
          </w:tcPr>
          <w:p w14:paraId="16F678CD" w14:textId="77777777" w:rsidR="00666BF8" w:rsidRPr="005B0FA3" w:rsidRDefault="00666BF8" w:rsidP="004D0D18">
            <w:pPr>
              <w:spacing w:before="100" w:beforeAutospacing="1" w:after="100" w:afterAutospacing="1"/>
              <w:rPr>
                <w:rFonts w:cs="Arial"/>
              </w:rPr>
            </w:pPr>
            <w:r w:rsidRPr="00FA0528">
              <w:rPr>
                <w:rFonts w:cs="Arial"/>
                <w:szCs w:val="20"/>
              </w:rPr>
              <w:t>p-value</w:t>
            </w:r>
          </w:p>
        </w:tc>
        <w:tc>
          <w:tcPr>
            <w:tcW w:w="3686" w:type="dxa"/>
            <w:shd w:val="clear" w:color="auto" w:fill="F0F4F8"/>
            <w:tcMar>
              <w:top w:w="80" w:type="dxa"/>
              <w:left w:w="120" w:type="dxa"/>
              <w:bottom w:w="80" w:type="dxa"/>
              <w:right w:w="120" w:type="dxa"/>
            </w:tcMar>
            <w:vAlign w:val="center"/>
          </w:tcPr>
          <w:p w14:paraId="08850EE4" w14:textId="77777777" w:rsidR="00666BF8" w:rsidRPr="00DC30CA" w:rsidRDefault="00666BF8" w:rsidP="004D0D18">
            <w:pPr>
              <w:spacing w:before="100" w:beforeAutospacing="1" w:after="100" w:afterAutospacing="1"/>
              <w:rPr>
                <w:rFonts w:cs="Arial"/>
              </w:rPr>
            </w:pPr>
            <m:oMathPara>
              <m:oMathParaPr>
                <m:jc m:val="left"/>
              </m:oMathParaPr>
              <m:oMath>
                <m:r>
                  <w:rPr>
                    <w:rFonts w:ascii="Cambria Math" w:hAnsi="Cambria Math" w:cs="Arial"/>
                    <w:szCs w:val="20"/>
                  </w:rPr>
                  <m:t>4.065×</m:t>
                </m:r>
                <m:sSup>
                  <m:sSupPr>
                    <m:ctrlPr>
                      <w:rPr>
                        <w:rFonts w:ascii="Cambria Math" w:hAnsi="Cambria Math" w:cs="Arial"/>
                        <w:szCs w:val="20"/>
                      </w:rPr>
                    </m:ctrlPr>
                  </m:sSupPr>
                  <m:e>
                    <m:r>
                      <w:rPr>
                        <w:rFonts w:ascii="Cambria Math" w:hAnsi="Cambria Math" w:cs="Arial"/>
                        <w:szCs w:val="20"/>
                      </w:rPr>
                      <m:t>10</m:t>
                    </m:r>
                  </m:e>
                  <m:sup>
                    <m:r>
                      <w:rPr>
                        <w:rFonts w:ascii="Cambria Math" w:hAnsi="Cambria Math" w:cs="Arial"/>
                        <w:szCs w:val="20"/>
                      </w:rPr>
                      <m:t>-1</m:t>
                    </m:r>
                  </m:sup>
                </m:sSup>
              </m:oMath>
            </m:oMathPara>
          </w:p>
        </w:tc>
      </w:tr>
      <w:tr w:rsidR="00666BF8" w14:paraId="212100D5" w14:textId="77777777" w:rsidTr="004D0D18">
        <w:tc>
          <w:tcPr>
            <w:tcW w:w="2830" w:type="dxa"/>
            <w:tcMar>
              <w:top w:w="80" w:type="dxa"/>
              <w:left w:w="120" w:type="dxa"/>
              <w:bottom w:w="80" w:type="dxa"/>
              <w:right w:w="120" w:type="dxa"/>
            </w:tcMar>
            <w:vAlign w:val="center"/>
          </w:tcPr>
          <w:p w14:paraId="4FA471B4" w14:textId="77777777" w:rsidR="00666BF8" w:rsidRPr="005B0FA3" w:rsidRDefault="00666BF8" w:rsidP="004D0D18">
            <w:pPr>
              <w:spacing w:before="100" w:beforeAutospacing="1" w:after="100" w:afterAutospacing="1"/>
              <w:rPr>
                <w:rFonts w:cs="Arial"/>
              </w:rPr>
            </w:pPr>
            <w:r w:rsidRPr="00FA0528">
              <w:rPr>
                <w:rFonts w:cs="Arial"/>
                <w:szCs w:val="20"/>
              </w:rPr>
              <w:t xml:space="preserve">Significance at </w:t>
            </w:r>
            <m:oMath>
              <m:r>
                <w:rPr>
                  <w:rFonts w:ascii="Cambria Math" w:hAnsi="Cambria Math" w:cs="Arial"/>
                  <w:szCs w:val="20"/>
                </w:rPr>
                <m:t>α=0.05</m:t>
              </m:r>
            </m:oMath>
          </w:p>
        </w:tc>
        <w:tc>
          <w:tcPr>
            <w:tcW w:w="3686" w:type="dxa"/>
            <w:tcMar>
              <w:top w:w="80" w:type="dxa"/>
              <w:left w:w="120" w:type="dxa"/>
              <w:bottom w:w="80" w:type="dxa"/>
              <w:right w:w="120" w:type="dxa"/>
            </w:tcMar>
            <w:vAlign w:val="center"/>
          </w:tcPr>
          <w:p w14:paraId="72AAE506" w14:textId="77777777" w:rsidR="00666BF8" w:rsidRPr="005B0FA3" w:rsidRDefault="00666BF8" w:rsidP="004D0D18">
            <w:pPr>
              <w:spacing w:before="100" w:beforeAutospacing="1" w:after="100" w:afterAutospacing="1"/>
              <w:rPr>
                <w:rFonts w:cs="Arial"/>
              </w:rPr>
            </w:pPr>
            <w:r w:rsidRPr="00FA0528">
              <w:rPr>
                <w:rFonts w:cs="Arial"/>
                <w:b/>
                <w:bCs/>
                <w:color w:val="EE0000"/>
                <w:szCs w:val="20"/>
              </w:rPr>
              <w:t>NOT SIGNIFICANT</w:t>
            </w:r>
          </w:p>
        </w:tc>
      </w:tr>
    </w:tbl>
    <w:p w14:paraId="13B3FF43" w14:textId="77777777" w:rsidR="00BF2439" w:rsidRDefault="00BF2439" w:rsidP="00BF2439">
      <w:pPr>
        <w:spacing w:before="100" w:beforeAutospacing="1" w:after="100" w:afterAutospacing="1"/>
        <w:jc w:val="both"/>
        <w:rPr>
          <w:rFonts w:cs="Arial"/>
          <w:szCs w:val="20"/>
        </w:rPr>
      </w:pPr>
      <w:r w:rsidRPr="00BF2439">
        <w:rPr>
          <w:rFonts w:cs="Arial"/>
          <w:szCs w:val="20"/>
        </w:rPr>
        <w:t xml:space="preserve">The test yields </w:t>
      </w:r>
      <m:oMath>
        <m:r>
          <w:rPr>
            <w:rFonts w:ascii="Cambria Math" w:hAnsi="Cambria Math" w:cs="Arial"/>
            <w:szCs w:val="20"/>
          </w:rPr>
          <m:t>p=0.407</m:t>
        </m:r>
      </m:oMath>
      <w:r w:rsidRPr="00BF2439">
        <w:rPr>
          <w:rFonts w:cs="Arial"/>
          <w:szCs w:val="20"/>
        </w:rPr>
        <w:t xml:space="preserve">, meaning the observed difference between the two survival curves is well within what sampling variability alone could produce. </w:t>
      </w:r>
    </w:p>
    <w:p w14:paraId="62E632E6" w14:textId="10868549" w:rsidR="00BF2439" w:rsidRPr="00BF2439" w:rsidRDefault="00BF2439" w:rsidP="00BF2439">
      <w:pPr>
        <w:spacing w:before="100" w:beforeAutospacing="1" w:after="100" w:afterAutospacing="1"/>
        <w:jc w:val="both"/>
        <w:rPr>
          <w:rFonts w:cs="Arial"/>
          <w:szCs w:val="20"/>
        </w:rPr>
      </w:pPr>
      <w:r w:rsidRPr="00BF2439">
        <w:rPr>
          <w:rFonts w:cs="Arial"/>
          <w:b/>
          <w:bCs/>
          <w:szCs w:val="20"/>
        </w:rPr>
        <w:t>The practical implication is important:</w:t>
      </w:r>
      <w:r w:rsidRPr="00BF2439">
        <w:rPr>
          <w:rFonts w:cs="Arial"/>
          <w:szCs w:val="20"/>
        </w:rPr>
        <w:t xml:space="preserve"> the maintenance planning window — the time from EGT alert to failure — is statistically indistinguishable between single-fault and dual-fault engines. A scheduler does not need to apply different response times based on fault mode family alone.</w:t>
      </w:r>
    </w:p>
    <w:p w14:paraId="343B7CF8" w14:textId="77777777" w:rsidR="00BF2439" w:rsidRPr="00BF2439" w:rsidRDefault="00BF2439" w:rsidP="00BF2439">
      <w:pPr>
        <w:spacing w:before="100" w:beforeAutospacing="1" w:after="100" w:afterAutospacing="1"/>
        <w:jc w:val="both"/>
        <w:rPr>
          <w:rFonts w:cs="Arial"/>
          <w:szCs w:val="20"/>
        </w:rPr>
      </w:pPr>
      <w:r w:rsidRPr="00BF2439">
        <w:rPr>
          <w:rFonts w:cs="Arial"/>
          <w:szCs w:val="20"/>
        </w:rPr>
        <w:t>This does not mean the degradation physics are identical. Single-fault engines (HPC degradation only) and dual-fault engines (HPC + fan degradation) follow materially different trajectories through sensor space. What the result tells us is that by the time EGT breaches the UWL threshold — a downstream thermal consequence of HPC efficiency loss regardless of whether concurrent fan degradation is present — the residual survival time is similar across both families. The UWL breach in s4 effectively absorbs the fault-mode information into a common survival profile.</w:t>
      </w:r>
    </w:p>
    <w:p w14:paraId="7A66C1BA" w14:textId="77777777" w:rsidR="00666BF8" w:rsidRPr="00FA0528" w:rsidRDefault="00666BF8" w:rsidP="00666BF8">
      <w:pPr>
        <w:pStyle w:val="Heading3"/>
      </w:pPr>
      <w:r w:rsidRPr="00FA0528">
        <w:lastRenderedPageBreak/>
        <w:t>4.11.4 Cox Proportional Hazards Model</w:t>
      </w:r>
    </w:p>
    <w:p w14:paraId="16CC731E" w14:textId="77777777" w:rsidR="00BF2439" w:rsidRPr="00BF2439" w:rsidRDefault="00BF2439" w:rsidP="00BF2439">
      <w:pPr>
        <w:spacing w:before="100" w:beforeAutospacing="1" w:after="100" w:afterAutospacing="1"/>
        <w:jc w:val="both"/>
        <w:rPr>
          <w:rFonts w:cs="Arial"/>
          <w:szCs w:val="20"/>
        </w:rPr>
      </w:pPr>
      <w:r w:rsidRPr="00BF2439">
        <w:rPr>
          <w:rFonts w:cs="Arial"/>
          <w:b/>
          <w:bCs/>
          <w:szCs w:val="20"/>
        </w:rPr>
        <w:t>What it does:</w:t>
      </w:r>
      <w:r w:rsidRPr="00BF2439">
        <w:rPr>
          <w:rFonts w:cs="Arial"/>
          <w:szCs w:val="20"/>
        </w:rPr>
        <w:t xml:space="preserve"> Kaplan-Meier tells us </w:t>
      </w:r>
      <w:r w:rsidRPr="00BF2439">
        <w:rPr>
          <w:rFonts w:cs="Arial"/>
          <w:i/>
          <w:iCs/>
          <w:szCs w:val="20"/>
        </w:rPr>
        <w:t>when</w:t>
      </w:r>
      <w:r w:rsidRPr="00BF2439">
        <w:rPr>
          <w:rFonts w:cs="Arial"/>
          <w:szCs w:val="20"/>
        </w:rPr>
        <w:t xml:space="preserve"> engines tend to fail after the alert. The Cox model goes further: it asks </w:t>
      </w:r>
      <w:r w:rsidRPr="00BF2439">
        <w:rPr>
          <w:rFonts w:cs="Arial"/>
          <w:i/>
          <w:iCs/>
          <w:szCs w:val="20"/>
        </w:rPr>
        <w:t>which engine characteristics predict whether a given engine will fail sooner or later than average.</w:t>
      </w:r>
      <w:r w:rsidRPr="00BF2439">
        <w:rPr>
          <w:rFonts w:cs="Arial"/>
          <w:szCs w:val="20"/>
        </w:rPr>
        <w:t xml:space="preserve"> This is the covariate analysis — it quantifies the individual contribution of EGT level, compressor pressure, core speed, and fault mode to the rate of failure.</w:t>
      </w:r>
    </w:p>
    <w:p w14:paraId="3C690151" w14:textId="0BA1EA79" w:rsidR="00BF2439" w:rsidRPr="00BF2439" w:rsidRDefault="00BF2439" w:rsidP="00BF2439">
      <w:pPr>
        <w:spacing w:before="100" w:beforeAutospacing="1" w:after="100" w:afterAutospacing="1"/>
        <w:jc w:val="both"/>
        <w:rPr>
          <w:rFonts w:cs="Arial"/>
          <w:szCs w:val="20"/>
        </w:rPr>
      </w:pPr>
      <w:r w:rsidRPr="00BF2439">
        <w:rPr>
          <w:rFonts w:cs="Arial"/>
          <w:szCs w:val="20"/>
        </w:rPr>
        <w:t>The Cox Proportional Hazards model</w:t>
      </w:r>
      <w:r w:rsidRPr="000C4627">
        <w:rPr>
          <w:rStyle w:val="FootnoteReference"/>
          <w:rFonts w:cs="Arial"/>
          <w:color w:val="E97132" w:themeColor="accent2"/>
          <w:szCs w:val="20"/>
        </w:rPr>
        <w:footnoteReference w:id="7"/>
      </w:r>
      <w:r w:rsidRPr="00BF2439">
        <w:rPr>
          <w:rFonts w:cs="Arial"/>
          <w:szCs w:val="20"/>
        </w:rPr>
        <w:t xml:space="preserve"> (Cox, 1972</w:t>
      </w:r>
      <w:sdt>
        <w:sdtPr>
          <w:rPr>
            <w:rFonts w:cs="Arial"/>
            <w:szCs w:val="20"/>
          </w:rPr>
          <w:id w:val="375136120"/>
          <w:citation/>
        </w:sdtPr>
        <w:sdtContent>
          <w:r>
            <w:rPr>
              <w:rFonts w:cs="Arial"/>
              <w:szCs w:val="20"/>
            </w:rPr>
            <w:fldChar w:fldCharType="begin"/>
          </w:r>
          <w:r>
            <w:rPr>
              <w:rFonts w:cs="Arial"/>
              <w:szCs w:val="20"/>
            </w:rPr>
            <w:instrText xml:space="preserve"> CITATION Cox72 \l 2057 </w:instrText>
          </w:r>
          <w:r>
            <w:rPr>
              <w:rFonts w:cs="Arial"/>
              <w:szCs w:val="20"/>
            </w:rPr>
            <w:fldChar w:fldCharType="separate"/>
          </w:r>
          <w:r w:rsidR="0074017E">
            <w:rPr>
              <w:rFonts w:cs="Arial"/>
              <w:noProof/>
              <w:szCs w:val="20"/>
            </w:rPr>
            <w:t xml:space="preserve"> </w:t>
          </w:r>
          <w:r w:rsidR="0074017E" w:rsidRPr="0074017E">
            <w:rPr>
              <w:rFonts w:cs="Arial"/>
              <w:noProof/>
              <w:szCs w:val="20"/>
            </w:rPr>
            <w:t>[12]</w:t>
          </w:r>
          <w:r>
            <w:rPr>
              <w:rFonts w:cs="Arial"/>
              <w:szCs w:val="20"/>
            </w:rPr>
            <w:fldChar w:fldCharType="end"/>
          </w:r>
        </w:sdtContent>
      </w:sdt>
      <w:r w:rsidRPr="00BF2439">
        <w:rPr>
          <w:rFonts w:cs="Arial"/>
          <w:szCs w:val="20"/>
        </w:rPr>
        <w:t xml:space="preserve">) expresses the instantaneous failure rate (hazard) for engine </w:t>
      </w:r>
      <m:oMath>
        <m:r>
          <w:rPr>
            <w:rFonts w:ascii="Cambria Math" w:hAnsi="Cambria Math" w:cs="Arial"/>
            <w:szCs w:val="20"/>
          </w:rPr>
          <m:t>u</m:t>
        </m:r>
      </m:oMath>
      <w:r>
        <w:rPr>
          <w:rFonts w:cs="Arial"/>
          <w:szCs w:val="20"/>
        </w:rPr>
        <w:t xml:space="preserve"> </w:t>
      </w:r>
      <w:r w:rsidRPr="00BF2439">
        <w:rPr>
          <w:rFonts w:cs="Arial"/>
          <w:szCs w:val="20"/>
        </w:rPr>
        <w:t xml:space="preserve">as: </w:t>
      </w:r>
    </w:p>
    <w:p w14:paraId="23645BD7" w14:textId="77777777" w:rsidR="00BF2439" w:rsidRPr="00BF2439" w:rsidRDefault="00BF2439" w:rsidP="00BF2439">
      <w:pPr>
        <w:jc w:val="both"/>
        <w:rPr>
          <w:rFonts w:cs="Arial"/>
          <w:szCs w:val="20"/>
        </w:rPr>
      </w:pPr>
      <m:oMathPara>
        <m:oMath>
          <m:r>
            <w:rPr>
              <w:rFonts w:ascii="Cambria Math" w:hAnsi="Cambria Math" w:cs="Arial"/>
              <w:szCs w:val="20"/>
            </w:rPr>
            <m:t>h(t∣</m:t>
          </m:r>
          <m:sSub>
            <m:sSubPr>
              <m:ctrlPr>
                <w:rPr>
                  <w:rFonts w:ascii="Cambria Math" w:hAnsi="Cambria Math" w:cs="Arial"/>
                  <w:szCs w:val="20"/>
                </w:rPr>
              </m:ctrlPr>
            </m:sSubPr>
            <m:e>
              <m:r>
                <m:rPr>
                  <m:sty m:val="b"/>
                </m:rPr>
                <w:rPr>
                  <w:rFonts w:ascii="Cambria Math" w:hAnsi="Cambria Math" w:cs="Arial"/>
                  <w:szCs w:val="20"/>
                </w:rPr>
                <m:t>x</m:t>
              </m:r>
            </m:e>
            <m:sub>
              <m:r>
                <w:rPr>
                  <w:rFonts w:ascii="Cambria Math" w:hAnsi="Cambria Math" w:cs="Arial"/>
                  <w:szCs w:val="20"/>
                </w:rPr>
                <m:t>u</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r>
            <m:rPr>
              <m:sty m:val="p"/>
            </m:rPr>
            <w:rPr>
              <w:rFonts w:ascii="Cambria Math" w:hAnsi="Cambria Math" w:cs="Arial"/>
              <w:szCs w:val="20"/>
            </w:rPr>
            <m:t>exp</m:t>
          </m:r>
          <m:r>
            <w:rPr>
              <w:rFonts w:ascii="Cambria Math" w:hAnsi="Cambria Math" w:cs="Arial"/>
              <w:szCs w:val="20"/>
            </w:rPr>
            <m:t>⁡(</m:t>
          </m:r>
          <m:sSup>
            <m:sSupPr>
              <m:ctrlPr>
                <w:rPr>
                  <w:rFonts w:ascii="Cambria Math" w:hAnsi="Cambria Math" w:cs="Arial"/>
                  <w:szCs w:val="20"/>
                </w:rPr>
              </m:ctrlPr>
            </m:sSupPr>
            <m:e>
              <m:r>
                <m:rPr>
                  <m:sty m:val="bi"/>
                </m:rPr>
                <w:rPr>
                  <w:rFonts w:ascii="Cambria Math" w:hAnsi="Cambria Math" w:cs="Arial"/>
                  <w:szCs w:val="20"/>
                </w:rPr>
                <m:t>β</m:t>
              </m:r>
            </m:e>
            <m:sup>
              <m:r>
                <w:rPr>
                  <w:rFonts w:ascii="Cambria Math" w:hAnsi="Cambria Math" w:cs="Arial"/>
                  <w:szCs w:val="20"/>
                </w:rPr>
                <m:t>T</m:t>
              </m:r>
            </m:sup>
          </m:sSup>
          <m:sSub>
            <m:sSubPr>
              <m:ctrlPr>
                <w:rPr>
                  <w:rFonts w:ascii="Cambria Math" w:hAnsi="Cambria Math" w:cs="Arial"/>
                  <w:szCs w:val="20"/>
                </w:rPr>
              </m:ctrlPr>
            </m:sSubPr>
            <m:e>
              <m:r>
                <m:rPr>
                  <m:sty m:val="b"/>
                </m:rPr>
                <w:rPr>
                  <w:rFonts w:ascii="Cambria Math" w:hAnsi="Cambria Math" w:cs="Arial"/>
                  <w:szCs w:val="20"/>
                </w:rPr>
                <m:t>x</m:t>
              </m:r>
            </m:e>
            <m:sub>
              <m:r>
                <w:rPr>
                  <w:rFonts w:ascii="Cambria Math" w:hAnsi="Cambria Math" w:cs="Arial"/>
                  <w:szCs w:val="20"/>
                </w:rPr>
                <m:t>u</m:t>
              </m:r>
            </m:sub>
          </m:sSub>
          <m:r>
            <w:rPr>
              <w:rFonts w:ascii="Cambria Math" w:hAnsi="Cambria Math" w:cs="Arial"/>
              <w:szCs w:val="20"/>
            </w:rPr>
            <m:t>)</m:t>
          </m:r>
          <m:r>
            <w:rPr>
              <w:rFonts w:cs="Arial"/>
              <w:szCs w:val="20"/>
            </w:rPr>
            <w:br/>
          </m:r>
        </m:oMath>
      </m:oMathPara>
    </w:p>
    <w:p w14:paraId="5C2411A8" w14:textId="5A84A111" w:rsidR="00BF2439" w:rsidRPr="00BF2439" w:rsidRDefault="00BF2439" w:rsidP="00BF2439">
      <w:pPr>
        <w:spacing w:before="100" w:beforeAutospacing="1" w:after="100" w:afterAutospacing="1"/>
        <w:jc w:val="both"/>
        <w:rPr>
          <w:rFonts w:cs="Arial"/>
          <w:szCs w:val="20"/>
        </w:rPr>
      </w:pPr>
      <w:r w:rsidRPr="00BF2439">
        <w:rPr>
          <w:rFonts w:cs="Arial"/>
          <w:szCs w:val="20"/>
        </w:rPr>
        <w:t xml:space="preserve">The term </w:t>
      </w:r>
      <m:oMath>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oMath>
      <w:r>
        <w:rPr>
          <w:rFonts w:cs="Arial"/>
          <w:szCs w:val="20"/>
        </w:rPr>
        <w:t xml:space="preserve"> </w:t>
      </w:r>
      <w:r w:rsidRPr="00BF2439">
        <w:rPr>
          <w:rFonts w:cs="Arial"/>
          <w:szCs w:val="20"/>
        </w:rPr>
        <w:t>is the baseline hazard — the failure rate for a reference engine — estimated non-parametrically via the Breslow estimator (Breslow, 1972</w:t>
      </w:r>
      <w:sdt>
        <w:sdtPr>
          <w:rPr>
            <w:rFonts w:cs="Arial"/>
            <w:szCs w:val="20"/>
          </w:rPr>
          <w:id w:val="-613593385"/>
          <w:citation/>
        </w:sdtPr>
        <w:sdtContent>
          <w:r>
            <w:rPr>
              <w:rFonts w:cs="Arial"/>
              <w:szCs w:val="20"/>
            </w:rPr>
            <w:fldChar w:fldCharType="begin"/>
          </w:r>
          <w:r>
            <w:rPr>
              <w:rFonts w:cs="Arial"/>
              <w:szCs w:val="20"/>
            </w:rPr>
            <w:instrText xml:space="preserve"> CITATION Bre72 \l 2057 </w:instrText>
          </w:r>
          <w:r>
            <w:rPr>
              <w:rFonts w:cs="Arial"/>
              <w:szCs w:val="20"/>
            </w:rPr>
            <w:fldChar w:fldCharType="separate"/>
          </w:r>
          <w:r w:rsidR="0074017E">
            <w:rPr>
              <w:rFonts w:cs="Arial"/>
              <w:noProof/>
              <w:szCs w:val="20"/>
            </w:rPr>
            <w:t xml:space="preserve"> </w:t>
          </w:r>
          <w:r w:rsidR="0074017E" w:rsidRPr="0074017E">
            <w:rPr>
              <w:rFonts w:cs="Arial"/>
              <w:noProof/>
              <w:szCs w:val="20"/>
            </w:rPr>
            <w:t>[13]</w:t>
          </w:r>
          <w:r>
            <w:rPr>
              <w:rFonts w:cs="Arial"/>
              <w:szCs w:val="20"/>
            </w:rPr>
            <w:fldChar w:fldCharType="end"/>
          </w:r>
        </w:sdtContent>
      </w:sdt>
      <w:r w:rsidRPr="00BF2439">
        <w:rPr>
          <w:rFonts w:cs="Arial"/>
          <w:szCs w:val="20"/>
        </w:rPr>
        <w:t xml:space="preserve">). The exponential term scales this baseline up or down according to the engine's covariate values. Crucially, no assumption is made about the shape of </w:t>
      </w:r>
      <m:oMath>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oMath>
      <w:r w:rsidRPr="00BF2439">
        <w:rPr>
          <w:rFonts w:cs="Arial"/>
          <w:szCs w:val="20"/>
        </w:rPr>
        <w:t xml:space="preserve">: the model is </w:t>
      </w:r>
      <w:r w:rsidRPr="00BF2439">
        <w:rPr>
          <w:rFonts w:cs="Arial"/>
          <w:i/>
          <w:iCs/>
          <w:szCs w:val="20"/>
        </w:rPr>
        <w:t>semi-parametric</w:t>
      </w:r>
      <w:r w:rsidRPr="00BF2439">
        <w:rPr>
          <w:rFonts w:cs="Arial"/>
          <w:szCs w:val="20"/>
        </w:rPr>
        <w:t xml:space="preserve">, estimating the covariate effects </w:t>
      </w:r>
      <m:oMath>
        <m:r>
          <m:rPr>
            <m:sty m:val="bi"/>
          </m:rPr>
          <w:rPr>
            <w:rFonts w:ascii="Cambria Math" w:hAnsi="Cambria Math" w:cs="Arial"/>
            <w:szCs w:val="20"/>
          </w:rPr>
          <m:t>β</m:t>
        </m:r>
      </m:oMath>
      <w:r w:rsidR="00E578B7">
        <w:rPr>
          <w:rFonts w:cs="Arial"/>
          <w:b/>
          <w:szCs w:val="20"/>
        </w:rPr>
        <w:t xml:space="preserve"> </w:t>
      </w:r>
      <w:r w:rsidRPr="00BF2439">
        <w:rPr>
          <w:rFonts w:cs="Arial"/>
          <w:szCs w:val="20"/>
        </w:rPr>
        <w:t xml:space="preserve">without committing to a particular failure time distribution such as Weibull or exponential. </w:t>
      </w:r>
    </w:p>
    <w:p w14:paraId="6EC64FF7" w14:textId="304861D1" w:rsidR="00BF2439" w:rsidRPr="00BF2439" w:rsidRDefault="00BF2439" w:rsidP="00BF2439">
      <w:pPr>
        <w:spacing w:before="100" w:beforeAutospacing="1" w:after="100" w:afterAutospacing="1"/>
        <w:jc w:val="both"/>
        <w:rPr>
          <w:rFonts w:cs="Arial"/>
          <w:szCs w:val="20"/>
        </w:rPr>
      </w:pPr>
      <w:r w:rsidRPr="00BF2439">
        <w:rPr>
          <w:rFonts w:cs="Arial"/>
          <w:szCs w:val="20"/>
        </w:rPr>
        <w:t xml:space="preserve">The exponentiated coefficient </w:t>
      </w:r>
      <m:oMath>
        <m:r>
          <m:rPr>
            <m:sty m:val="p"/>
          </m:rPr>
          <w:rPr>
            <w:rFonts w:ascii="Cambria Math" w:hAnsi="Cambria Math" w:cs="Arial"/>
            <w:szCs w:val="20"/>
          </w:rPr>
          <m:t>exp</m:t>
        </m:r>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β</m:t>
            </m:r>
          </m:e>
          <m:sub>
            <m:r>
              <w:rPr>
                <w:rFonts w:ascii="Cambria Math" w:hAnsi="Cambria Math" w:cs="Arial"/>
                <w:szCs w:val="20"/>
              </w:rPr>
              <m:t>j</m:t>
            </m:r>
          </m:sub>
        </m:sSub>
        <m:r>
          <w:rPr>
            <w:rFonts w:ascii="Cambria Math" w:hAnsi="Cambria Math" w:cs="Arial"/>
            <w:szCs w:val="20"/>
          </w:rPr>
          <m:t>)</m:t>
        </m:r>
      </m:oMath>
      <w:r w:rsidR="00E578B7">
        <w:rPr>
          <w:rFonts w:cs="Arial"/>
          <w:szCs w:val="20"/>
        </w:rPr>
        <w:t xml:space="preserve"> </w:t>
      </w:r>
      <w:r w:rsidRPr="00BF2439">
        <w:rPr>
          <w:rFonts w:cs="Arial"/>
          <w:szCs w:val="20"/>
        </w:rPr>
        <w:t xml:space="preserve">is the </w:t>
      </w:r>
      <w:r w:rsidRPr="00BF2439">
        <w:rPr>
          <w:rFonts w:cs="Arial"/>
          <w:b/>
          <w:bCs/>
          <w:szCs w:val="20"/>
        </w:rPr>
        <w:t>hazard ratio (HR)</w:t>
      </w:r>
      <w:r w:rsidRPr="00BF2439">
        <w:rPr>
          <w:rFonts w:cs="Arial"/>
          <w:szCs w:val="20"/>
        </w:rPr>
        <w:t xml:space="preserve">: the multiplicative factor by which the instantaneous failure rate changes for a one-unit increase in covariate </w:t>
      </w:r>
      <m:oMath>
        <m:r>
          <w:rPr>
            <w:rFonts w:ascii="Cambria Math" w:hAnsi="Cambria Math" w:cs="Arial"/>
            <w:szCs w:val="20"/>
          </w:rPr>
          <m:t>j</m:t>
        </m:r>
      </m:oMath>
      <w:r w:rsidRPr="00BF2439">
        <w:rPr>
          <w:rFonts w:cs="Arial"/>
          <w:szCs w:val="20"/>
        </w:rPr>
        <w:t xml:space="preserve">, holding all others constant. An HR &gt; 1 indicates that higher values of the covariate accelerate failure; HR &lt; 1 indicates a protective effect. </w:t>
      </w:r>
    </w:p>
    <w:p w14:paraId="48F6B330" w14:textId="77777777" w:rsidR="00BF2439" w:rsidRPr="00BF2439" w:rsidRDefault="00BF2439" w:rsidP="00BF2439">
      <w:pPr>
        <w:spacing w:before="100" w:beforeAutospacing="1" w:after="100" w:afterAutospacing="1"/>
        <w:jc w:val="both"/>
        <w:rPr>
          <w:rFonts w:cs="Arial"/>
          <w:szCs w:val="20"/>
        </w:rPr>
      </w:pPr>
      <w:r w:rsidRPr="00BF2439">
        <w:rPr>
          <w:rFonts w:cs="Arial"/>
          <w:szCs w:val="20"/>
        </w:rPr>
        <w:t>Four covariates were included: the binary fault mode family indicator and trajectory-level mean z-scores for s4 (EGT), s7 (HPC outlet temperature), and s9 (core speed).</w:t>
      </w:r>
    </w:p>
    <w:p w14:paraId="6CBC54DE" w14:textId="77777777" w:rsidR="00666BF8" w:rsidRPr="005B0FA3" w:rsidRDefault="00666BF8" w:rsidP="00666BF8">
      <w:pPr>
        <w:spacing w:before="100" w:beforeAutospacing="1" w:after="100" w:afterAutospacing="1"/>
        <w:jc w:val="both"/>
        <w:rPr>
          <w:rFonts w:cs="Arial"/>
          <w:i/>
          <w:iCs/>
          <w:szCs w:val="20"/>
        </w:rPr>
      </w:pPr>
      <w:r w:rsidRPr="005B0FA3">
        <w:rPr>
          <w:rFonts w:cs="Arial"/>
          <w:b/>
          <w:bCs/>
          <w:i/>
          <w:iCs/>
          <w:color w:val="1B3A5C"/>
          <w:szCs w:val="20"/>
        </w:rPr>
        <w:t xml:space="preserve">Table </w:t>
      </w:r>
      <w:r>
        <w:rPr>
          <w:rFonts w:cs="Arial"/>
          <w:b/>
          <w:bCs/>
          <w:i/>
          <w:iCs/>
          <w:color w:val="1B3A5C"/>
          <w:szCs w:val="20"/>
        </w:rPr>
        <w:t>10.</w:t>
      </w:r>
      <w:r w:rsidRPr="005B0FA3">
        <w:rPr>
          <w:rFonts w:cs="Arial"/>
          <w:b/>
          <w:bCs/>
          <w:i/>
          <w:iCs/>
          <w:color w:val="1B3A5C"/>
          <w:szCs w:val="20"/>
        </w:rPr>
        <w:t xml:space="preserve"> </w:t>
      </w:r>
      <w:r>
        <w:rPr>
          <w:rFonts w:cs="Arial"/>
          <w:b/>
          <w:bCs/>
          <w:i/>
          <w:iCs/>
          <w:color w:val="1B3A5C"/>
          <w:szCs w:val="20"/>
        </w:rPr>
        <w:t>G21 Cox Proportional Hazards Model — Coefficient Estimates</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688"/>
        <w:gridCol w:w="1701"/>
        <w:gridCol w:w="1560"/>
        <w:gridCol w:w="1701"/>
      </w:tblGrid>
      <w:tr w:rsidR="00666BF8" w:rsidRPr="005B0FA3" w14:paraId="6D8E59EA" w14:textId="77777777" w:rsidTr="004D0D18">
        <w:trPr>
          <w:tblHeader/>
        </w:trPr>
        <w:tc>
          <w:tcPr>
            <w:tcW w:w="228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1010AF27" w14:textId="77777777" w:rsidR="00666BF8" w:rsidRPr="005B0FA3" w:rsidRDefault="00666BF8" w:rsidP="004D0D18">
            <w:pPr>
              <w:spacing w:before="100" w:beforeAutospacing="1" w:after="100" w:afterAutospacing="1"/>
              <w:rPr>
                <w:rFonts w:cs="Arial"/>
              </w:rPr>
            </w:pPr>
            <w:r>
              <w:rPr>
                <w:rFonts w:cs="Arial"/>
                <w:b/>
                <w:bCs/>
                <w:color w:val="FFFFFF"/>
                <w:sz w:val="18"/>
                <w:szCs w:val="18"/>
              </w:rPr>
              <w:t>Covariate</w:t>
            </w:r>
          </w:p>
        </w:tc>
        <w:tc>
          <w:tcPr>
            <w:tcW w:w="168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B1C3139" w14:textId="77777777" w:rsidR="00666BF8" w:rsidRPr="005B0FA3" w:rsidRDefault="00666BF8" w:rsidP="004D0D18">
            <w:pPr>
              <w:spacing w:before="100" w:beforeAutospacing="1" w:after="100" w:afterAutospacing="1"/>
              <w:rPr>
                <w:rFonts w:cs="Arial"/>
              </w:rPr>
            </w:pPr>
            <m:oMath>
              <m:r>
                <w:rPr>
                  <w:rFonts w:ascii="Cambria Math" w:hAnsi="Cambria Math" w:cs="Arial"/>
                  <w:szCs w:val="20"/>
                </w:rPr>
                <m:t>β</m:t>
              </m:r>
            </m:oMath>
            <w:r w:rsidRPr="00FA0528">
              <w:rPr>
                <w:rFonts w:cs="Arial"/>
                <w:b/>
                <w:bCs/>
                <w:szCs w:val="20"/>
              </w:rPr>
              <w:t xml:space="preserve">(coef) </w:t>
            </w:r>
          </w:p>
        </w:tc>
        <w:tc>
          <w:tcPr>
            <w:tcW w:w="170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399518B" w14:textId="77777777" w:rsidR="00666BF8" w:rsidRPr="005B0FA3" w:rsidRDefault="00666BF8" w:rsidP="004D0D18">
            <w:pPr>
              <w:spacing w:before="100" w:beforeAutospacing="1" w:after="100" w:afterAutospacing="1"/>
              <w:rPr>
                <w:rFonts w:cs="Arial"/>
              </w:rPr>
            </w:pPr>
            <w:r w:rsidRPr="00FA0528">
              <w:rPr>
                <w:rFonts w:cs="Arial"/>
                <w:b/>
                <w:bCs/>
                <w:szCs w:val="20"/>
              </w:rPr>
              <w:t>HR exp(</w:t>
            </w:r>
            <m:oMath>
              <m:r>
                <w:rPr>
                  <w:rFonts w:ascii="Cambria Math" w:hAnsi="Cambria Math" w:cs="Arial"/>
                  <w:szCs w:val="20"/>
                </w:rPr>
                <m:t>β</m:t>
              </m:r>
            </m:oMath>
            <w:r w:rsidRPr="00FA0528">
              <w:rPr>
                <w:rFonts w:cs="Arial"/>
                <w:b/>
                <w:bCs/>
                <w:szCs w:val="20"/>
              </w:rPr>
              <w:t xml:space="preserve">) </w:t>
            </w:r>
          </w:p>
        </w:tc>
        <w:tc>
          <w:tcPr>
            <w:tcW w:w="156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BDA0250" w14:textId="77777777" w:rsidR="00666BF8" w:rsidRPr="005B0FA3" w:rsidRDefault="00666BF8" w:rsidP="004D0D18">
            <w:pPr>
              <w:spacing w:before="100" w:beforeAutospacing="1" w:after="100" w:afterAutospacing="1"/>
              <w:rPr>
                <w:rFonts w:cs="Arial"/>
              </w:rPr>
            </w:pPr>
            <w:r w:rsidRPr="00FA0528">
              <w:rPr>
                <w:rFonts w:cs="Arial"/>
                <w:b/>
                <w:bCs/>
                <w:szCs w:val="20"/>
              </w:rPr>
              <w:t>SE(</w:t>
            </w:r>
            <m:oMath>
              <m:r>
                <w:rPr>
                  <w:rFonts w:ascii="Cambria Math" w:hAnsi="Cambria Math" w:cs="Arial"/>
                  <w:szCs w:val="20"/>
                </w:rPr>
                <m:t>β</m:t>
              </m:r>
            </m:oMath>
            <w:r w:rsidRPr="00FA0528">
              <w:rPr>
                <w:rFonts w:cs="Arial"/>
                <w:b/>
                <w:bCs/>
                <w:szCs w:val="20"/>
              </w:rPr>
              <w:t xml:space="preserve">) </w:t>
            </w:r>
          </w:p>
        </w:tc>
        <w:tc>
          <w:tcPr>
            <w:tcW w:w="1701"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15976F1D" w14:textId="77777777" w:rsidR="00666BF8" w:rsidRPr="005B0FA3" w:rsidRDefault="00666BF8" w:rsidP="004D0D18">
            <w:pPr>
              <w:spacing w:before="100" w:beforeAutospacing="1" w:after="100" w:afterAutospacing="1"/>
              <w:rPr>
                <w:rFonts w:cs="Arial"/>
              </w:rPr>
            </w:pPr>
            <w:r w:rsidRPr="00FA0528">
              <w:rPr>
                <w:rFonts w:cs="Arial"/>
                <w:b/>
                <w:bCs/>
                <w:szCs w:val="20"/>
              </w:rPr>
              <w:t>p-value</w:t>
            </w:r>
          </w:p>
        </w:tc>
      </w:tr>
      <w:tr w:rsidR="00666BF8" w14:paraId="1AF8B50A" w14:textId="77777777" w:rsidTr="004D0D18">
        <w:tc>
          <w:tcPr>
            <w:tcW w:w="2281" w:type="dxa"/>
            <w:shd w:val="clear" w:color="auto" w:fill="FFFFFF"/>
            <w:tcMar>
              <w:top w:w="80" w:type="dxa"/>
              <w:left w:w="120" w:type="dxa"/>
              <w:bottom w:w="80" w:type="dxa"/>
              <w:right w:w="120" w:type="dxa"/>
            </w:tcMar>
            <w:vAlign w:val="center"/>
          </w:tcPr>
          <w:p w14:paraId="091C508F" w14:textId="77777777" w:rsidR="00666BF8" w:rsidRPr="00BF654B" w:rsidRDefault="00666BF8" w:rsidP="004D0D18">
            <w:pPr>
              <w:spacing w:before="100" w:beforeAutospacing="1" w:after="100" w:afterAutospacing="1"/>
              <w:rPr>
                <w:rFonts w:ascii="Courier New" w:hAnsi="Courier New" w:cs="Courier New"/>
              </w:rPr>
            </w:pPr>
            <w:r w:rsidRPr="00FA0528">
              <w:rPr>
                <w:rFonts w:ascii="Courier New" w:hAnsi="Courier New" w:cs="Courier New"/>
                <w:szCs w:val="20"/>
              </w:rPr>
              <w:t>fault_mode_family</w:t>
            </w:r>
          </w:p>
        </w:tc>
        <w:tc>
          <w:tcPr>
            <w:tcW w:w="1688" w:type="dxa"/>
            <w:shd w:val="clear" w:color="auto" w:fill="FFFFFF"/>
            <w:tcMar>
              <w:top w:w="80" w:type="dxa"/>
              <w:left w:w="120" w:type="dxa"/>
              <w:bottom w:w="80" w:type="dxa"/>
              <w:right w:w="120" w:type="dxa"/>
            </w:tcMar>
            <w:vAlign w:val="center"/>
          </w:tcPr>
          <w:p w14:paraId="1E4B3CAB" w14:textId="77777777" w:rsidR="00666BF8" w:rsidRPr="005B0FA3" w:rsidRDefault="00666BF8" w:rsidP="004D0D18">
            <w:pPr>
              <w:spacing w:before="100" w:beforeAutospacing="1" w:after="100" w:afterAutospacing="1"/>
              <w:rPr>
                <w:rFonts w:cs="Arial"/>
              </w:rPr>
            </w:pPr>
            <w:r w:rsidRPr="00FA0528">
              <w:rPr>
                <w:rFonts w:cs="Arial"/>
                <w:szCs w:val="20"/>
              </w:rPr>
              <w:t>−0.18</w:t>
            </w:r>
          </w:p>
        </w:tc>
        <w:tc>
          <w:tcPr>
            <w:tcW w:w="1701" w:type="dxa"/>
            <w:shd w:val="clear" w:color="auto" w:fill="FFFFFF"/>
            <w:tcMar>
              <w:top w:w="80" w:type="dxa"/>
              <w:left w:w="120" w:type="dxa"/>
              <w:bottom w:w="80" w:type="dxa"/>
              <w:right w:w="120" w:type="dxa"/>
            </w:tcMar>
            <w:vAlign w:val="center"/>
          </w:tcPr>
          <w:p w14:paraId="476320DF" w14:textId="77777777" w:rsidR="00666BF8" w:rsidRPr="005B0FA3" w:rsidRDefault="00666BF8" w:rsidP="004D0D18">
            <w:pPr>
              <w:spacing w:before="100" w:beforeAutospacing="1" w:after="100" w:afterAutospacing="1"/>
              <w:rPr>
                <w:rFonts w:cs="Arial"/>
              </w:rPr>
            </w:pPr>
            <w:r w:rsidRPr="00FA0528">
              <w:rPr>
                <w:rFonts w:cs="Arial"/>
                <w:szCs w:val="20"/>
              </w:rPr>
              <w:t>0.84</w:t>
            </w:r>
          </w:p>
        </w:tc>
        <w:tc>
          <w:tcPr>
            <w:tcW w:w="1560" w:type="dxa"/>
            <w:shd w:val="clear" w:color="auto" w:fill="FFFFFF"/>
            <w:tcMar>
              <w:top w:w="80" w:type="dxa"/>
              <w:left w:w="120" w:type="dxa"/>
              <w:bottom w:w="80" w:type="dxa"/>
              <w:right w:w="120" w:type="dxa"/>
            </w:tcMar>
            <w:vAlign w:val="center"/>
          </w:tcPr>
          <w:p w14:paraId="40F0E00E" w14:textId="77777777" w:rsidR="00666BF8" w:rsidRPr="005B0FA3" w:rsidRDefault="00666BF8" w:rsidP="004D0D18">
            <w:pPr>
              <w:spacing w:before="100" w:beforeAutospacing="1" w:after="100" w:afterAutospacing="1"/>
              <w:rPr>
                <w:rFonts w:cs="Arial"/>
              </w:rPr>
            </w:pPr>
            <w:r w:rsidRPr="00FA0528">
              <w:rPr>
                <w:rFonts w:cs="Arial"/>
                <w:szCs w:val="20"/>
              </w:rPr>
              <w:t>0.09</w:t>
            </w:r>
          </w:p>
        </w:tc>
        <w:tc>
          <w:tcPr>
            <w:tcW w:w="1701" w:type="dxa"/>
            <w:shd w:val="clear" w:color="auto" w:fill="FFFFFF"/>
            <w:tcMar>
              <w:top w:w="80" w:type="dxa"/>
              <w:left w:w="120" w:type="dxa"/>
              <w:bottom w:w="80" w:type="dxa"/>
              <w:right w:w="120" w:type="dxa"/>
            </w:tcMar>
            <w:vAlign w:val="center"/>
          </w:tcPr>
          <w:p w14:paraId="73D05924" w14:textId="77777777" w:rsidR="00666BF8" w:rsidRPr="005B0FA3" w:rsidRDefault="00666BF8" w:rsidP="004D0D18">
            <w:pPr>
              <w:spacing w:before="100" w:beforeAutospacing="1" w:after="100" w:afterAutospacing="1"/>
              <w:rPr>
                <w:rFonts w:cs="Arial"/>
              </w:rPr>
            </w:pPr>
            <w:r w:rsidRPr="00FA0528">
              <w:rPr>
                <w:rFonts w:cs="Arial"/>
                <w:szCs w:val="20"/>
              </w:rPr>
              <w:t>0.05</w:t>
            </w:r>
          </w:p>
        </w:tc>
      </w:tr>
      <w:tr w:rsidR="00666BF8" w14:paraId="2D99715F" w14:textId="77777777" w:rsidTr="004D0D18">
        <w:tc>
          <w:tcPr>
            <w:tcW w:w="2281" w:type="dxa"/>
            <w:shd w:val="clear" w:color="auto" w:fill="F0F4F8"/>
            <w:tcMar>
              <w:top w:w="80" w:type="dxa"/>
              <w:left w:w="120" w:type="dxa"/>
              <w:bottom w:w="80" w:type="dxa"/>
              <w:right w:w="120" w:type="dxa"/>
            </w:tcMar>
            <w:vAlign w:val="center"/>
          </w:tcPr>
          <w:p w14:paraId="5245F6F4" w14:textId="77777777" w:rsidR="00666BF8" w:rsidRPr="00BF654B" w:rsidRDefault="00666BF8" w:rsidP="004D0D18">
            <w:pPr>
              <w:spacing w:before="100" w:beforeAutospacing="1" w:after="100" w:afterAutospacing="1"/>
              <w:rPr>
                <w:rFonts w:ascii="Courier New" w:hAnsi="Courier New" w:cs="Courier New"/>
              </w:rPr>
            </w:pPr>
            <w:r w:rsidRPr="00FA0528">
              <w:rPr>
                <w:rFonts w:ascii="Courier New" w:hAnsi="Courier New" w:cs="Courier New"/>
                <w:szCs w:val="20"/>
              </w:rPr>
              <w:t>s4_mean</w:t>
            </w:r>
          </w:p>
        </w:tc>
        <w:tc>
          <w:tcPr>
            <w:tcW w:w="1688" w:type="dxa"/>
            <w:shd w:val="clear" w:color="auto" w:fill="F0F4F8"/>
            <w:tcMar>
              <w:top w:w="80" w:type="dxa"/>
              <w:left w:w="120" w:type="dxa"/>
              <w:bottom w:w="80" w:type="dxa"/>
              <w:right w:w="120" w:type="dxa"/>
            </w:tcMar>
            <w:vAlign w:val="center"/>
          </w:tcPr>
          <w:p w14:paraId="611FE2ED" w14:textId="77777777" w:rsidR="00666BF8" w:rsidRPr="005B0FA3" w:rsidRDefault="00666BF8" w:rsidP="004D0D18">
            <w:pPr>
              <w:spacing w:before="100" w:beforeAutospacing="1" w:after="100" w:afterAutospacing="1"/>
              <w:rPr>
                <w:rFonts w:cs="Arial"/>
              </w:rPr>
            </w:pPr>
            <w:r w:rsidRPr="00FA0528">
              <w:rPr>
                <w:rFonts w:cs="Arial"/>
                <w:b/>
                <w:bCs/>
                <w:szCs w:val="20"/>
              </w:rPr>
              <w:t>1.55</w:t>
            </w:r>
          </w:p>
        </w:tc>
        <w:tc>
          <w:tcPr>
            <w:tcW w:w="1701" w:type="dxa"/>
            <w:shd w:val="clear" w:color="auto" w:fill="F0F4F8"/>
            <w:tcMar>
              <w:top w:w="80" w:type="dxa"/>
              <w:left w:w="120" w:type="dxa"/>
              <w:bottom w:w="80" w:type="dxa"/>
              <w:right w:w="120" w:type="dxa"/>
            </w:tcMar>
            <w:vAlign w:val="center"/>
          </w:tcPr>
          <w:p w14:paraId="1F519AB5" w14:textId="77777777" w:rsidR="00666BF8" w:rsidRPr="005B0FA3" w:rsidRDefault="00666BF8" w:rsidP="004D0D18">
            <w:pPr>
              <w:spacing w:before="100" w:beforeAutospacing="1" w:after="100" w:afterAutospacing="1"/>
              <w:rPr>
                <w:rFonts w:cs="Arial"/>
              </w:rPr>
            </w:pPr>
            <w:r w:rsidRPr="00FA0528">
              <w:rPr>
                <w:rFonts w:cs="Arial"/>
                <w:b/>
                <w:bCs/>
                <w:szCs w:val="20"/>
              </w:rPr>
              <w:t>4.70</w:t>
            </w:r>
          </w:p>
        </w:tc>
        <w:tc>
          <w:tcPr>
            <w:tcW w:w="1560" w:type="dxa"/>
            <w:shd w:val="clear" w:color="auto" w:fill="F0F4F8"/>
            <w:tcMar>
              <w:top w:w="80" w:type="dxa"/>
              <w:left w:w="120" w:type="dxa"/>
              <w:bottom w:w="80" w:type="dxa"/>
              <w:right w:w="120" w:type="dxa"/>
            </w:tcMar>
            <w:vAlign w:val="center"/>
          </w:tcPr>
          <w:p w14:paraId="18A8C7DB" w14:textId="77777777" w:rsidR="00666BF8" w:rsidRPr="005B0FA3" w:rsidRDefault="00666BF8" w:rsidP="004D0D18">
            <w:pPr>
              <w:spacing w:before="100" w:beforeAutospacing="1" w:after="100" w:afterAutospacing="1"/>
              <w:rPr>
                <w:rFonts w:cs="Arial"/>
              </w:rPr>
            </w:pPr>
            <w:r w:rsidRPr="00FA0528">
              <w:rPr>
                <w:rFonts w:cs="Arial"/>
                <w:szCs w:val="20"/>
              </w:rPr>
              <w:t>0.13</w:t>
            </w:r>
          </w:p>
        </w:tc>
        <w:tc>
          <w:tcPr>
            <w:tcW w:w="1701" w:type="dxa"/>
            <w:shd w:val="clear" w:color="auto" w:fill="F0F4F8"/>
            <w:tcMar>
              <w:top w:w="80" w:type="dxa"/>
              <w:left w:w="120" w:type="dxa"/>
              <w:bottom w:w="80" w:type="dxa"/>
              <w:right w:w="120" w:type="dxa"/>
            </w:tcMar>
            <w:vAlign w:val="center"/>
          </w:tcPr>
          <w:p w14:paraId="1E07D595" w14:textId="77777777" w:rsidR="00666BF8" w:rsidRPr="005B0FA3" w:rsidRDefault="00666BF8" w:rsidP="004D0D18">
            <w:pPr>
              <w:spacing w:before="100" w:beforeAutospacing="1" w:after="100" w:afterAutospacing="1"/>
              <w:rPr>
                <w:rFonts w:cs="Arial"/>
              </w:rPr>
            </w:pPr>
            <w:r w:rsidRPr="00FA0528">
              <w:rPr>
                <w:rFonts w:cs="Arial"/>
                <w:b/>
                <w:bCs/>
                <w:szCs w:val="20"/>
              </w:rPr>
              <w:t>&lt; 0.005</w:t>
            </w:r>
          </w:p>
        </w:tc>
      </w:tr>
      <w:tr w:rsidR="00666BF8" w14:paraId="61CF0174" w14:textId="77777777" w:rsidTr="004D0D18">
        <w:tc>
          <w:tcPr>
            <w:tcW w:w="2281" w:type="dxa"/>
            <w:tcMar>
              <w:top w:w="80" w:type="dxa"/>
              <w:left w:w="120" w:type="dxa"/>
              <w:bottom w:w="80" w:type="dxa"/>
              <w:right w:w="120" w:type="dxa"/>
            </w:tcMar>
            <w:vAlign w:val="center"/>
          </w:tcPr>
          <w:p w14:paraId="729F24D9" w14:textId="77777777" w:rsidR="00666BF8" w:rsidRPr="00BF654B" w:rsidRDefault="00666BF8" w:rsidP="004D0D18">
            <w:pPr>
              <w:spacing w:before="100" w:beforeAutospacing="1" w:after="100" w:afterAutospacing="1"/>
              <w:rPr>
                <w:rFonts w:ascii="Courier New" w:hAnsi="Courier New" w:cs="Courier New"/>
              </w:rPr>
            </w:pPr>
            <w:r w:rsidRPr="00FA0528">
              <w:rPr>
                <w:rFonts w:ascii="Courier New" w:hAnsi="Courier New" w:cs="Courier New"/>
                <w:szCs w:val="20"/>
              </w:rPr>
              <w:t>s7_mean</w:t>
            </w:r>
          </w:p>
        </w:tc>
        <w:tc>
          <w:tcPr>
            <w:tcW w:w="1688" w:type="dxa"/>
            <w:tcMar>
              <w:top w:w="80" w:type="dxa"/>
              <w:left w:w="120" w:type="dxa"/>
              <w:bottom w:w="80" w:type="dxa"/>
              <w:right w:w="120" w:type="dxa"/>
            </w:tcMar>
            <w:vAlign w:val="center"/>
          </w:tcPr>
          <w:p w14:paraId="5E5582C7" w14:textId="77777777" w:rsidR="00666BF8" w:rsidRPr="005B0FA3" w:rsidRDefault="00666BF8" w:rsidP="004D0D18">
            <w:pPr>
              <w:spacing w:before="100" w:beforeAutospacing="1" w:after="100" w:afterAutospacing="1"/>
              <w:rPr>
                <w:rFonts w:cs="Arial"/>
              </w:rPr>
            </w:pPr>
            <w:r w:rsidRPr="00FA0528">
              <w:rPr>
                <w:rFonts w:cs="Arial"/>
                <w:szCs w:val="20"/>
              </w:rPr>
              <w:t>0.24</w:t>
            </w:r>
          </w:p>
        </w:tc>
        <w:tc>
          <w:tcPr>
            <w:tcW w:w="1701" w:type="dxa"/>
            <w:tcMar>
              <w:top w:w="80" w:type="dxa"/>
              <w:left w:w="120" w:type="dxa"/>
              <w:bottom w:w="80" w:type="dxa"/>
              <w:right w:w="120" w:type="dxa"/>
            </w:tcMar>
            <w:vAlign w:val="center"/>
          </w:tcPr>
          <w:p w14:paraId="1187065B" w14:textId="77777777" w:rsidR="00666BF8" w:rsidRPr="005B0FA3" w:rsidRDefault="00666BF8" w:rsidP="004D0D18">
            <w:pPr>
              <w:spacing w:before="100" w:beforeAutospacing="1" w:after="100" w:afterAutospacing="1"/>
              <w:rPr>
                <w:rFonts w:cs="Arial"/>
              </w:rPr>
            </w:pPr>
            <w:r w:rsidRPr="00FA0528">
              <w:rPr>
                <w:rFonts w:cs="Arial"/>
                <w:szCs w:val="20"/>
              </w:rPr>
              <w:t>1.27</w:t>
            </w:r>
          </w:p>
        </w:tc>
        <w:tc>
          <w:tcPr>
            <w:tcW w:w="1560" w:type="dxa"/>
            <w:tcMar>
              <w:top w:w="80" w:type="dxa"/>
              <w:left w:w="120" w:type="dxa"/>
              <w:bottom w:w="80" w:type="dxa"/>
              <w:right w:w="120" w:type="dxa"/>
            </w:tcMar>
            <w:vAlign w:val="center"/>
          </w:tcPr>
          <w:p w14:paraId="040B806B" w14:textId="77777777" w:rsidR="00666BF8" w:rsidRPr="005B0FA3" w:rsidRDefault="00666BF8" w:rsidP="004D0D18">
            <w:pPr>
              <w:spacing w:before="100" w:beforeAutospacing="1" w:after="100" w:afterAutospacing="1"/>
              <w:rPr>
                <w:rFonts w:cs="Arial"/>
              </w:rPr>
            </w:pPr>
            <w:r w:rsidRPr="00FA0528">
              <w:rPr>
                <w:rFonts w:cs="Arial"/>
                <w:szCs w:val="20"/>
              </w:rPr>
              <w:t>0.14</w:t>
            </w:r>
          </w:p>
        </w:tc>
        <w:tc>
          <w:tcPr>
            <w:tcW w:w="1701" w:type="dxa"/>
            <w:tcMar>
              <w:top w:w="80" w:type="dxa"/>
              <w:left w:w="120" w:type="dxa"/>
              <w:bottom w:w="80" w:type="dxa"/>
              <w:right w:w="120" w:type="dxa"/>
            </w:tcMar>
            <w:vAlign w:val="center"/>
          </w:tcPr>
          <w:p w14:paraId="484A348E" w14:textId="77777777" w:rsidR="00666BF8" w:rsidRPr="005B0FA3" w:rsidRDefault="00666BF8" w:rsidP="004D0D18">
            <w:pPr>
              <w:spacing w:before="100" w:beforeAutospacing="1" w:after="100" w:afterAutospacing="1"/>
              <w:rPr>
                <w:rFonts w:cs="Arial"/>
              </w:rPr>
            </w:pPr>
            <w:r w:rsidRPr="00FA0528">
              <w:rPr>
                <w:rFonts w:cs="Arial"/>
                <w:szCs w:val="20"/>
              </w:rPr>
              <w:t>0.10</w:t>
            </w:r>
          </w:p>
        </w:tc>
      </w:tr>
      <w:tr w:rsidR="00666BF8" w14:paraId="1FC857B5" w14:textId="77777777" w:rsidTr="004D0D18">
        <w:tc>
          <w:tcPr>
            <w:tcW w:w="2281" w:type="dxa"/>
            <w:shd w:val="clear" w:color="auto" w:fill="F0F4F8"/>
            <w:tcMar>
              <w:top w:w="80" w:type="dxa"/>
              <w:left w:w="120" w:type="dxa"/>
              <w:bottom w:w="80" w:type="dxa"/>
              <w:right w:w="120" w:type="dxa"/>
            </w:tcMar>
            <w:vAlign w:val="center"/>
          </w:tcPr>
          <w:p w14:paraId="5D779F1F" w14:textId="77777777" w:rsidR="00666BF8" w:rsidRPr="00BF654B" w:rsidRDefault="00666BF8" w:rsidP="004D0D18">
            <w:pPr>
              <w:spacing w:before="100" w:beforeAutospacing="1" w:after="100" w:afterAutospacing="1"/>
              <w:rPr>
                <w:rFonts w:ascii="Courier New" w:hAnsi="Courier New" w:cs="Courier New"/>
              </w:rPr>
            </w:pPr>
            <w:r w:rsidRPr="00FA0528">
              <w:rPr>
                <w:rFonts w:ascii="Courier New" w:hAnsi="Courier New" w:cs="Courier New"/>
                <w:szCs w:val="20"/>
              </w:rPr>
              <w:t>s9_mean</w:t>
            </w:r>
          </w:p>
        </w:tc>
        <w:tc>
          <w:tcPr>
            <w:tcW w:w="1688" w:type="dxa"/>
            <w:shd w:val="clear" w:color="auto" w:fill="F0F4F8"/>
            <w:tcMar>
              <w:top w:w="80" w:type="dxa"/>
              <w:left w:w="120" w:type="dxa"/>
              <w:bottom w:w="80" w:type="dxa"/>
              <w:right w:w="120" w:type="dxa"/>
            </w:tcMar>
            <w:vAlign w:val="center"/>
          </w:tcPr>
          <w:p w14:paraId="51205C40" w14:textId="77777777" w:rsidR="00666BF8" w:rsidRPr="005B0FA3" w:rsidRDefault="00666BF8" w:rsidP="004D0D18">
            <w:pPr>
              <w:spacing w:before="100" w:beforeAutospacing="1" w:after="100" w:afterAutospacing="1"/>
              <w:rPr>
                <w:rFonts w:cs="Arial"/>
              </w:rPr>
            </w:pPr>
            <w:r w:rsidRPr="00FA0528">
              <w:rPr>
                <w:rFonts w:cs="Arial"/>
                <w:szCs w:val="20"/>
              </w:rPr>
              <w:t>0.07</w:t>
            </w:r>
          </w:p>
        </w:tc>
        <w:tc>
          <w:tcPr>
            <w:tcW w:w="1701" w:type="dxa"/>
            <w:shd w:val="clear" w:color="auto" w:fill="F0F4F8"/>
            <w:tcMar>
              <w:top w:w="80" w:type="dxa"/>
              <w:left w:w="120" w:type="dxa"/>
              <w:bottom w:w="80" w:type="dxa"/>
              <w:right w:w="120" w:type="dxa"/>
            </w:tcMar>
            <w:vAlign w:val="center"/>
          </w:tcPr>
          <w:p w14:paraId="617FE3FB" w14:textId="77777777" w:rsidR="00666BF8" w:rsidRPr="005B0FA3" w:rsidRDefault="00666BF8" w:rsidP="004D0D18">
            <w:pPr>
              <w:spacing w:before="100" w:beforeAutospacing="1" w:after="100" w:afterAutospacing="1"/>
              <w:rPr>
                <w:rFonts w:cs="Arial"/>
              </w:rPr>
            </w:pPr>
            <w:r w:rsidRPr="00FA0528">
              <w:rPr>
                <w:rFonts w:cs="Arial"/>
                <w:szCs w:val="20"/>
              </w:rPr>
              <w:t>1.08</w:t>
            </w:r>
          </w:p>
        </w:tc>
        <w:tc>
          <w:tcPr>
            <w:tcW w:w="1560" w:type="dxa"/>
            <w:shd w:val="clear" w:color="auto" w:fill="F0F4F8"/>
            <w:tcMar>
              <w:top w:w="80" w:type="dxa"/>
              <w:left w:w="120" w:type="dxa"/>
              <w:bottom w:w="80" w:type="dxa"/>
              <w:right w:w="120" w:type="dxa"/>
            </w:tcMar>
            <w:vAlign w:val="center"/>
          </w:tcPr>
          <w:p w14:paraId="025A0122" w14:textId="77777777" w:rsidR="00666BF8" w:rsidRPr="005B0FA3" w:rsidRDefault="00666BF8" w:rsidP="004D0D18">
            <w:pPr>
              <w:spacing w:before="100" w:beforeAutospacing="1" w:after="100" w:afterAutospacing="1"/>
              <w:rPr>
                <w:rFonts w:cs="Arial"/>
              </w:rPr>
            </w:pPr>
            <w:r w:rsidRPr="00FA0528">
              <w:rPr>
                <w:rFonts w:cs="Arial"/>
                <w:szCs w:val="20"/>
              </w:rPr>
              <w:t>0.09</w:t>
            </w:r>
          </w:p>
        </w:tc>
        <w:tc>
          <w:tcPr>
            <w:tcW w:w="1701" w:type="dxa"/>
            <w:shd w:val="clear" w:color="auto" w:fill="F0F4F8"/>
            <w:tcMar>
              <w:top w:w="80" w:type="dxa"/>
              <w:left w:w="120" w:type="dxa"/>
              <w:bottom w:w="80" w:type="dxa"/>
              <w:right w:w="120" w:type="dxa"/>
            </w:tcMar>
            <w:vAlign w:val="center"/>
          </w:tcPr>
          <w:p w14:paraId="51EA2CDF" w14:textId="77777777" w:rsidR="00666BF8" w:rsidRPr="005B0FA3" w:rsidRDefault="00666BF8" w:rsidP="004D0D18">
            <w:pPr>
              <w:spacing w:before="100" w:beforeAutospacing="1" w:after="100" w:afterAutospacing="1"/>
              <w:rPr>
                <w:rFonts w:cs="Arial"/>
              </w:rPr>
            </w:pPr>
            <w:r w:rsidRPr="00FA0528">
              <w:rPr>
                <w:rFonts w:cs="Arial"/>
                <w:szCs w:val="20"/>
              </w:rPr>
              <w:t>0.41</w:t>
            </w:r>
          </w:p>
        </w:tc>
      </w:tr>
    </w:tbl>
    <w:p w14:paraId="63D98C6D" w14:textId="3946D075" w:rsidR="00666BF8" w:rsidRPr="005B0FA3" w:rsidRDefault="00666BF8" w:rsidP="00666BF8">
      <w:pPr>
        <w:spacing w:before="100" w:beforeAutospacing="1" w:after="100" w:afterAutospacing="1"/>
        <w:jc w:val="both"/>
        <w:rPr>
          <w:rFonts w:cs="Arial"/>
          <w:i/>
          <w:iCs/>
          <w:szCs w:val="20"/>
        </w:rPr>
      </w:pPr>
      <w:r w:rsidRPr="005B0FA3">
        <w:rPr>
          <w:rFonts w:cs="Arial"/>
          <w:b/>
          <w:bCs/>
          <w:i/>
          <w:iCs/>
          <w:color w:val="1B3A5C"/>
          <w:szCs w:val="20"/>
        </w:rPr>
        <w:t xml:space="preserve">Table </w:t>
      </w:r>
      <w:r>
        <w:rPr>
          <w:rFonts w:cs="Arial"/>
          <w:b/>
          <w:bCs/>
          <w:i/>
          <w:iCs/>
          <w:color w:val="1B3A5C"/>
          <w:szCs w:val="20"/>
        </w:rPr>
        <w:t>11.</w:t>
      </w:r>
      <w:r w:rsidRPr="005B0FA3">
        <w:rPr>
          <w:rFonts w:cs="Arial"/>
          <w:b/>
          <w:bCs/>
          <w:i/>
          <w:iCs/>
          <w:color w:val="1B3A5C"/>
          <w:szCs w:val="20"/>
        </w:rPr>
        <w:t xml:space="preserve"> </w:t>
      </w:r>
      <w:r>
        <w:rPr>
          <w:rFonts w:cs="Arial"/>
          <w:b/>
          <w:bCs/>
          <w:i/>
          <w:iCs/>
          <w:color w:val="1B3A5C"/>
          <w:szCs w:val="20"/>
        </w:rPr>
        <w:t>G21 Model Fit Statistic</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3261"/>
      </w:tblGrid>
      <w:tr w:rsidR="00666BF8" w:rsidRPr="005B0FA3" w14:paraId="774DBC77" w14:textId="77777777" w:rsidTr="009B23CF">
        <w:trPr>
          <w:tblHeader/>
        </w:trPr>
        <w:tc>
          <w:tcPr>
            <w:tcW w:w="3964"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2BED0AFD" w14:textId="77777777" w:rsidR="00666BF8" w:rsidRPr="005B0FA3" w:rsidRDefault="00666BF8" w:rsidP="004D0D18">
            <w:pPr>
              <w:spacing w:before="100" w:beforeAutospacing="1" w:after="100" w:afterAutospacing="1"/>
              <w:rPr>
                <w:rFonts w:cs="Arial"/>
              </w:rPr>
            </w:pPr>
            <w:r w:rsidRPr="00FA0528">
              <w:rPr>
                <w:rFonts w:cs="Arial"/>
                <w:b/>
                <w:bCs/>
                <w:szCs w:val="20"/>
              </w:rPr>
              <w:t>Model Fit Statistic</w:t>
            </w:r>
          </w:p>
        </w:tc>
        <w:tc>
          <w:tcPr>
            <w:tcW w:w="3261"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3FCB5A23" w14:textId="77777777" w:rsidR="00666BF8" w:rsidRPr="005B0FA3" w:rsidRDefault="00666BF8" w:rsidP="004D0D18">
            <w:pPr>
              <w:spacing w:before="100" w:beforeAutospacing="1" w:after="100" w:afterAutospacing="1"/>
              <w:rPr>
                <w:rFonts w:cs="Arial"/>
              </w:rPr>
            </w:pPr>
            <w:r w:rsidRPr="00FA0528">
              <w:rPr>
                <w:rFonts w:cs="Arial"/>
                <w:b/>
                <w:bCs/>
                <w:szCs w:val="20"/>
              </w:rPr>
              <w:t>Value</w:t>
            </w:r>
          </w:p>
        </w:tc>
      </w:tr>
      <w:tr w:rsidR="00666BF8" w14:paraId="1FF03A55" w14:textId="77777777" w:rsidTr="004D0D18">
        <w:tc>
          <w:tcPr>
            <w:tcW w:w="3964" w:type="dxa"/>
            <w:shd w:val="clear" w:color="auto" w:fill="FFFFFF"/>
            <w:tcMar>
              <w:top w:w="80" w:type="dxa"/>
              <w:left w:w="120" w:type="dxa"/>
              <w:bottom w:w="80" w:type="dxa"/>
              <w:right w:w="120" w:type="dxa"/>
            </w:tcMar>
            <w:vAlign w:val="center"/>
          </w:tcPr>
          <w:p w14:paraId="7C441391" w14:textId="77777777" w:rsidR="00666BF8" w:rsidRPr="005B0FA3" w:rsidRDefault="00666BF8" w:rsidP="004D0D18">
            <w:pPr>
              <w:spacing w:before="100" w:beforeAutospacing="1" w:after="100" w:afterAutospacing="1"/>
              <w:rPr>
                <w:rFonts w:cs="Arial"/>
              </w:rPr>
            </w:pPr>
            <w:r w:rsidRPr="00FA0528">
              <w:rPr>
                <w:rFonts w:cs="Arial"/>
                <w:szCs w:val="20"/>
              </w:rPr>
              <w:t>Partial log-likelihood</w:t>
            </w:r>
          </w:p>
        </w:tc>
        <w:tc>
          <w:tcPr>
            <w:tcW w:w="3261" w:type="dxa"/>
            <w:shd w:val="clear" w:color="auto" w:fill="FFFFFF"/>
            <w:tcMar>
              <w:top w:w="80" w:type="dxa"/>
              <w:left w:w="120" w:type="dxa"/>
              <w:bottom w:w="80" w:type="dxa"/>
              <w:right w:w="120" w:type="dxa"/>
            </w:tcMar>
            <w:vAlign w:val="center"/>
          </w:tcPr>
          <w:p w14:paraId="5AAFA8EC" w14:textId="77777777" w:rsidR="00666BF8" w:rsidRPr="005B0FA3" w:rsidRDefault="00666BF8" w:rsidP="004D0D18">
            <w:pPr>
              <w:spacing w:before="100" w:beforeAutospacing="1" w:after="100" w:afterAutospacing="1"/>
              <w:rPr>
                <w:rFonts w:cs="Arial"/>
              </w:rPr>
            </w:pPr>
            <w:r w:rsidRPr="00FA0528">
              <w:rPr>
                <w:rFonts w:cs="Arial"/>
                <w:szCs w:val="20"/>
              </w:rPr>
              <w:t>−2932.66</w:t>
            </w:r>
          </w:p>
        </w:tc>
      </w:tr>
      <w:tr w:rsidR="00666BF8" w14:paraId="0AD46348" w14:textId="77777777" w:rsidTr="004D0D18">
        <w:tc>
          <w:tcPr>
            <w:tcW w:w="3964" w:type="dxa"/>
            <w:shd w:val="clear" w:color="auto" w:fill="F0F4F8"/>
            <w:tcMar>
              <w:top w:w="80" w:type="dxa"/>
              <w:left w:w="120" w:type="dxa"/>
              <w:bottom w:w="80" w:type="dxa"/>
              <w:right w:w="120" w:type="dxa"/>
            </w:tcMar>
            <w:vAlign w:val="center"/>
          </w:tcPr>
          <w:p w14:paraId="5DFA8520" w14:textId="77777777" w:rsidR="00666BF8" w:rsidRPr="005B0FA3" w:rsidRDefault="00666BF8" w:rsidP="004D0D18">
            <w:pPr>
              <w:spacing w:before="100" w:beforeAutospacing="1" w:after="100" w:afterAutospacing="1"/>
              <w:rPr>
                <w:rFonts w:cs="Arial"/>
              </w:rPr>
            </w:pPr>
            <w:r w:rsidRPr="00FA0528">
              <w:rPr>
                <w:rFonts w:cs="Arial"/>
                <w:szCs w:val="20"/>
              </w:rPr>
              <w:t>Concordance index (C-index)</w:t>
            </w:r>
          </w:p>
        </w:tc>
        <w:tc>
          <w:tcPr>
            <w:tcW w:w="3261" w:type="dxa"/>
            <w:shd w:val="clear" w:color="auto" w:fill="F0F4F8"/>
            <w:tcMar>
              <w:top w:w="80" w:type="dxa"/>
              <w:left w:w="120" w:type="dxa"/>
              <w:bottom w:w="80" w:type="dxa"/>
              <w:right w:w="120" w:type="dxa"/>
            </w:tcMar>
            <w:vAlign w:val="center"/>
          </w:tcPr>
          <w:p w14:paraId="6ED209F1" w14:textId="77777777" w:rsidR="00666BF8" w:rsidRPr="005B0FA3" w:rsidRDefault="00666BF8" w:rsidP="004D0D18">
            <w:pPr>
              <w:spacing w:before="100" w:beforeAutospacing="1" w:after="100" w:afterAutospacing="1"/>
              <w:rPr>
                <w:rFonts w:cs="Arial"/>
              </w:rPr>
            </w:pPr>
            <w:r w:rsidRPr="00FA0528">
              <w:rPr>
                <w:rFonts w:cs="Arial"/>
                <w:b/>
                <w:bCs/>
                <w:szCs w:val="20"/>
              </w:rPr>
              <w:t>0.6398</w:t>
            </w:r>
          </w:p>
        </w:tc>
      </w:tr>
      <w:tr w:rsidR="00666BF8" w14:paraId="01A322CB" w14:textId="77777777" w:rsidTr="004D0D18">
        <w:tc>
          <w:tcPr>
            <w:tcW w:w="3964" w:type="dxa"/>
            <w:tcMar>
              <w:top w:w="80" w:type="dxa"/>
              <w:left w:w="120" w:type="dxa"/>
              <w:bottom w:w="80" w:type="dxa"/>
              <w:right w:w="120" w:type="dxa"/>
            </w:tcMar>
            <w:vAlign w:val="center"/>
          </w:tcPr>
          <w:p w14:paraId="10F176E2" w14:textId="77777777" w:rsidR="00666BF8" w:rsidRPr="005B0FA3" w:rsidRDefault="00666BF8" w:rsidP="004D0D18">
            <w:pPr>
              <w:spacing w:before="100" w:beforeAutospacing="1" w:after="100" w:afterAutospacing="1"/>
              <w:rPr>
                <w:rFonts w:cs="Arial"/>
              </w:rPr>
            </w:pPr>
            <w:r w:rsidRPr="00FA0528">
              <w:rPr>
                <w:rFonts w:cs="Arial"/>
                <w:szCs w:val="20"/>
              </w:rPr>
              <w:t>Partial AIC</w:t>
            </w:r>
          </w:p>
        </w:tc>
        <w:tc>
          <w:tcPr>
            <w:tcW w:w="3261" w:type="dxa"/>
            <w:tcMar>
              <w:top w:w="80" w:type="dxa"/>
              <w:left w:w="120" w:type="dxa"/>
              <w:bottom w:w="80" w:type="dxa"/>
              <w:right w:w="120" w:type="dxa"/>
            </w:tcMar>
            <w:vAlign w:val="center"/>
          </w:tcPr>
          <w:p w14:paraId="1A6A78A5" w14:textId="77777777" w:rsidR="00666BF8" w:rsidRPr="005B0FA3" w:rsidRDefault="00666BF8" w:rsidP="004D0D18">
            <w:pPr>
              <w:spacing w:before="100" w:beforeAutospacing="1" w:after="100" w:afterAutospacing="1"/>
              <w:rPr>
                <w:rFonts w:cs="Arial"/>
              </w:rPr>
            </w:pPr>
            <w:r w:rsidRPr="00FA0528">
              <w:rPr>
                <w:rFonts w:cs="Arial"/>
                <w:szCs w:val="20"/>
              </w:rPr>
              <w:t>5873.33</w:t>
            </w:r>
          </w:p>
        </w:tc>
      </w:tr>
      <w:tr w:rsidR="00666BF8" w14:paraId="42A3C9A3" w14:textId="77777777" w:rsidTr="004D0D18">
        <w:tc>
          <w:tcPr>
            <w:tcW w:w="3964" w:type="dxa"/>
            <w:shd w:val="clear" w:color="auto" w:fill="F0F4F8"/>
            <w:tcMar>
              <w:top w:w="80" w:type="dxa"/>
              <w:left w:w="120" w:type="dxa"/>
              <w:bottom w:w="80" w:type="dxa"/>
              <w:right w:w="120" w:type="dxa"/>
            </w:tcMar>
            <w:vAlign w:val="center"/>
          </w:tcPr>
          <w:p w14:paraId="6A7A78D8" w14:textId="77777777" w:rsidR="00666BF8" w:rsidRPr="005B0FA3" w:rsidRDefault="00666BF8" w:rsidP="004D0D18">
            <w:pPr>
              <w:spacing w:before="100" w:beforeAutospacing="1" w:after="100" w:afterAutospacing="1"/>
              <w:rPr>
                <w:rFonts w:cs="Arial"/>
              </w:rPr>
            </w:pPr>
            <w:r w:rsidRPr="00FA0528">
              <w:rPr>
                <w:rFonts w:cs="Arial"/>
                <w:szCs w:val="20"/>
              </w:rPr>
              <w:t>Log-likelihood ratio test</w:t>
            </w:r>
          </w:p>
        </w:tc>
        <w:tc>
          <w:tcPr>
            <w:tcW w:w="3261" w:type="dxa"/>
            <w:shd w:val="clear" w:color="auto" w:fill="F0F4F8"/>
            <w:tcMar>
              <w:top w:w="80" w:type="dxa"/>
              <w:left w:w="120" w:type="dxa"/>
              <w:bottom w:w="80" w:type="dxa"/>
              <w:right w:w="120" w:type="dxa"/>
            </w:tcMar>
            <w:vAlign w:val="center"/>
          </w:tcPr>
          <w:p w14:paraId="777AF206" w14:textId="77777777" w:rsidR="00666BF8" w:rsidRPr="005B0FA3" w:rsidRDefault="00666BF8" w:rsidP="004D0D18">
            <w:pPr>
              <w:spacing w:before="100" w:beforeAutospacing="1" w:after="100" w:afterAutospacing="1"/>
              <w:rPr>
                <w:rFonts w:cs="Arial"/>
              </w:rPr>
            </w:pPr>
            <w:r w:rsidRPr="00FA0528">
              <w:rPr>
                <w:rFonts w:cs="Arial"/>
                <w:szCs w:val="20"/>
              </w:rPr>
              <w:t>198.82 on 4 df (</w:t>
            </w:r>
            <m:oMath>
              <m:r>
                <w:rPr>
                  <w:rFonts w:ascii="Cambria Math" w:hAnsi="Cambria Math" w:cs="Arial"/>
                  <w:szCs w:val="20"/>
                </w:rPr>
                <m:t>p&lt;0.001</m:t>
              </m:r>
            </m:oMath>
            <w:r w:rsidRPr="00FA0528">
              <w:rPr>
                <w:rFonts w:cs="Arial"/>
                <w:szCs w:val="20"/>
              </w:rPr>
              <w:t xml:space="preserve">) </w:t>
            </w:r>
          </w:p>
        </w:tc>
      </w:tr>
    </w:tbl>
    <w:p w14:paraId="207B5CFD" w14:textId="77777777" w:rsidR="00666BF8" w:rsidRDefault="00666BF8" w:rsidP="00666BF8">
      <w:pPr>
        <w:jc w:val="both"/>
        <w:rPr>
          <w:rFonts w:cs="Arial"/>
          <w:szCs w:val="20"/>
        </w:rPr>
      </w:pPr>
    </w:p>
    <w:p w14:paraId="146019AA" w14:textId="5C60EB59" w:rsidR="00E578B7" w:rsidRDefault="00E578B7">
      <w:pPr>
        <w:rPr>
          <w:rFonts w:cs="Arial"/>
          <w:b/>
          <w:bCs/>
          <w:szCs w:val="20"/>
        </w:rPr>
      </w:pPr>
      <w:r>
        <w:rPr>
          <w:rFonts w:cs="Arial"/>
          <w:b/>
          <w:bCs/>
          <w:szCs w:val="20"/>
        </w:rPr>
        <w:br w:type="page"/>
      </w:r>
    </w:p>
    <w:p w14:paraId="0D3199F7" w14:textId="77777777" w:rsidR="00E578B7" w:rsidRPr="00FA0528" w:rsidRDefault="00E578B7" w:rsidP="00E578B7">
      <w:pPr>
        <w:jc w:val="both"/>
        <w:rPr>
          <w:rFonts w:cs="Arial"/>
          <w:b/>
          <w:bCs/>
          <w:vanish/>
          <w:szCs w:val="20"/>
        </w:rPr>
      </w:pPr>
    </w:p>
    <w:p w14:paraId="63BB3BE1" w14:textId="77777777" w:rsidR="00E578B7" w:rsidRPr="00E578B7" w:rsidRDefault="00E578B7" w:rsidP="00E578B7">
      <w:pPr>
        <w:jc w:val="both"/>
        <w:rPr>
          <w:rFonts w:cs="Arial"/>
          <w:b/>
          <w:bCs/>
          <w:szCs w:val="20"/>
        </w:rPr>
      </w:pPr>
      <w:r w:rsidRPr="00E578B7">
        <w:rPr>
          <w:rFonts w:cs="Arial"/>
          <w:b/>
          <w:bCs/>
          <w:szCs w:val="20"/>
        </w:rPr>
        <w:t>Three findings of direct engineering significance emerge:</w:t>
      </w:r>
    </w:p>
    <w:p w14:paraId="20F51689" w14:textId="77777777" w:rsidR="00E578B7" w:rsidRPr="00E578B7" w:rsidRDefault="00E578B7" w:rsidP="00E578B7">
      <w:pPr>
        <w:spacing w:before="100" w:beforeAutospacing="1" w:after="100" w:afterAutospacing="1"/>
        <w:jc w:val="both"/>
        <w:rPr>
          <w:rFonts w:cs="Arial"/>
          <w:szCs w:val="20"/>
        </w:rPr>
      </w:pPr>
      <w:r w:rsidRPr="00E578B7">
        <w:rPr>
          <w:rFonts w:ascii="Courier New" w:hAnsi="Courier New" w:cs="Courier New"/>
          <w:b/>
          <w:bCs/>
          <w:szCs w:val="20"/>
        </w:rPr>
        <w:t>s4_mean</w:t>
      </w:r>
      <w:r w:rsidRPr="00E578B7">
        <w:rPr>
          <w:rFonts w:cs="Arial"/>
          <w:b/>
          <w:bCs/>
          <w:szCs w:val="20"/>
        </w:rPr>
        <w:t xml:space="preserve"> dominance (HR = 4.70, p &lt; 0.005).</w:t>
      </w:r>
      <w:r w:rsidRPr="00E578B7">
        <w:rPr>
          <w:rFonts w:cs="Arial"/>
          <w:szCs w:val="20"/>
        </w:rPr>
        <w:t xml:space="preserve"> EGT is overwhelmingly the strongest predictor of failure timing. A one-unit increase in the trajectory-level mean EGT z-score is associated with a 370% increase in the instantaneous failure rate. Put plainly: engines that run consistently hotter than their regime baseline fail faster, and the model quantifies precisely how much faster. This validates the physical reasoning underpinning the FusionCore health monitoring framework — EGT elevation is not merely a threshold indicator, it is a continuous, dose-dependent driver of failure hazard. The magnitude of this effect also provides post-hoc validation for the selection of s4 as one of the three sensors constituting the multivariate health index in G10.</w:t>
      </w:r>
    </w:p>
    <w:p w14:paraId="756E398B" w14:textId="77777777" w:rsidR="00E578B7" w:rsidRPr="00E578B7" w:rsidRDefault="00E578B7" w:rsidP="00E578B7">
      <w:pPr>
        <w:spacing w:before="100" w:beforeAutospacing="1" w:after="100" w:afterAutospacing="1"/>
        <w:jc w:val="both"/>
        <w:rPr>
          <w:rFonts w:cs="Arial"/>
          <w:szCs w:val="20"/>
        </w:rPr>
      </w:pPr>
      <w:r w:rsidRPr="00E578B7">
        <w:rPr>
          <w:rFonts w:ascii="Courier New" w:hAnsi="Courier New" w:cs="Courier New"/>
          <w:b/>
          <w:bCs/>
          <w:szCs w:val="20"/>
        </w:rPr>
        <w:t>fault_mode_family</w:t>
      </w:r>
      <w:r w:rsidRPr="00E578B7">
        <w:rPr>
          <w:rFonts w:cs="Arial"/>
          <w:b/>
          <w:bCs/>
          <w:szCs w:val="20"/>
        </w:rPr>
        <w:t xml:space="preserve"> marginal significance (HR = 0.84, p = 0.05).</w:t>
      </w:r>
      <w:r w:rsidRPr="00E578B7">
        <w:rPr>
          <w:rFonts w:cs="Arial"/>
          <w:szCs w:val="20"/>
        </w:rPr>
        <w:t xml:space="preserve"> Dual-fault engines exhibit a modestly lower hazard of failure after controlling for sensor-level covariates. This is counterintuitive at first — one might expect concurrent HPC and fan degradation to accelerate failure — but is consistent with the C-MAPSS simulation structure, where dual-fault subsets include engines with longer total trajectories on average. Critically, the marginal p-value of exactly 0.05 sits precisely on the conventional significance boundary and warrants caution: this result should be monitored in Phase 4 SHAP analysis but is not strong enough to mandate fault-mode-differentiated scheduling policy.</w:t>
      </w:r>
    </w:p>
    <w:p w14:paraId="20A2770B" w14:textId="77777777" w:rsidR="00E578B7" w:rsidRPr="00E578B7" w:rsidRDefault="00E578B7" w:rsidP="00E578B7">
      <w:pPr>
        <w:spacing w:before="100" w:beforeAutospacing="1" w:after="100" w:afterAutospacing="1"/>
        <w:jc w:val="both"/>
        <w:rPr>
          <w:rFonts w:cs="Arial"/>
          <w:szCs w:val="20"/>
        </w:rPr>
      </w:pPr>
      <w:r w:rsidRPr="00E578B7">
        <w:rPr>
          <w:rFonts w:cs="Arial"/>
          <w:b/>
          <w:bCs/>
          <w:szCs w:val="20"/>
        </w:rPr>
        <w:t>s7 and s9 non-significance (p = 0.10 and 0.41).</w:t>
      </w:r>
      <w:r w:rsidRPr="00E578B7">
        <w:rPr>
          <w:rFonts w:cs="Arial"/>
          <w:szCs w:val="20"/>
        </w:rPr>
        <w:t xml:space="preserve"> HPC outlet temperature and core speed mean z-scores add limited incremental discriminative power once EGT level is already in the model. This is not a finding that these sensors are uninformative for RUL estimation generally — their value for the Phase 4 model lies in their temporal dynamics (rate of change, rolling mean, rolling standard deviation) rather than in their trajectory-level averages. The survival model, operating on scalar engine-level summaries, is not the appropriate tool to capture that dynamic signal.</w:t>
      </w:r>
    </w:p>
    <w:p w14:paraId="13BDA9E8" w14:textId="77777777" w:rsidR="00E578B7" w:rsidRPr="00E578B7" w:rsidRDefault="00E578B7" w:rsidP="00E578B7">
      <w:pPr>
        <w:spacing w:before="100" w:beforeAutospacing="1" w:after="100" w:afterAutospacing="1"/>
        <w:jc w:val="both"/>
        <w:rPr>
          <w:rFonts w:cs="Arial"/>
          <w:szCs w:val="20"/>
        </w:rPr>
      </w:pPr>
      <w:r w:rsidRPr="00E578B7">
        <w:rPr>
          <w:rFonts w:cs="Arial"/>
          <w:b/>
          <w:bCs/>
          <w:szCs w:val="20"/>
        </w:rPr>
        <w:t>Model discrimination (C-index = 0.6398).</w:t>
      </w:r>
      <w:r w:rsidRPr="00E578B7">
        <w:rPr>
          <w:rFonts w:cs="Arial"/>
          <w:szCs w:val="20"/>
        </w:rPr>
        <w:t xml:space="preserve"> The concordance index — analogous to the area under an ROC curve for survival data — indicates that the model correctly ranks engine failure times in 64.0% of pairwise comparisons. A value of 0.5 would represent random ranking; 1.0 would represent perfect discrimination. The 0.64 figure is appropriately characterised as moderate: this is a four-covariate diagnostic model fitted on trajectory-level means, not a production RUL predictor. Its purpose is to characterise covariate effects on the hazard structure, not to generate operational forecasts. The Phase 4 XGBoost model, operating on the full 91-feature matrix with temporal kinematic features, is expected to substantially exceed this discrimination threshold.</w:t>
      </w:r>
    </w:p>
    <w:p w14:paraId="59407885" w14:textId="62BB5E70" w:rsidR="00666BF8" w:rsidRPr="00FA0528" w:rsidRDefault="00666BF8" w:rsidP="00666BF8">
      <w:pPr>
        <w:spacing w:before="100" w:beforeAutospacing="1" w:after="100" w:afterAutospacing="1" w:line="278" w:lineRule="auto"/>
        <w:jc w:val="both"/>
        <w:rPr>
          <w:rFonts w:eastAsiaTheme="minorHAnsi" w:cs="Arial"/>
          <w:i/>
          <w:iCs/>
          <w:kern w:val="2"/>
          <w:szCs w:val="20"/>
          <w:lang w:eastAsia="en-US"/>
          <w14:ligatures w14:val="standardContextual"/>
        </w:rPr>
      </w:pPr>
      <w:r>
        <w:rPr>
          <w:rFonts w:cs="Arial"/>
          <w:b/>
          <w:bCs/>
          <w:i/>
          <w:iCs/>
          <w:color w:val="1B3A5C"/>
          <w:szCs w:val="20"/>
        </w:rPr>
        <w:t>Figure 6. G12: Cox Proportional Hazards — Covariate Effects on Failure Hazard</w:t>
      </w:r>
    </w:p>
    <w:p w14:paraId="195C652E" w14:textId="77777777" w:rsidR="00666BF8" w:rsidRPr="008378E2" w:rsidRDefault="00666BF8" w:rsidP="00666BF8">
      <w:pPr>
        <w:spacing w:before="100" w:beforeAutospacing="1" w:after="100" w:afterAutospacing="1"/>
        <w:jc w:val="both"/>
        <w:rPr>
          <w:rFonts w:cs="Arial"/>
          <w:b/>
          <w:bCs/>
          <w:i/>
          <w:iCs/>
          <w:szCs w:val="20"/>
        </w:rPr>
      </w:pPr>
      <w:r>
        <w:rPr>
          <w:noProof/>
        </w:rPr>
        <w:drawing>
          <wp:inline distT="0" distB="0" distL="0" distR="0" wp14:anchorId="05FA87C2" wp14:editId="4A4D5EDB">
            <wp:extent cx="5731510" cy="2827020"/>
            <wp:effectExtent l="0" t="0" r="0" b="5080"/>
            <wp:docPr id="1824876064" name="Picture 2" descr="A graph of hazard eff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6064" name="Picture 2" descr="A graph of hazard effec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tbl>
      <w:tblPr>
        <w:tblpPr w:leftFromText="180" w:rightFromText="180" w:vertAnchor="text" w:horzAnchor="margin" w:tblpY="111"/>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666BF8" w:rsidRPr="005B0FA3" w14:paraId="549F4AF4" w14:textId="77777777" w:rsidTr="004D0D18">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08A2478B" w14:textId="0367F51F" w:rsidR="00666BF8" w:rsidRPr="008378E2" w:rsidRDefault="00666BF8" w:rsidP="004D0D18">
            <w:pPr>
              <w:spacing w:before="100" w:beforeAutospacing="1" w:after="100" w:afterAutospacing="1"/>
              <w:jc w:val="both"/>
              <w:rPr>
                <w:rFonts w:cs="Arial"/>
                <w:color w:val="B85A67"/>
                <w:sz w:val="18"/>
                <w:szCs w:val="18"/>
              </w:rPr>
            </w:pPr>
            <w:r w:rsidRPr="00BB31E8">
              <w:rPr>
                <w:rFonts w:cs="Arial"/>
                <w:color w:val="AD4454"/>
                <w:sz w:val="18"/>
                <w:szCs w:val="18"/>
              </w:rPr>
              <w:lastRenderedPageBreak/>
              <w:t>Disposition:</w:t>
            </w:r>
            <w:r>
              <w:rPr>
                <w:rFonts w:cs="Arial"/>
                <w:color w:val="AD4454"/>
                <w:sz w:val="18"/>
                <w:szCs w:val="18"/>
              </w:rPr>
              <w:t xml:space="preserve"> </w:t>
            </w:r>
            <w:r w:rsidRPr="00FA0528">
              <w:rPr>
                <w:rFonts w:cs="Arial"/>
                <w:color w:val="B85A67"/>
                <w:sz w:val="18"/>
                <w:szCs w:val="18"/>
              </w:rPr>
              <w:t>Diagnostic.</w:t>
            </w:r>
            <w:r w:rsidR="00E578B7" w:rsidRPr="00E578B7">
              <w:rPr>
                <w:color w:val="B85A67"/>
                <w:sz w:val="18"/>
                <w:szCs w:val="18"/>
              </w:rPr>
              <w:t xml:space="preserve"> Kaplan-Meier estimation and Cox PH modelling are completed in Cell 17. The survival analysis confirms s4 (EGT) as the dominant failure hazard predictor (HR = 4.70) and establishes the empirical survival function required for probabilistic maintenance scheduling. The log-rank test confirms that fault mode family does not produce statistically distinguishable survival profiles at the P-F interval level (</w:t>
            </w:r>
            <m:oMath>
              <m:r>
                <w:rPr>
                  <w:rFonts w:ascii="Cambria Math" w:hAnsi="Cambria Math"/>
                  <w:color w:val="B85A67"/>
                  <w:sz w:val="18"/>
                  <w:szCs w:val="18"/>
                </w:rPr>
                <m:t>p=0.407</m:t>
              </m:r>
            </m:oMath>
            <w:r w:rsidR="00E578B7" w:rsidRPr="00E578B7">
              <w:rPr>
                <w:color w:val="B85A67"/>
                <w:sz w:val="18"/>
                <w:szCs w:val="18"/>
              </w:rPr>
              <w:t>), simplifying scheduling policy. Integration of the survival function outputs into the maintenance scheduling decision layer is formally deferred to Phase 5. See Appendix A.6 for the theoretical foundation of the Cox PH model and Kaplan-Meier estimation, including the rationale for their selection over parametric alternatives.</w:t>
            </w:r>
          </w:p>
        </w:tc>
      </w:tr>
    </w:tbl>
    <w:p w14:paraId="14874514" w14:textId="4C9FEAFA" w:rsidR="00666BF8" w:rsidRPr="008378E2" w:rsidRDefault="00666BF8" w:rsidP="00666BF8">
      <w:pPr>
        <w:pStyle w:val="Heading2"/>
      </w:pPr>
      <w:r w:rsidRPr="008378E2">
        <w:t>4.12 G13</w:t>
      </w:r>
      <w:r>
        <w:t xml:space="preserve"> — P</w:t>
      </w:r>
      <w:r w:rsidRPr="008378E2">
        <w:t>er-Fault-Mode-Family</w:t>
      </w:r>
      <w:r>
        <w:t xml:space="preserve"> </w:t>
      </w:r>
      <w:r w:rsidRPr="008378E2">
        <w:t xml:space="preserve"> UWL Recalibration (Cell 18)</w:t>
      </w:r>
    </w:p>
    <w:p w14:paraId="37D41246" w14:textId="77777777" w:rsidR="003F29BD" w:rsidRPr="003F29BD" w:rsidRDefault="003F29BD" w:rsidP="003F29BD">
      <w:pPr>
        <w:rPr>
          <w:b/>
          <w:bCs/>
          <w:szCs w:val="27"/>
        </w:rPr>
      </w:pPr>
      <w:r w:rsidRPr="003F29BD">
        <w:rPr>
          <w:b/>
          <w:bCs/>
        </w:rPr>
        <w:t>Why This Analysis Was Required</w:t>
      </w:r>
    </w:p>
    <w:p w14:paraId="5DCDE9A9" w14:textId="77777777" w:rsidR="003F29BD" w:rsidRDefault="003F29BD" w:rsidP="003F29BD">
      <w:pPr>
        <w:pStyle w:val="font-claude-response-body"/>
        <w:jc w:val="both"/>
      </w:pPr>
      <w:r>
        <w:t>A fixed alert threshold applied uniformly across all engine types assumes that all engines behave the same way after the alert fires. The data show they do not.</w:t>
      </w:r>
    </w:p>
    <w:p w14:paraId="3F89D741" w14:textId="4CBFEFB4" w:rsidR="003F29BD" w:rsidRDefault="003F29BD" w:rsidP="003F29BD">
      <w:pPr>
        <w:pStyle w:val="font-claude-response-body"/>
        <w:jc w:val="both"/>
      </w:pPr>
      <w:r>
        <w:t xml:space="preserve">Phase 2 Item 8 identified a CV disparity in the P-F interval across C-MAPSS subsets ranging from 0.869 (FD002) to 1.419 (FD003) — a factor of </w:t>
      </w:r>
      <m:oMath>
        <m:r>
          <w:rPr>
            <w:rFonts w:ascii="Cambria Math" w:hAnsi="Cambria Math"/>
          </w:rPr>
          <m:t>1.63×</m:t>
        </m:r>
      </m:oMath>
      <w:r>
        <w:t xml:space="preserve">. CV is the ratio of standard deviation to mean: a CV of 1.419 means the spread of the lead-time distribution is 41.9% larger than its mean, making the alert essentially uninformative as a scheduling signal for that population. A single fixed threshold of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&gt;2</m:t>
        </m:r>
      </m:oMath>
      <w:r>
        <w:t xml:space="preserve"> is therefore structurally inadequate for the dual-fault population — not because the threshold is wrong in principle, but because it produces dangerously different operational outcomes depending on which type of engine is being monitored. </w:t>
      </w:r>
    </w:p>
    <w:p w14:paraId="2613B0CE" w14:textId="77777777" w:rsidR="003F29BD" w:rsidRDefault="003F29BD" w:rsidP="003F29BD">
      <w:pPr>
        <w:pStyle w:val="font-claude-response-body"/>
        <w:jc w:val="both"/>
      </w:pPr>
      <w:r>
        <w:t>Cell 18 addresses this by quantifying exactly how different those outcomes are, sweeping across threshold values to find the setting that restores adequate scheduling lead time, and deriving a calibrated recommendation.</w:t>
      </w:r>
    </w:p>
    <w:p w14:paraId="114AAA8A" w14:textId="5DEFE88A" w:rsidR="00666BF8" w:rsidRDefault="00666BF8" w:rsidP="00666BF8">
      <w:pPr>
        <w:pStyle w:val="Heading3"/>
      </w:pPr>
      <w:r w:rsidRPr="008378E2">
        <w:t>4.12.1 P-F Interval Distribution by C-MAPSS Subset</w:t>
      </w:r>
    </w:p>
    <w:p w14:paraId="2AF9209B" w14:textId="40E88DDE" w:rsidR="003F29BD" w:rsidRPr="008378E2" w:rsidRDefault="003F29BD" w:rsidP="003F29BD">
      <w:r>
        <w:t>The first step is to understand the current situation in full. Table 12 reports the P-F interval statistics at per-subset granularity — the finest level of detail before aggregating to fault mode families.</w:t>
      </w:r>
    </w:p>
    <w:p w14:paraId="738F8C0F" w14:textId="55BFD80A" w:rsidR="00666BF8" w:rsidRPr="00666BF8" w:rsidRDefault="00666BF8" w:rsidP="00666BF8">
      <w:pPr>
        <w:spacing w:before="100" w:beforeAutospacing="1" w:after="100" w:afterAutospacing="1"/>
        <w:jc w:val="both"/>
        <w:rPr>
          <w:rFonts w:cs="Arial"/>
          <w:i/>
          <w:iCs/>
          <w:szCs w:val="20"/>
        </w:rPr>
      </w:pPr>
      <w:r w:rsidRPr="005B0FA3">
        <w:rPr>
          <w:rFonts w:cs="Arial"/>
          <w:b/>
          <w:bCs/>
          <w:i/>
          <w:iCs/>
          <w:color w:val="1B3A5C"/>
          <w:szCs w:val="20"/>
        </w:rPr>
        <w:t xml:space="preserve">Table </w:t>
      </w:r>
      <w:r>
        <w:rPr>
          <w:rFonts w:cs="Arial"/>
          <w:b/>
          <w:bCs/>
          <w:i/>
          <w:iCs/>
          <w:color w:val="1B3A5C"/>
          <w:szCs w:val="20"/>
        </w:rPr>
        <w:t>12. G13 P-F Interval Statistics by Subset (Internal Train)</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646"/>
        <w:gridCol w:w="1282"/>
        <w:gridCol w:w="1134"/>
        <w:gridCol w:w="1134"/>
        <w:gridCol w:w="1134"/>
        <w:gridCol w:w="1134"/>
        <w:gridCol w:w="1560"/>
      </w:tblGrid>
      <w:tr w:rsidR="00666BF8" w:rsidRPr="005B0FA3" w14:paraId="659A3F69" w14:textId="77777777" w:rsidTr="009B23CF">
        <w:trPr>
          <w:trHeight w:val="469"/>
          <w:tblHeader/>
        </w:trPr>
        <w:tc>
          <w:tcPr>
            <w:tcW w:w="90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4FCFEBA" w14:textId="77777777" w:rsidR="00666BF8" w:rsidRPr="005B0FA3" w:rsidRDefault="00666BF8" w:rsidP="004D0D18">
            <w:pPr>
              <w:spacing w:before="100" w:beforeAutospacing="1" w:after="100" w:afterAutospacing="1"/>
              <w:jc w:val="center"/>
              <w:rPr>
                <w:rFonts w:cs="Arial"/>
              </w:rPr>
            </w:pPr>
            <w:r w:rsidRPr="008378E2">
              <w:rPr>
                <w:rFonts w:cs="Arial"/>
                <w:b/>
                <w:bCs/>
                <w:szCs w:val="20"/>
              </w:rPr>
              <w:t>Subset</w:t>
            </w:r>
          </w:p>
        </w:tc>
        <w:tc>
          <w:tcPr>
            <w:tcW w:w="64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8C51955" w14:textId="77777777" w:rsidR="00666BF8" w:rsidRPr="005B0FA3" w:rsidRDefault="00666BF8" w:rsidP="004D0D18">
            <w:pPr>
              <w:spacing w:before="100" w:beforeAutospacing="1" w:after="100" w:afterAutospacing="1"/>
              <w:jc w:val="center"/>
              <w:rPr>
                <w:rFonts w:cs="Arial"/>
              </w:rPr>
            </w:pPr>
            <w:r w:rsidRPr="008378E2">
              <w:rPr>
                <w:rFonts w:cs="Arial"/>
                <w:b/>
                <w:bCs/>
                <w:szCs w:val="20"/>
              </w:rPr>
              <w:t>n</w:t>
            </w:r>
          </w:p>
        </w:tc>
        <w:tc>
          <w:tcPr>
            <w:tcW w:w="128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C69C412" w14:textId="77777777" w:rsidR="00666BF8" w:rsidRPr="005B0FA3" w:rsidRDefault="00666BF8" w:rsidP="004D0D18">
            <w:pPr>
              <w:spacing w:before="100" w:beforeAutospacing="1" w:after="100" w:afterAutospacing="1"/>
              <w:jc w:val="center"/>
              <w:rPr>
                <w:rFonts w:cs="Arial"/>
              </w:rPr>
            </w:pPr>
            <w:r w:rsidRPr="008378E2">
              <w:rPr>
                <w:rFonts w:cs="Arial"/>
                <w:b/>
                <w:bCs/>
                <w:szCs w:val="20"/>
              </w:rPr>
              <w:t>Mean (cycles)</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093B97D" w14:textId="77777777" w:rsidR="00666BF8" w:rsidRPr="005B0FA3" w:rsidRDefault="00666BF8" w:rsidP="004D0D18">
            <w:pPr>
              <w:spacing w:before="100" w:beforeAutospacing="1" w:after="100" w:afterAutospacing="1"/>
              <w:jc w:val="center"/>
              <w:rPr>
                <w:rFonts w:cs="Arial"/>
              </w:rPr>
            </w:pPr>
            <w:r w:rsidRPr="008378E2">
              <w:rPr>
                <w:rFonts w:cs="Arial"/>
                <w:b/>
                <w:bCs/>
                <w:szCs w:val="20"/>
              </w:rPr>
              <w:t>Std (cycles)</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E3FA6CE" w14:textId="77777777" w:rsidR="00666BF8" w:rsidRPr="005B0FA3" w:rsidRDefault="00666BF8" w:rsidP="004D0D18">
            <w:pPr>
              <w:spacing w:before="100" w:beforeAutospacing="1" w:after="100" w:afterAutospacing="1"/>
              <w:jc w:val="center"/>
              <w:rPr>
                <w:rFonts w:cs="Arial"/>
              </w:rPr>
            </w:pPr>
            <w:r w:rsidRPr="008378E2">
              <w:rPr>
                <w:rFonts w:cs="Arial"/>
                <w:b/>
                <w:bCs/>
                <w:szCs w:val="20"/>
              </w:rPr>
              <w:t>CV</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AEF2818" w14:textId="77777777" w:rsidR="00666BF8" w:rsidRPr="005B0FA3" w:rsidRDefault="00666BF8" w:rsidP="004D0D18">
            <w:pPr>
              <w:spacing w:before="100" w:beforeAutospacing="1" w:after="100" w:afterAutospacing="1"/>
              <w:jc w:val="center"/>
              <w:rPr>
                <w:rFonts w:cs="Arial"/>
                <w:b/>
                <w:bCs/>
                <w:color w:val="FFFFFF"/>
                <w:sz w:val="18"/>
                <w:szCs w:val="18"/>
              </w:rPr>
            </w:pPr>
            <w:r w:rsidRPr="008378E2">
              <w:rPr>
                <w:rFonts w:cs="Arial"/>
                <w:b/>
                <w:bCs/>
                <w:szCs w:val="20"/>
              </w:rPr>
              <w:t>P10 (cycles)</w:t>
            </w:r>
          </w:p>
        </w:tc>
        <w:tc>
          <w:tcPr>
            <w:tcW w:w="1134" w:type="dxa"/>
            <w:tcBorders>
              <w:top w:val="single" w:sz="4" w:space="0" w:color="auto"/>
              <w:left w:val="single" w:sz="2" w:space="0" w:color="CCCCCC"/>
              <w:bottom w:val="single" w:sz="4" w:space="0" w:color="auto"/>
              <w:right w:val="single" w:sz="4" w:space="0" w:color="CCCCCC"/>
            </w:tcBorders>
            <w:shd w:val="clear" w:color="auto" w:fill="1B3A5C"/>
            <w:tcMar>
              <w:top w:w="100" w:type="dxa"/>
              <w:left w:w="120" w:type="dxa"/>
              <w:bottom w:w="100" w:type="dxa"/>
              <w:right w:w="120" w:type="dxa"/>
            </w:tcMar>
            <w:vAlign w:val="center"/>
          </w:tcPr>
          <w:p w14:paraId="53E1F2D7" w14:textId="77777777" w:rsidR="00666BF8" w:rsidRPr="005B0FA3" w:rsidRDefault="00666BF8" w:rsidP="004D0D18">
            <w:pPr>
              <w:spacing w:before="100" w:beforeAutospacing="1" w:after="100" w:afterAutospacing="1"/>
              <w:jc w:val="center"/>
              <w:rPr>
                <w:rFonts w:cs="Arial"/>
              </w:rPr>
            </w:pPr>
            <w:r w:rsidRPr="008378E2">
              <w:rPr>
                <w:rFonts w:cs="Arial"/>
                <w:b/>
                <w:bCs/>
                <w:szCs w:val="20"/>
              </w:rPr>
              <w:t>P90 (cycles)</w:t>
            </w:r>
          </w:p>
        </w:tc>
        <w:tc>
          <w:tcPr>
            <w:tcW w:w="1560" w:type="dxa"/>
            <w:tcBorders>
              <w:top w:val="single" w:sz="4" w:space="0" w:color="auto"/>
              <w:left w:val="single" w:sz="4" w:space="0" w:color="CCCCCC"/>
              <w:bottom w:val="single" w:sz="4" w:space="0" w:color="auto"/>
              <w:right w:val="single" w:sz="4" w:space="0" w:color="auto"/>
            </w:tcBorders>
            <w:shd w:val="clear" w:color="auto" w:fill="1C395C"/>
            <w:vAlign w:val="center"/>
          </w:tcPr>
          <w:p w14:paraId="1E2DFEF2" w14:textId="77777777" w:rsidR="00666BF8" w:rsidRPr="008378E2" w:rsidRDefault="00666BF8" w:rsidP="004D0D18">
            <w:pPr>
              <w:jc w:val="center"/>
              <w:rPr>
                <w:rFonts w:cs="Arial"/>
                <w:b/>
                <w:bCs/>
                <w:szCs w:val="20"/>
              </w:rPr>
            </w:pPr>
            <w:r>
              <w:rPr>
                <w:rFonts w:cs="Arial"/>
                <w:b/>
                <w:bCs/>
                <w:szCs w:val="20"/>
              </w:rPr>
              <w:t>Fault Family</w:t>
            </w:r>
          </w:p>
        </w:tc>
      </w:tr>
      <w:tr w:rsidR="00666BF8" w14:paraId="195F1F37" w14:textId="77777777" w:rsidTr="009B23CF">
        <w:tc>
          <w:tcPr>
            <w:tcW w:w="907" w:type="dxa"/>
            <w:tcBorders>
              <w:top w:val="single" w:sz="4" w:space="0" w:color="auto"/>
            </w:tcBorders>
            <w:shd w:val="clear" w:color="auto" w:fill="FFFFFF"/>
            <w:tcMar>
              <w:top w:w="80" w:type="dxa"/>
              <w:left w:w="120" w:type="dxa"/>
              <w:bottom w:w="80" w:type="dxa"/>
              <w:right w:w="120" w:type="dxa"/>
            </w:tcMar>
            <w:vAlign w:val="center"/>
          </w:tcPr>
          <w:p w14:paraId="697F9382"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FD001</w:t>
            </w:r>
          </w:p>
        </w:tc>
        <w:tc>
          <w:tcPr>
            <w:tcW w:w="646" w:type="dxa"/>
            <w:tcBorders>
              <w:top w:val="single" w:sz="4" w:space="0" w:color="auto"/>
            </w:tcBorders>
            <w:shd w:val="clear" w:color="auto" w:fill="FFFFFF"/>
            <w:tcMar>
              <w:top w:w="80" w:type="dxa"/>
              <w:left w:w="120" w:type="dxa"/>
              <w:bottom w:w="80" w:type="dxa"/>
              <w:right w:w="120" w:type="dxa"/>
            </w:tcMar>
            <w:vAlign w:val="center"/>
          </w:tcPr>
          <w:p w14:paraId="5E4ABF70"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80</w:t>
            </w:r>
          </w:p>
        </w:tc>
        <w:tc>
          <w:tcPr>
            <w:tcW w:w="1282" w:type="dxa"/>
            <w:tcBorders>
              <w:top w:val="single" w:sz="4" w:space="0" w:color="auto"/>
            </w:tcBorders>
            <w:shd w:val="clear" w:color="auto" w:fill="FFFFFF"/>
            <w:tcMar>
              <w:top w:w="80" w:type="dxa"/>
              <w:left w:w="120" w:type="dxa"/>
              <w:bottom w:w="80" w:type="dxa"/>
              <w:right w:w="120" w:type="dxa"/>
            </w:tcMar>
            <w:vAlign w:val="center"/>
          </w:tcPr>
          <w:p w14:paraId="749F0406"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84.9</w:t>
            </w:r>
          </w:p>
        </w:tc>
        <w:tc>
          <w:tcPr>
            <w:tcW w:w="1134" w:type="dxa"/>
            <w:tcBorders>
              <w:top w:val="single" w:sz="4" w:space="0" w:color="auto"/>
            </w:tcBorders>
            <w:shd w:val="clear" w:color="auto" w:fill="FFFFFF"/>
            <w:tcMar>
              <w:top w:w="80" w:type="dxa"/>
              <w:left w:w="120" w:type="dxa"/>
              <w:bottom w:w="80" w:type="dxa"/>
              <w:right w:w="120" w:type="dxa"/>
            </w:tcMar>
            <w:vAlign w:val="center"/>
          </w:tcPr>
          <w:p w14:paraId="136A604E"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87.7</w:t>
            </w:r>
          </w:p>
        </w:tc>
        <w:tc>
          <w:tcPr>
            <w:tcW w:w="1134" w:type="dxa"/>
            <w:tcBorders>
              <w:top w:val="single" w:sz="4" w:space="0" w:color="auto"/>
            </w:tcBorders>
            <w:shd w:val="clear" w:color="auto" w:fill="FFFFFF"/>
            <w:tcMar>
              <w:top w:w="80" w:type="dxa"/>
              <w:left w:w="120" w:type="dxa"/>
              <w:bottom w:w="80" w:type="dxa"/>
              <w:right w:w="120" w:type="dxa"/>
            </w:tcMar>
            <w:vAlign w:val="center"/>
          </w:tcPr>
          <w:p w14:paraId="72FD490E"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1.033</w:t>
            </w:r>
          </w:p>
        </w:tc>
        <w:tc>
          <w:tcPr>
            <w:tcW w:w="1134" w:type="dxa"/>
            <w:tcBorders>
              <w:top w:val="single" w:sz="4" w:space="0" w:color="auto"/>
            </w:tcBorders>
            <w:shd w:val="clear" w:color="auto" w:fill="FFFFFF"/>
            <w:tcMar>
              <w:top w:w="80" w:type="dxa"/>
              <w:left w:w="120" w:type="dxa"/>
              <w:bottom w:w="80" w:type="dxa"/>
              <w:right w:w="120" w:type="dxa"/>
            </w:tcMar>
            <w:vAlign w:val="center"/>
          </w:tcPr>
          <w:p w14:paraId="79E88B2E" w14:textId="77777777" w:rsidR="00666BF8" w:rsidRPr="00F24BF5" w:rsidRDefault="00666BF8" w:rsidP="004D0D18">
            <w:pPr>
              <w:spacing w:before="100" w:beforeAutospacing="1" w:after="100" w:afterAutospacing="1"/>
              <w:rPr>
                <w:rFonts w:cs="Arial"/>
                <w:sz w:val="18"/>
                <w:szCs w:val="18"/>
              </w:rPr>
            </w:pPr>
            <w:r w:rsidRPr="008378E2">
              <w:rPr>
                <w:rStyle w:val="Strong"/>
                <w:rFonts w:cs="Arial"/>
                <w:szCs w:val="20"/>
              </w:rPr>
              <w:t>9</w:t>
            </w:r>
          </w:p>
        </w:tc>
        <w:tc>
          <w:tcPr>
            <w:tcW w:w="1134" w:type="dxa"/>
            <w:tcBorders>
              <w:top w:val="single" w:sz="4" w:space="0" w:color="auto"/>
            </w:tcBorders>
            <w:shd w:val="clear" w:color="auto" w:fill="FFFFFF"/>
            <w:tcMar>
              <w:top w:w="80" w:type="dxa"/>
              <w:left w:w="120" w:type="dxa"/>
              <w:bottom w:w="80" w:type="dxa"/>
              <w:right w:w="120" w:type="dxa"/>
            </w:tcMar>
            <w:vAlign w:val="center"/>
          </w:tcPr>
          <w:p w14:paraId="69304F88"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210</w:t>
            </w:r>
          </w:p>
        </w:tc>
        <w:tc>
          <w:tcPr>
            <w:tcW w:w="1560" w:type="dxa"/>
            <w:tcBorders>
              <w:top w:val="single" w:sz="4" w:space="0" w:color="auto"/>
              <w:right w:val="single" w:sz="4" w:space="0" w:color="auto"/>
            </w:tcBorders>
            <w:vAlign w:val="center"/>
          </w:tcPr>
          <w:p w14:paraId="7D67FCEE" w14:textId="77777777" w:rsidR="00666BF8" w:rsidRPr="00F24BF5" w:rsidRDefault="00666BF8" w:rsidP="004D0D18">
            <w:pPr>
              <w:spacing w:before="100" w:beforeAutospacing="1" w:after="100" w:afterAutospacing="1"/>
              <w:jc w:val="center"/>
              <w:rPr>
                <w:rFonts w:cs="Arial"/>
                <w:sz w:val="18"/>
                <w:szCs w:val="18"/>
              </w:rPr>
            </w:pPr>
            <w:r w:rsidRPr="008378E2">
              <w:rPr>
                <w:rFonts w:cs="Arial"/>
                <w:szCs w:val="20"/>
              </w:rPr>
              <w:t>Single-fault</w:t>
            </w:r>
          </w:p>
        </w:tc>
      </w:tr>
      <w:tr w:rsidR="00666BF8" w14:paraId="7521F4E1" w14:textId="77777777" w:rsidTr="004D0D18">
        <w:tc>
          <w:tcPr>
            <w:tcW w:w="907" w:type="dxa"/>
            <w:shd w:val="clear" w:color="auto" w:fill="F0F4F8"/>
            <w:tcMar>
              <w:top w:w="80" w:type="dxa"/>
              <w:left w:w="120" w:type="dxa"/>
              <w:bottom w:w="80" w:type="dxa"/>
              <w:right w:w="120" w:type="dxa"/>
            </w:tcMar>
            <w:vAlign w:val="center"/>
          </w:tcPr>
          <w:p w14:paraId="713D31E8"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FD002</w:t>
            </w:r>
          </w:p>
        </w:tc>
        <w:tc>
          <w:tcPr>
            <w:tcW w:w="646" w:type="dxa"/>
            <w:shd w:val="clear" w:color="auto" w:fill="F0F4F8"/>
            <w:tcMar>
              <w:top w:w="80" w:type="dxa"/>
              <w:left w:w="120" w:type="dxa"/>
              <w:bottom w:w="80" w:type="dxa"/>
              <w:right w:w="120" w:type="dxa"/>
            </w:tcMar>
            <w:vAlign w:val="center"/>
          </w:tcPr>
          <w:p w14:paraId="53B08292"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208</w:t>
            </w:r>
          </w:p>
        </w:tc>
        <w:tc>
          <w:tcPr>
            <w:tcW w:w="1282" w:type="dxa"/>
            <w:shd w:val="clear" w:color="auto" w:fill="F0F4F8"/>
            <w:tcMar>
              <w:top w:w="80" w:type="dxa"/>
              <w:left w:w="120" w:type="dxa"/>
              <w:bottom w:w="80" w:type="dxa"/>
              <w:right w:w="120" w:type="dxa"/>
            </w:tcMar>
            <w:vAlign w:val="center"/>
          </w:tcPr>
          <w:p w14:paraId="358E0D75"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106.5</w:t>
            </w:r>
          </w:p>
        </w:tc>
        <w:tc>
          <w:tcPr>
            <w:tcW w:w="1134" w:type="dxa"/>
            <w:shd w:val="clear" w:color="auto" w:fill="F0F4F8"/>
            <w:tcMar>
              <w:top w:w="80" w:type="dxa"/>
              <w:left w:w="120" w:type="dxa"/>
              <w:bottom w:w="80" w:type="dxa"/>
              <w:right w:w="120" w:type="dxa"/>
            </w:tcMar>
            <w:vAlign w:val="center"/>
          </w:tcPr>
          <w:p w14:paraId="25A702FE"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92.6</w:t>
            </w:r>
          </w:p>
        </w:tc>
        <w:tc>
          <w:tcPr>
            <w:tcW w:w="1134" w:type="dxa"/>
            <w:shd w:val="clear" w:color="auto" w:fill="F0F4F8"/>
            <w:tcMar>
              <w:top w:w="80" w:type="dxa"/>
              <w:left w:w="120" w:type="dxa"/>
              <w:bottom w:w="80" w:type="dxa"/>
              <w:right w:w="120" w:type="dxa"/>
            </w:tcMar>
            <w:vAlign w:val="center"/>
          </w:tcPr>
          <w:p w14:paraId="132A9AAD"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0.869</w:t>
            </w:r>
          </w:p>
        </w:tc>
        <w:tc>
          <w:tcPr>
            <w:tcW w:w="1134" w:type="dxa"/>
            <w:shd w:val="clear" w:color="auto" w:fill="F0F4F8"/>
            <w:tcMar>
              <w:top w:w="80" w:type="dxa"/>
              <w:left w:w="120" w:type="dxa"/>
              <w:bottom w:w="80" w:type="dxa"/>
              <w:right w:w="120" w:type="dxa"/>
            </w:tcMar>
            <w:vAlign w:val="center"/>
          </w:tcPr>
          <w:p w14:paraId="647C8E80"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15</w:t>
            </w:r>
          </w:p>
        </w:tc>
        <w:tc>
          <w:tcPr>
            <w:tcW w:w="1134" w:type="dxa"/>
            <w:shd w:val="clear" w:color="auto" w:fill="F0F4F8"/>
            <w:tcMar>
              <w:top w:w="80" w:type="dxa"/>
              <w:left w:w="120" w:type="dxa"/>
              <w:bottom w:w="80" w:type="dxa"/>
              <w:right w:w="120" w:type="dxa"/>
            </w:tcMar>
            <w:vAlign w:val="center"/>
          </w:tcPr>
          <w:p w14:paraId="1973B26C"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233</w:t>
            </w:r>
          </w:p>
        </w:tc>
        <w:tc>
          <w:tcPr>
            <w:tcW w:w="1560" w:type="dxa"/>
            <w:tcBorders>
              <w:right w:val="single" w:sz="4" w:space="0" w:color="auto"/>
            </w:tcBorders>
            <w:shd w:val="clear" w:color="auto" w:fill="F0F4F9"/>
            <w:vAlign w:val="center"/>
          </w:tcPr>
          <w:p w14:paraId="06909E9F" w14:textId="77777777" w:rsidR="00666BF8" w:rsidRPr="00F24BF5" w:rsidRDefault="00666BF8" w:rsidP="004D0D18">
            <w:pPr>
              <w:spacing w:before="100" w:beforeAutospacing="1" w:after="100" w:afterAutospacing="1"/>
              <w:jc w:val="center"/>
              <w:rPr>
                <w:rFonts w:cs="Arial"/>
                <w:sz w:val="18"/>
                <w:szCs w:val="18"/>
              </w:rPr>
            </w:pPr>
            <w:r w:rsidRPr="008378E2">
              <w:rPr>
                <w:rFonts w:cs="Arial"/>
                <w:szCs w:val="20"/>
              </w:rPr>
              <w:t>Single-fault</w:t>
            </w:r>
          </w:p>
        </w:tc>
      </w:tr>
      <w:tr w:rsidR="00666BF8" w14:paraId="027DDBF5" w14:textId="77777777" w:rsidTr="004D0D18">
        <w:tc>
          <w:tcPr>
            <w:tcW w:w="907" w:type="dxa"/>
            <w:shd w:val="clear" w:color="auto" w:fill="FFFFFF"/>
            <w:tcMar>
              <w:top w:w="80" w:type="dxa"/>
              <w:left w:w="120" w:type="dxa"/>
              <w:bottom w:w="80" w:type="dxa"/>
              <w:right w:w="120" w:type="dxa"/>
            </w:tcMar>
            <w:vAlign w:val="center"/>
          </w:tcPr>
          <w:p w14:paraId="32BC41A4"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FD003</w:t>
            </w:r>
          </w:p>
        </w:tc>
        <w:tc>
          <w:tcPr>
            <w:tcW w:w="646" w:type="dxa"/>
            <w:shd w:val="clear" w:color="auto" w:fill="FFFFFF"/>
            <w:tcMar>
              <w:top w:w="80" w:type="dxa"/>
              <w:left w:w="120" w:type="dxa"/>
              <w:bottom w:w="80" w:type="dxa"/>
              <w:right w:w="120" w:type="dxa"/>
            </w:tcMar>
            <w:vAlign w:val="center"/>
          </w:tcPr>
          <w:p w14:paraId="7B2F0B9D"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80</w:t>
            </w:r>
          </w:p>
        </w:tc>
        <w:tc>
          <w:tcPr>
            <w:tcW w:w="1282" w:type="dxa"/>
            <w:shd w:val="clear" w:color="auto" w:fill="FFFFFF"/>
            <w:tcMar>
              <w:top w:w="80" w:type="dxa"/>
              <w:left w:w="120" w:type="dxa"/>
              <w:bottom w:w="80" w:type="dxa"/>
              <w:right w:w="120" w:type="dxa"/>
            </w:tcMar>
            <w:vAlign w:val="center"/>
          </w:tcPr>
          <w:p w14:paraId="56DD7A79"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73.6</w:t>
            </w:r>
          </w:p>
        </w:tc>
        <w:tc>
          <w:tcPr>
            <w:tcW w:w="1134" w:type="dxa"/>
            <w:shd w:val="clear" w:color="auto" w:fill="FFFFFF"/>
            <w:tcMar>
              <w:top w:w="80" w:type="dxa"/>
              <w:left w:w="120" w:type="dxa"/>
              <w:bottom w:w="80" w:type="dxa"/>
              <w:right w:w="120" w:type="dxa"/>
            </w:tcMar>
            <w:vAlign w:val="center"/>
          </w:tcPr>
          <w:p w14:paraId="09B05824"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104.4</w:t>
            </w:r>
          </w:p>
        </w:tc>
        <w:tc>
          <w:tcPr>
            <w:tcW w:w="1134" w:type="dxa"/>
            <w:shd w:val="clear" w:color="auto" w:fill="FFFFFF"/>
            <w:tcMar>
              <w:top w:w="80" w:type="dxa"/>
              <w:left w:w="120" w:type="dxa"/>
              <w:bottom w:w="80" w:type="dxa"/>
              <w:right w:w="120" w:type="dxa"/>
            </w:tcMar>
            <w:vAlign w:val="center"/>
          </w:tcPr>
          <w:p w14:paraId="4D320AEF" w14:textId="77777777" w:rsidR="00666BF8" w:rsidRPr="00F24BF5" w:rsidRDefault="00666BF8" w:rsidP="004D0D18">
            <w:pPr>
              <w:spacing w:before="100" w:beforeAutospacing="1" w:after="100" w:afterAutospacing="1"/>
              <w:rPr>
                <w:rFonts w:cs="Arial"/>
                <w:sz w:val="18"/>
                <w:szCs w:val="18"/>
              </w:rPr>
            </w:pPr>
            <w:r w:rsidRPr="008378E2">
              <w:rPr>
                <w:rStyle w:val="Strong"/>
                <w:rFonts w:cs="Arial"/>
                <w:szCs w:val="20"/>
              </w:rPr>
              <w:t>1.419</w:t>
            </w:r>
          </w:p>
        </w:tc>
        <w:tc>
          <w:tcPr>
            <w:tcW w:w="1134" w:type="dxa"/>
            <w:shd w:val="clear" w:color="auto" w:fill="FFFFFF"/>
            <w:tcMar>
              <w:top w:w="80" w:type="dxa"/>
              <w:left w:w="120" w:type="dxa"/>
              <w:bottom w:w="80" w:type="dxa"/>
              <w:right w:w="120" w:type="dxa"/>
            </w:tcMar>
            <w:vAlign w:val="center"/>
          </w:tcPr>
          <w:p w14:paraId="13DA52F6" w14:textId="77777777" w:rsidR="00666BF8" w:rsidRPr="00F24BF5" w:rsidRDefault="00666BF8" w:rsidP="004D0D18">
            <w:pPr>
              <w:spacing w:before="100" w:beforeAutospacing="1" w:after="100" w:afterAutospacing="1"/>
              <w:rPr>
                <w:rFonts w:cs="Arial"/>
                <w:sz w:val="18"/>
                <w:szCs w:val="18"/>
              </w:rPr>
            </w:pPr>
            <w:r w:rsidRPr="008378E2">
              <w:rPr>
                <w:rStyle w:val="Strong"/>
                <w:rFonts w:cs="Arial"/>
                <w:szCs w:val="20"/>
              </w:rPr>
              <w:t>10</w:t>
            </w:r>
          </w:p>
        </w:tc>
        <w:tc>
          <w:tcPr>
            <w:tcW w:w="1134" w:type="dxa"/>
            <w:shd w:val="clear" w:color="auto" w:fill="FFFFFF"/>
            <w:tcMar>
              <w:top w:w="80" w:type="dxa"/>
              <w:left w:w="120" w:type="dxa"/>
              <w:bottom w:w="80" w:type="dxa"/>
              <w:right w:w="120" w:type="dxa"/>
            </w:tcMar>
            <w:vAlign w:val="center"/>
          </w:tcPr>
          <w:p w14:paraId="39AD5C91"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243</w:t>
            </w:r>
          </w:p>
        </w:tc>
        <w:tc>
          <w:tcPr>
            <w:tcW w:w="1560" w:type="dxa"/>
            <w:tcBorders>
              <w:right w:val="single" w:sz="4" w:space="0" w:color="auto"/>
            </w:tcBorders>
            <w:vAlign w:val="center"/>
          </w:tcPr>
          <w:p w14:paraId="4AC4FF2A" w14:textId="77777777" w:rsidR="00666BF8" w:rsidRPr="00F24BF5" w:rsidRDefault="00666BF8" w:rsidP="004D0D18">
            <w:pPr>
              <w:spacing w:before="100" w:beforeAutospacing="1" w:after="100" w:afterAutospacing="1"/>
              <w:jc w:val="center"/>
              <w:rPr>
                <w:rFonts w:cs="Arial"/>
                <w:sz w:val="18"/>
                <w:szCs w:val="18"/>
              </w:rPr>
            </w:pPr>
            <w:r w:rsidRPr="008378E2">
              <w:rPr>
                <w:rFonts w:cs="Arial"/>
                <w:szCs w:val="20"/>
              </w:rPr>
              <w:t>Dual-fault</w:t>
            </w:r>
          </w:p>
        </w:tc>
      </w:tr>
      <w:tr w:rsidR="00666BF8" w14:paraId="0993FA4A" w14:textId="77777777" w:rsidTr="004D0D18">
        <w:tc>
          <w:tcPr>
            <w:tcW w:w="907" w:type="dxa"/>
            <w:shd w:val="clear" w:color="auto" w:fill="F0F4F8"/>
            <w:tcMar>
              <w:top w:w="80" w:type="dxa"/>
              <w:left w:w="120" w:type="dxa"/>
              <w:bottom w:w="80" w:type="dxa"/>
              <w:right w:w="120" w:type="dxa"/>
            </w:tcMar>
            <w:vAlign w:val="center"/>
          </w:tcPr>
          <w:p w14:paraId="316BF67C"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FD004</w:t>
            </w:r>
          </w:p>
        </w:tc>
        <w:tc>
          <w:tcPr>
            <w:tcW w:w="646" w:type="dxa"/>
            <w:shd w:val="clear" w:color="auto" w:fill="F0F4F8"/>
            <w:tcMar>
              <w:top w:w="80" w:type="dxa"/>
              <w:left w:w="120" w:type="dxa"/>
              <w:bottom w:w="80" w:type="dxa"/>
              <w:right w:w="120" w:type="dxa"/>
            </w:tcMar>
            <w:vAlign w:val="center"/>
          </w:tcPr>
          <w:p w14:paraId="15DBBA89"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199</w:t>
            </w:r>
          </w:p>
        </w:tc>
        <w:tc>
          <w:tcPr>
            <w:tcW w:w="1282" w:type="dxa"/>
            <w:shd w:val="clear" w:color="auto" w:fill="F0F4F8"/>
            <w:tcMar>
              <w:top w:w="80" w:type="dxa"/>
              <w:left w:w="120" w:type="dxa"/>
              <w:bottom w:w="80" w:type="dxa"/>
              <w:right w:w="120" w:type="dxa"/>
            </w:tcMar>
            <w:vAlign w:val="center"/>
          </w:tcPr>
          <w:p w14:paraId="298FC8D4"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102.0</w:t>
            </w:r>
          </w:p>
        </w:tc>
        <w:tc>
          <w:tcPr>
            <w:tcW w:w="1134" w:type="dxa"/>
            <w:shd w:val="clear" w:color="auto" w:fill="F0F4F8"/>
            <w:tcMar>
              <w:top w:w="80" w:type="dxa"/>
              <w:left w:w="120" w:type="dxa"/>
              <w:bottom w:w="80" w:type="dxa"/>
              <w:right w:w="120" w:type="dxa"/>
            </w:tcMar>
            <w:vAlign w:val="center"/>
          </w:tcPr>
          <w:p w14:paraId="0C182331"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114.4</w:t>
            </w:r>
          </w:p>
        </w:tc>
        <w:tc>
          <w:tcPr>
            <w:tcW w:w="1134" w:type="dxa"/>
            <w:shd w:val="clear" w:color="auto" w:fill="F0F4F8"/>
            <w:tcMar>
              <w:top w:w="80" w:type="dxa"/>
              <w:left w:w="120" w:type="dxa"/>
              <w:bottom w:w="80" w:type="dxa"/>
              <w:right w:w="120" w:type="dxa"/>
            </w:tcMar>
            <w:vAlign w:val="center"/>
          </w:tcPr>
          <w:p w14:paraId="150ACECB"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1.123</w:t>
            </w:r>
          </w:p>
        </w:tc>
        <w:tc>
          <w:tcPr>
            <w:tcW w:w="1134" w:type="dxa"/>
            <w:shd w:val="clear" w:color="auto" w:fill="F0F4F8"/>
            <w:tcMar>
              <w:top w:w="80" w:type="dxa"/>
              <w:left w:w="120" w:type="dxa"/>
              <w:bottom w:w="80" w:type="dxa"/>
              <w:right w:w="120" w:type="dxa"/>
            </w:tcMar>
            <w:vAlign w:val="center"/>
          </w:tcPr>
          <w:p w14:paraId="5AABF9DE"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13</w:t>
            </w:r>
          </w:p>
        </w:tc>
        <w:tc>
          <w:tcPr>
            <w:tcW w:w="1134" w:type="dxa"/>
            <w:shd w:val="clear" w:color="auto" w:fill="F0F4F8"/>
            <w:tcMar>
              <w:top w:w="80" w:type="dxa"/>
              <w:left w:w="120" w:type="dxa"/>
              <w:bottom w:w="80" w:type="dxa"/>
              <w:right w:w="120" w:type="dxa"/>
            </w:tcMar>
            <w:vAlign w:val="center"/>
          </w:tcPr>
          <w:p w14:paraId="129D955D"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291</w:t>
            </w:r>
          </w:p>
        </w:tc>
        <w:tc>
          <w:tcPr>
            <w:tcW w:w="1560" w:type="dxa"/>
            <w:tcBorders>
              <w:right w:val="single" w:sz="4" w:space="0" w:color="auto"/>
            </w:tcBorders>
            <w:shd w:val="clear" w:color="auto" w:fill="F0F4F9"/>
            <w:vAlign w:val="center"/>
          </w:tcPr>
          <w:p w14:paraId="4277D0D9" w14:textId="77777777" w:rsidR="00666BF8" w:rsidRPr="00F24BF5" w:rsidRDefault="00666BF8" w:rsidP="004D0D18">
            <w:pPr>
              <w:spacing w:before="100" w:beforeAutospacing="1" w:after="100" w:afterAutospacing="1"/>
              <w:jc w:val="center"/>
              <w:rPr>
                <w:rFonts w:cs="Arial"/>
                <w:sz w:val="18"/>
                <w:szCs w:val="18"/>
              </w:rPr>
            </w:pPr>
            <w:r w:rsidRPr="008378E2">
              <w:rPr>
                <w:rFonts w:cs="Arial"/>
                <w:szCs w:val="20"/>
              </w:rPr>
              <w:t>Dual-fault</w:t>
            </w:r>
          </w:p>
        </w:tc>
      </w:tr>
    </w:tbl>
    <w:p w14:paraId="64A64931" w14:textId="77777777" w:rsidR="003F29BD" w:rsidRPr="003F29BD" w:rsidRDefault="003F29BD" w:rsidP="003F29BD">
      <w:pPr>
        <w:spacing w:before="100" w:beforeAutospacing="1" w:after="100" w:afterAutospacing="1"/>
        <w:jc w:val="both"/>
        <w:rPr>
          <w:rFonts w:cs="Arial"/>
          <w:szCs w:val="20"/>
        </w:rPr>
      </w:pPr>
      <w:r w:rsidRPr="003F29BD">
        <w:rPr>
          <w:rFonts w:cs="Arial"/>
          <w:szCs w:val="20"/>
        </w:rPr>
        <w:t>Two numbers in this table carry direct operational consequence:</w:t>
      </w:r>
    </w:p>
    <w:p w14:paraId="5A52D3EF" w14:textId="77777777" w:rsidR="003F29BD" w:rsidRPr="003F29BD" w:rsidRDefault="003F29BD" w:rsidP="003F29BD">
      <w:pPr>
        <w:spacing w:before="100" w:beforeAutospacing="1" w:after="100" w:afterAutospacing="1"/>
        <w:jc w:val="both"/>
        <w:rPr>
          <w:rFonts w:cs="Arial"/>
          <w:szCs w:val="20"/>
        </w:rPr>
      </w:pPr>
      <w:r w:rsidRPr="003F29BD">
        <w:rPr>
          <w:rFonts w:cs="Arial"/>
          <w:b/>
          <w:bCs/>
          <w:szCs w:val="20"/>
        </w:rPr>
        <w:t>The P10 column</w:t>
      </w:r>
      <w:r w:rsidRPr="003F29BD">
        <w:rPr>
          <w:rFonts w:cs="Arial"/>
          <w:szCs w:val="20"/>
        </w:rPr>
        <w:t xml:space="preserve"> is the scheduling risk exposure — it is the P-F interval that the worst-performing 10% of engines in each subset fall below. FD001 reaches a P10 of only 9 cycles: one in ten single-regime, HPC-only engines provides fewer than 9 engine cycles between first alert and failure. At typical narrow-body utilisation rates, that is less than 24 hours of lead time. FD003 is similarly exposed at 10 cycles. Both are well below the 20-cycle MRO minimum response time established in Phase 2.</w:t>
      </w:r>
    </w:p>
    <w:p w14:paraId="369970AF" w14:textId="77777777" w:rsidR="003F29BD" w:rsidRPr="003F29BD" w:rsidRDefault="003F29BD" w:rsidP="003F29BD">
      <w:pPr>
        <w:spacing w:before="100" w:beforeAutospacing="1" w:after="100" w:afterAutospacing="1"/>
        <w:jc w:val="both"/>
        <w:rPr>
          <w:rFonts w:cs="Arial"/>
          <w:szCs w:val="20"/>
        </w:rPr>
      </w:pPr>
      <w:r w:rsidRPr="003F29BD">
        <w:rPr>
          <w:rFonts w:cs="Arial"/>
          <w:b/>
          <w:bCs/>
          <w:szCs w:val="20"/>
        </w:rPr>
        <w:t>The P90 column</w:t>
      </w:r>
      <w:r w:rsidRPr="003F29BD">
        <w:rPr>
          <w:rFonts w:cs="Arial"/>
          <w:szCs w:val="20"/>
        </w:rPr>
        <w:t xml:space="preserve"> reveals the opposite problem. FD004 engines at the 90th percentile retain 291 cycles of life after the alert fires. A scheduling policy calibrated conservatively to protect against the P10 tail would remove these engines approximately 270 cycles prematurely — each one representing an unnecessary shop visit cost.</w:t>
      </w:r>
    </w:p>
    <w:p w14:paraId="3784C2E4" w14:textId="64872070" w:rsidR="003F29BD" w:rsidRPr="003F29BD" w:rsidRDefault="003F29BD" w:rsidP="003F29BD">
      <w:pPr>
        <w:spacing w:before="100" w:beforeAutospacing="1" w:after="100" w:afterAutospacing="1"/>
        <w:jc w:val="both"/>
        <w:rPr>
          <w:rFonts w:cs="Arial"/>
          <w:szCs w:val="20"/>
        </w:rPr>
      </w:pPr>
      <w:r w:rsidRPr="003F29BD">
        <w:rPr>
          <w:rFonts w:cs="Arial"/>
          <w:szCs w:val="20"/>
        </w:rPr>
        <w:lastRenderedPageBreak/>
        <w:t xml:space="preserve">The CV disparity between FD003 (1.419) and FD002 (0.869) confirms that lead-time variability is not a fixed property of the UWL threshold: it is structurally dependent on fault mode and operating regime </w:t>
      </w:r>
      <w:r w:rsidR="00046372" w:rsidRPr="003F29BD">
        <w:rPr>
          <w:rFonts w:cs="Arial"/>
          <w:szCs w:val="20"/>
        </w:rPr>
        <w:t>complexity and</w:t>
      </w:r>
      <w:r w:rsidRPr="003F29BD">
        <w:rPr>
          <w:rFonts w:cs="Arial"/>
          <w:szCs w:val="20"/>
        </w:rPr>
        <w:t xml:space="preserve"> cannot be resolved by any family-agnostic threshold alone.</w:t>
      </w:r>
    </w:p>
    <w:p w14:paraId="5F7FD463" w14:textId="77777777" w:rsidR="00666BF8" w:rsidRPr="008378E2" w:rsidRDefault="00666BF8" w:rsidP="00666BF8">
      <w:pPr>
        <w:pStyle w:val="Heading3"/>
      </w:pPr>
      <w:r w:rsidRPr="008378E2">
        <w:t>4.12.2 P-F Interval Distribution by Fault Mode Family</w:t>
      </w:r>
    </w:p>
    <w:p w14:paraId="6D5ED423" w14:textId="77777777" w:rsidR="00046372" w:rsidRDefault="00046372" w:rsidP="00666BF8">
      <w:pPr>
        <w:spacing w:before="100" w:beforeAutospacing="1" w:after="100" w:afterAutospacing="1"/>
        <w:jc w:val="both"/>
      </w:pPr>
      <w:r>
        <w:t xml:space="preserve">Aggregating to the two operationally relevant populations — single-fault (FD001/FD002) and dual-fault (FD003/FD004) — distils the subset-level detail into the family-level picture that drives scheduling policy. </w:t>
      </w:r>
    </w:p>
    <w:p w14:paraId="1968BCBD" w14:textId="1193C7A6" w:rsidR="00666BF8" w:rsidRPr="00F30470" w:rsidRDefault="00666BF8" w:rsidP="00666BF8">
      <w:pPr>
        <w:spacing w:before="100" w:beforeAutospacing="1" w:after="100" w:afterAutospacing="1"/>
        <w:jc w:val="both"/>
        <w:rPr>
          <w:rFonts w:cs="Arial"/>
          <w:i/>
          <w:iCs/>
          <w:szCs w:val="20"/>
        </w:rPr>
      </w:pPr>
      <w:r w:rsidRPr="005B0FA3">
        <w:rPr>
          <w:rFonts w:cs="Arial"/>
          <w:b/>
          <w:bCs/>
          <w:i/>
          <w:iCs/>
          <w:color w:val="1B3A5C"/>
          <w:szCs w:val="20"/>
        </w:rPr>
        <w:t xml:space="preserve">Table </w:t>
      </w:r>
      <w:r>
        <w:rPr>
          <w:rFonts w:cs="Arial"/>
          <w:b/>
          <w:bCs/>
          <w:i/>
          <w:iCs/>
          <w:color w:val="1B3A5C"/>
          <w:szCs w:val="20"/>
        </w:rPr>
        <w:t>13. G13 P-F Interval Statistics by Fault Mode Family (Internal Train)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09"/>
        <w:gridCol w:w="1276"/>
        <w:gridCol w:w="1276"/>
        <w:gridCol w:w="1134"/>
        <w:gridCol w:w="1275"/>
        <w:gridCol w:w="1134"/>
      </w:tblGrid>
      <w:tr w:rsidR="00666BF8" w:rsidRPr="005B0FA3" w14:paraId="01C3C6AD" w14:textId="77777777" w:rsidTr="004D0D18">
        <w:trPr>
          <w:tblHeader/>
        </w:trPr>
        <w:tc>
          <w:tcPr>
            <w:tcW w:w="226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21D6EFB" w14:textId="77777777" w:rsidR="00666BF8" w:rsidRPr="005B0FA3" w:rsidRDefault="00666BF8" w:rsidP="004D0D18">
            <w:pPr>
              <w:spacing w:before="100" w:beforeAutospacing="1" w:after="100" w:afterAutospacing="1"/>
              <w:jc w:val="center"/>
              <w:rPr>
                <w:rFonts w:cs="Arial"/>
              </w:rPr>
            </w:pPr>
            <w:r w:rsidRPr="008378E2">
              <w:rPr>
                <w:rFonts w:cs="Arial"/>
                <w:b/>
                <w:bCs/>
                <w:szCs w:val="20"/>
              </w:rPr>
              <w:t>Fault Mode Family</w:t>
            </w:r>
          </w:p>
        </w:tc>
        <w:tc>
          <w:tcPr>
            <w:tcW w:w="70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E378899" w14:textId="77777777" w:rsidR="00666BF8" w:rsidRPr="005B0FA3" w:rsidRDefault="00666BF8" w:rsidP="004D0D18">
            <w:pPr>
              <w:spacing w:before="100" w:beforeAutospacing="1" w:after="100" w:afterAutospacing="1"/>
              <w:jc w:val="center"/>
              <w:rPr>
                <w:rFonts w:cs="Arial"/>
              </w:rPr>
            </w:pPr>
            <w:r w:rsidRPr="008378E2">
              <w:rPr>
                <w:rFonts w:cs="Arial"/>
                <w:b/>
                <w:bCs/>
                <w:szCs w:val="20"/>
              </w:rPr>
              <w:t>n</w:t>
            </w:r>
          </w:p>
        </w:tc>
        <w:tc>
          <w:tcPr>
            <w:tcW w:w="12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3802142" w14:textId="77777777" w:rsidR="00666BF8" w:rsidRPr="005B0FA3" w:rsidRDefault="00666BF8" w:rsidP="004D0D18">
            <w:pPr>
              <w:spacing w:before="100" w:beforeAutospacing="1" w:after="100" w:afterAutospacing="1"/>
              <w:jc w:val="center"/>
              <w:rPr>
                <w:rFonts w:cs="Arial"/>
              </w:rPr>
            </w:pPr>
            <w:r w:rsidRPr="008378E2">
              <w:rPr>
                <w:rFonts w:cs="Arial"/>
                <w:b/>
                <w:bCs/>
                <w:szCs w:val="20"/>
              </w:rPr>
              <w:t>Mean (cycles)</w:t>
            </w:r>
          </w:p>
        </w:tc>
        <w:tc>
          <w:tcPr>
            <w:tcW w:w="12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7588CC59" w14:textId="77777777" w:rsidR="00666BF8" w:rsidRPr="005B0FA3" w:rsidRDefault="00666BF8" w:rsidP="004D0D18">
            <w:pPr>
              <w:spacing w:before="100" w:beforeAutospacing="1" w:after="100" w:afterAutospacing="1"/>
              <w:jc w:val="center"/>
              <w:rPr>
                <w:rFonts w:cs="Arial"/>
              </w:rPr>
            </w:pPr>
            <w:r w:rsidRPr="008378E2">
              <w:rPr>
                <w:rFonts w:cs="Arial"/>
                <w:b/>
                <w:bCs/>
                <w:szCs w:val="20"/>
              </w:rPr>
              <w:t>Std (cycles)</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C145756" w14:textId="77777777" w:rsidR="00666BF8" w:rsidRPr="005B0FA3" w:rsidRDefault="00666BF8" w:rsidP="004D0D18">
            <w:pPr>
              <w:spacing w:before="100" w:beforeAutospacing="1" w:after="100" w:afterAutospacing="1"/>
              <w:jc w:val="center"/>
              <w:rPr>
                <w:rFonts w:cs="Arial"/>
              </w:rPr>
            </w:pPr>
            <w:r w:rsidRPr="008378E2">
              <w:rPr>
                <w:rFonts w:cs="Arial"/>
                <w:b/>
                <w:bCs/>
                <w:szCs w:val="20"/>
              </w:rPr>
              <w:t>CV</w:t>
            </w:r>
          </w:p>
        </w:tc>
        <w:tc>
          <w:tcPr>
            <w:tcW w:w="127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3675263" w14:textId="77777777" w:rsidR="00666BF8" w:rsidRPr="005B0FA3" w:rsidRDefault="00666BF8" w:rsidP="004D0D18">
            <w:pPr>
              <w:spacing w:before="100" w:beforeAutospacing="1" w:after="100" w:afterAutospacing="1"/>
              <w:jc w:val="center"/>
              <w:rPr>
                <w:rFonts w:cs="Arial"/>
                <w:b/>
                <w:bCs/>
                <w:color w:val="FFFFFF"/>
                <w:sz w:val="18"/>
                <w:szCs w:val="18"/>
              </w:rPr>
            </w:pPr>
            <w:r w:rsidRPr="008378E2">
              <w:rPr>
                <w:rFonts w:cs="Arial"/>
                <w:b/>
                <w:bCs/>
                <w:szCs w:val="20"/>
              </w:rPr>
              <w:t>P10 (cycles)</w:t>
            </w:r>
          </w:p>
        </w:tc>
        <w:tc>
          <w:tcPr>
            <w:tcW w:w="1134"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3DD07921" w14:textId="77777777" w:rsidR="00666BF8" w:rsidRPr="005B0FA3" w:rsidRDefault="00666BF8" w:rsidP="004D0D18">
            <w:pPr>
              <w:spacing w:before="100" w:beforeAutospacing="1" w:after="100" w:afterAutospacing="1"/>
              <w:jc w:val="center"/>
              <w:rPr>
                <w:rFonts w:cs="Arial"/>
              </w:rPr>
            </w:pPr>
            <w:r w:rsidRPr="008378E2">
              <w:rPr>
                <w:rFonts w:cs="Arial"/>
                <w:b/>
                <w:bCs/>
                <w:szCs w:val="20"/>
              </w:rPr>
              <w:t>P90 (cycles)</w:t>
            </w:r>
          </w:p>
        </w:tc>
      </w:tr>
      <w:tr w:rsidR="00666BF8" w14:paraId="297E2A56" w14:textId="77777777" w:rsidTr="004D0D18">
        <w:tc>
          <w:tcPr>
            <w:tcW w:w="2263" w:type="dxa"/>
            <w:shd w:val="clear" w:color="auto" w:fill="FFFFFF"/>
            <w:tcMar>
              <w:top w:w="80" w:type="dxa"/>
              <w:left w:w="120" w:type="dxa"/>
              <w:bottom w:w="80" w:type="dxa"/>
              <w:right w:w="120" w:type="dxa"/>
            </w:tcMar>
            <w:vAlign w:val="center"/>
          </w:tcPr>
          <w:p w14:paraId="4EA98C99"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Single-fault (FD001/FD002)</w:t>
            </w:r>
          </w:p>
        </w:tc>
        <w:tc>
          <w:tcPr>
            <w:tcW w:w="709" w:type="dxa"/>
            <w:shd w:val="clear" w:color="auto" w:fill="FFFFFF"/>
            <w:tcMar>
              <w:top w:w="80" w:type="dxa"/>
              <w:left w:w="120" w:type="dxa"/>
              <w:bottom w:w="80" w:type="dxa"/>
              <w:right w:w="120" w:type="dxa"/>
            </w:tcMar>
            <w:vAlign w:val="center"/>
          </w:tcPr>
          <w:p w14:paraId="5983BACD"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288</w:t>
            </w:r>
          </w:p>
        </w:tc>
        <w:tc>
          <w:tcPr>
            <w:tcW w:w="1276" w:type="dxa"/>
            <w:shd w:val="clear" w:color="auto" w:fill="FFFFFF"/>
            <w:tcMar>
              <w:top w:w="80" w:type="dxa"/>
              <w:left w:w="120" w:type="dxa"/>
              <w:bottom w:w="80" w:type="dxa"/>
              <w:right w:w="120" w:type="dxa"/>
            </w:tcMar>
            <w:vAlign w:val="center"/>
          </w:tcPr>
          <w:p w14:paraId="2DA22690"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100.5</w:t>
            </w:r>
          </w:p>
        </w:tc>
        <w:tc>
          <w:tcPr>
            <w:tcW w:w="1276" w:type="dxa"/>
            <w:shd w:val="clear" w:color="auto" w:fill="FFFFFF"/>
            <w:tcMar>
              <w:top w:w="80" w:type="dxa"/>
              <w:left w:w="120" w:type="dxa"/>
              <w:bottom w:w="80" w:type="dxa"/>
              <w:right w:w="120" w:type="dxa"/>
            </w:tcMar>
            <w:vAlign w:val="center"/>
          </w:tcPr>
          <w:p w14:paraId="40AE1EDB"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91.6</w:t>
            </w:r>
          </w:p>
        </w:tc>
        <w:tc>
          <w:tcPr>
            <w:tcW w:w="1134" w:type="dxa"/>
            <w:shd w:val="clear" w:color="auto" w:fill="FFFFFF"/>
            <w:tcMar>
              <w:top w:w="80" w:type="dxa"/>
              <w:left w:w="120" w:type="dxa"/>
              <w:bottom w:w="80" w:type="dxa"/>
              <w:right w:w="120" w:type="dxa"/>
            </w:tcMar>
            <w:vAlign w:val="center"/>
          </w:tcPr>
          <w:p w14:paraId="72E28867"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0.912</w:t>
            </w:r>
          </w:p>
        </w:tc>
        <w:tc>
          <w:tcPr>
            <w:tcW w:w="1275" w:type="dxa"/>
            <w:shd w:val="clear" w:color="auto" w:fill="FFFFFF"/>
            <w:tcMar>
              <w:top w:w="80" w:type="dxa"/>
              <w:left w:w="120" w:type="dxa"/>
              <w:bottom w:w="80" w:type="dxa"/>
              <w:right w:w="120" w:type="dxa"/>
            </w:tcMar>
            <w:vAlign w:val="center"/>
          </w:tcPr>
          <w:p w14:paraId="7797D73E"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13</w:t>
            </w:r>
          </w:p>
        </w:tc>
        <w:tc>
          <w:tcPr>
            <w:tcW w:w="1134" w:type="dxa"/>
            <w:shd w:val="clear" w:color="auto" w:fill="FFFFFF"/>
            <w:tcMar>
              <w:top w:w="80" w:type="dxa"/>
              <w:left w:w="120" w:type="dxa"/>
              <w:bottom w:w="80" w:type="dxa"/>
              <w:right w:w="120" w:type="dxa"/>
            </w:tcMar>
            <w:vAlign w:val="center"/>
          </w:tcPr>
          <w:p w14:paraId="17296115"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228</w:t>
            </w:r>
          </w:p>
        </w:tc>
      </w:tr>
      <w:tr w:rsidR="00666BF8" w14:paraId="0F5AD0D2" w14:textId="77777777" w:rsidTr="004D0D18">
        <w:tc>
          <w:tcPr>
            <w:tcW w:w="2263" w:type="dxa"/>
            <w:shd w:val="clear" w:color="auto" w:fill="F0F4F8"/>
            <w:tcMar>
              <w:top w:w="80" w:type="dxa"/>
              <w:left w:w="120" w:type="dxa"/>
              <w:bottom w:w="80" w:type="dxa"/>
              <w:right w:w="120" w:type="dxa"/>
            </w:tcMar>
            <w:vAlign w:val="center"/>
          </w:tcPr>
          <w:p w14:paraId="682AF88F"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Dual-fault (FD003/FD004)</w:t>
            </w:r>
          </w:p>
        </w:tc>
        <w:tc>
          <w:tcPr>
            <w:tcW w:w="709" w:type="dxa"/>
            <w:shd w:val="clear" w:color="auto" w:fill="F0F4F8"/>
            <w:tcMar>
              <w:top w:w="80" w:type="dxa"/>
              <w:left w:w="120" w:type="dxa"/>
              <w:bottom w:w="80" w:type="dxa"/>
              <w:right w:w="120" w:type="dxa"/>
            </w:tcMar>
            <w:vAlign w:val="center"/>
          </w:tcPr>
          <w:p w14:paraId="538E858D"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279</w:t>
            </w:r>
          </w:p>
        </w:tc>
        <w:tc>
          <w:tcPr>
            <w:tcW w:w="1276" w:type="dxa"/>
            <w:shd w:val="clear" w:color="auto" w:fill="F0F4F8"/>
            <w:tcMar>
              <w:top w:w="80" w:type="dxa"/>
              <w:left w:w="120" w:type="dxa"/>
              <w:bottom w:w="80" w:type="dxa"/>
              <w:right w:w="120" w:type="dxa"/>
            </w:tcMar>
            <w:vAlign w:val="center"/>
          </w:tcPr>
          <w:p w14:paraId="1DA658E0"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93.8</w:t>
            </w:r>
          </w:p>
        </w:tc>
        <w:tc>
          <w:tcPr>
            <w:tcW w:w="1276" w:type="dxa"/>
            <w:shd w:val="clear" w:color="auto" w:fill="F0F4F8"/>
            <w:tcMar>
              <w:top w:w="80" w:type="dxa"/>
              <w:left w:w="120" w:type="dxa"/>
              <w:bottom w:w="80" w:type="dxa"/>
              <w:right w:w="120" w:type="dxa"/>
            </w:tcMar>
            <w:vAlign w:val="center"/>
          </w:tcPr>
          <w:p w14:paraId="11AC5D5F"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112.2</w:t>
            </w:r>
          </w:p>
        </w:tc>
        <w:tc>
          <w:tcPr>
            <w:tcW w:w="1134" w:type="dxa"/>
            <w:shd w:val="clear" w:color="auto" w:fill="F0F4F8"/>
            <w:tcMar>
              <w:top w:w="80" w:type="dxa"/>
              <w:left w:w="120" w:type="dxa"/>
              <w:bottom w:w="80" w:type="dxa"/>
              <w:right w:w="120" w:type="dxa"/>
            </w:tcMar>
            <w:vAlign w:val="center"/>
          </w:tcPr>
          <w:p w14:paraId="1C86D0BE" w14:textId="77777777" w:rsidR="00666BF8" w:rsidRPr="00F24BF5" w:rsidRDefault="00666BF8" w:rsidP="004D0D18">
            <w:pPr>
              <w:spacing w:before="100" w:beforeAutospacing="1" w:after="100" w:afterAutospacing="1"/>
              <w:rPr>
                <w:rFonts w:cs="Arial"/>
                <w:sz w:val="18"/>
                <w:szCs w:val="18"/>
              </w:rPr>
            </w:pPr>
            <w:r w:rsidRPr="008378E2">
              <w:rPr>
                <w:rStyle w:val="Strong"/>
                <w:rFonts w:cs="Arial"/>
                <w:szCs w:val="20"/>
              </w:rPr>
              <w:t>1.196</w:t>
            </w:r>
          </w:p>
        </w:tc>
        <w:tc>
          <w:tcPr>
            <w:tcW w:w="1275" w:type="dxa"/>
            <w:shd w:val="clear" w:color="auto" w:fill="F0F4F8"/>
            <w:tcMar>
              <w:top w:w="80" w:type="dxa"/>
              <w:left w:w="120" w:type="dxa"/>
              <w:bottom w:w="80" w:type="dxa"/>
              <w:right w:w="120" w:type="dxa"/>
            </w:tcMar>
            <w:vAlign w:val="center"/>
          </w:tcPr>
          <w:p w14:paraId="7B02CA95" w14:textId="77777777" w:rsidR="00666BF8" w:rsidRPr="00F24BF5" w:rsidRDefault="00666BF8" w:rsidP="004D0D18">
            <w:pPr>
              <w:spacing w:before="100" w:beforeAutospacing="1" w:after="100" w:afterAutospacing="1"/>
              <w:rPr>
                <w:rFonts w:cs="Arial"/>
                <w:sz w:val="18"/>
                <w:szCs w:val="18"/>
              </w:rPr>
            </w:pPr>
            <w:r w:rsidRPr="008378E2">
              <w:rPr>
                <w:rStyle w:val="Strong"/>
                <w:rFonts w:cs="Arial"/>
                <w:szCs w:val="20"/>
              </w:rPr>
              <w:t>12</w:t>
            </w:r>
          </w:p>
        </w:tc>
        <w:tc>
          <w:tcPr>
            <w:tcW w:w="1134" w:type="dxa"/>
            <w:shd w:val="clear" w:color="auto" w:fill="F0F4F8"/>
            <w:tcMar>
              <w:top w:w="80" w:type="dxa"/>
              <w:left w:w="120" w:type="dxa"/>
              <w:bottom w:w="80" w:type="dxa"/>
              <w:right w:w="120" w:type="dxa"/>
            </w:tcMar>
            <w:vAlign w:val="center"/>
          </w:tcPr>
          <w:p w14:paraId="3522B3DC" w14:textId="77777777" w:rsidR="00666BF8" w:rsidRPr="00F24BF5" w:rsidRDefault="00666BF8" w:rsidP="004D0D18">
            <w:pPr>
              <w:spacing w:before="100" w:beforeAutospacing="1" w:after="100" w:afterAutospacing="1"/>
              <w:rPr>
                <w:rFonts w:cs="Arial"/>
                <w:sz w:val="18"/>
                <w:szCs w:val="18"/>
              </w:rPr>
            </w:pPr>
            <w:r w:rsidRPr="008378E2">
              <w:rPr>
                <w:rFonts w:cs="Arial"/>
                <w:szCs w:val="20"/>
              </w:rPr>
              <w:t>282</w:t>
            </w:r>
          </w:p>
        </w:tc>
      </w:tr>
    </w:tbl>
    <w:p w14:paraId="464923FF" w14:textId="77777777" w:rsidR="00046372" w:rsidRPr="00046372" w:rsidRDefault="00046372" w:rsidP="00046372">
      <w:pPr>
        <w:spacing w:before="100" w:beforeAutospacing="1" w:after="100" w:afterAutospacing="1"/>
        <w:jc w:val="both"/>
        <w:rPr>
          <w:rFonts w:cs="Arial"/>
          <w:szCs w:val="20"/>
        </w:rPr>
      </w:pPr>
      <w:r w:rsidRPr="00046372">
        <w:rPr>
          <w:rFonts w:cs="Arial"/>
          <w:szCs w:val="20"/>
        </w:rPr>
        <w:t>The aggregation reveals a problem that affects both families equally at the critical P10 level: single-fault engines provide only 13 cycles of lead time at P10; dual-fault provide 12. Both are below the MRO 20-cycle minimum. The current baseline threshold is inadequate for both populations, not just for dual-fault engines as the subset-level heterogeneity might suggest.</w:t>
      </w:r>
    </w:p>
    <w:p w14:paraId="7EF6C334" w14:textId="77777777" w:rsidR="00046372" w:rsidRPr="00046372" w:rsidRDefault="00046372" w:rsidP="00046372">
      <w:pPr>
        <w:spacing w:before="100" w:beforeAutospacing="1" w:after="100" w:afterAutospacing="1"/>
        <w:jc w:val="both"/>
        <w:rPr>
          <w:rFonts w:cs="Arial"/>
          <w:szCs w:val="20"/>
        </w:rPr>
      </w:pPr>
      <w:r w:rsidRPr="00046372">
        <w:rPr>
          <w:rFonts w:cs="Arial"/>
          <w:szCs w:val="20"/>
        </w:rPr>
        <w:t>The dual-fault family also carries a materially higher CV (1.196 vs 0.912 — a 31.1% differential) and a heavier right tail (P90 = 282 vs 228 cycles). The right tail is the over-maintenance exposure: dual-fault engines at P90 would be removed 54 cycles earlier than single-fault P90 engines under an identically conservative scheduling policy, compounding unnecessary shop visit costs.</w:t>
      </w:r>
    </w:p>
    <w:p w14:paraId="5BAB8C5D" w14:textId="77777777" w:rsidR="00046372" w:rsidRPr="00046372" w:rsidRDefault="00046372" w:rsidP="00046372">
      <w:pPr>
        <w:spacing w:before="100" w:beforeAutospacing="1" w:after="100" w:afterAutospacing="1"/>
        <w:jc w:val="both"/>
        <w:rPr>
          <w:rFonts w:cs="Arial"/>
          <w:szCs w:val="20"/>
        </w:rPr>
      </w:pPr>
      <w:r w:rsidRPr="00046372">
        <w:rPr>
          <w:rFonts w:cs="Arial"/>
          <w:b/>
          <w:bCs/>
          <w:szCs w:val="20"/>
        </w:rPr>
        <w:t>What the distributions look like:</w:t>
      </w:r>
      <w:r w:rsidRPr="00046372">
        <w:rPr>
          <w:rFonts w:cs="Arial"/>
          <w:szCs w:val="20"/>
        </w:rPr>
        <w:t xml:space="preserve"> The KDE panels in Figure 7 (Panel A) make the structural difference between the two families visually clear. The single-fault distribution is </w:t>
      </w:r>
      <w:r w:rsidRPr="00046372">
        <w:rPr>
          <w:rFonts w:cs="Arial"/>
          <w:b/>
          <w:bCs/>
          <w:szCs w:val="20"/>
        </w:rPr>
        <w:t>bimodal</w:t>
      </w:r>
      <w:r w:rsidRPr="00046372">
        <w:rPr>
          <w:rFonts w:cs="Arial"/>
          <w:szCs w:val="20"/>
        </w:rPr>
        <w:t xml:space="preserve"> — two distinct humps separated by a trough — with a primary peak at ~20–30 cycles and a secondary peak at ~170–180 cycles. This reflects two engine subpopulations: those where the UWL alert fires late and failure follows quickly, and those where the alert fires early and substantial post-breach life remains. The dual-fault distribution, by contrast, is </w:t>
      </w:r>
      <w:r w:rsidRPr="00046372">
        <w:rPr>
          <w:rFonts w:cs="Arial"/>
          <w:b/>
          <w:bCs/>
          <w:szCs w:val="20"/>
        </w:rPr>
        <w:t>unimodal</w:t>
      </w:r>
      <w:r w:rsidRPr="00046372">
        <w:rPr>
          <w:rFonts w:cs="Arial"/>
          <w:szCs w:val="20"/>
        </w:rPr>
        <w:t xml:space="preserve"> with a single sharp peak at ~15–20 cycles and a long heavy tail extending beyond 600 cycles. The concentrated short-interval peak reflects the additional early UWL exceedances produced by the concurrent fan degradation pathway, which accelerates alert triggering relative to HPC-only engines. There is no second mode — just a single dominant failure cluster with high variance in the tail.</w:t>
      </w:r>
    </w:p>
    <w:p w14:paraId="0B6B99EB" w14:textId="7BF25FDC" w:rsidR="00666BF8" w:rsidRPr="00F30470" w:rsidRDefault="00666BF8" w:rsidP="00666BF8">
      <w:pPr>
        <w:spacing w:before="100" w:beforeAutospacing="1" w:after="100" w:afterAutospacing="1"/>
        <w:jc w:val="both"/>
        <w:rPr>
          <w:rFonts w:cs="Arial"/>
          <w:i/>
          <w:iCs/>
          <w:szCs w:val="20"/>
        </w:rPr>
      </w:pPr>
      <w:r>
        <w:rPr>
          <w:rFonts w:cs="Arial"/>
          <w:b/>
          <w:bCs/>
          <w:i/>
          <w:iCs/>
          <w:color w:val="1B3A5C"/>
          <w:szCs w:val="20"/>
        </w:rPr>
        <w:t>Figure 7. G13 P-F Interval Distribution — KDE by Fault Mode Family and Boxplot by Subset</w:t>
      </w:r>
    </w:p>
    <w:p w14:paraId="39FC8DC9" w14:textId="77777777" w:rsidR="00666BF8" w:rsidRPr="008378E2" w:rsidRDefault="00666BF8" w:rsidP="00666BF8">
      <w:pPr>
        <w:pStyle w:val="font-claude-response-body"/>
        <w:jc w:val="both"/>
        <w:rPr>
          <w:rFonts w:cs="Arial"/>
          <w:szCs w:val="20"/>
        </w:rPr>
      </w:pPr>
      <w:r>
        <w:rPr>
          <w:noProof/>
        </w:rPr>
        <w:drawing>
          <wp:inline distT="0" distB="0" distL="0" distR="0" wp14:anchorId="0AFE2935" wp14:editId="537F89E1">
            <wp:extent cx="5731510" cy="2221865"/>
            <wp:effectExtent l="0" t="0" r="0" b="635"/>
            <wp:docPr id="100213466" name="Picture 3"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466" name="Picture 3" descr="A graph of two peopl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28D82173" w14:textId="77777777" w:rsidR="00666BF8" w:rsidRPr="008378E2" w:rsidRDefault="00666BF8" w:rsidP="00666BF8">
      <w:pPr>
        <w:pStyle w:val="Heading3"/>
      </w:pPr>
      <w:r w:rsidRPr="008378E2">
        <w:lastRenderedPageBreak/>
        <w:t>4.12.3 UWL Threshold Sensitivity Analysis</w:t>
      </w:r>
    </w:p>
    <w:p w14:paraId="5E679BD5" w14:textId="77777777" w:rsidR="0086752C" w:rsidRPr="0086752C" w:rsidRDefault="0086752C" w:rsidP="0086752C">
      <w:pPr>
        <w:spacing w:before="100" w:beforeAutospacing="1" w:after="100" w:afterAutospacing="1"/>
        <w:jc w:val="both"/>
        <w:rPr>
          <w:rFonts w:cs="Arial"/>
          <w:szCs w:val="20"/>
        </w:rPr>
      </w:pPr>
      <w:r w:rsidRPr="0086752C">
        <w:rPr>
          <w:rFonts w:cs="Arial"/>
          <w:b/>
          <w:bCs/>
          <w:szCs w:val="20"/>
        </w:rPr>
        <w:t>What it does:</w:t>
      </w:r>
      <w:r w:rsidRPr="0086752C">
        <w:rPr>
          <w:rFonts w:cs="Arial"/>
          <w:szCs w:val="20"/>
        </w:rPr>
        <w:t xml:space="preserve"> Having established that the current baseline threshold is inadequate, the natural question is: what threshold would be adequate? Rather than selecting a value by judgement, a systematic sweep is conducted across the full feasible range to map the trade-off between alert sensitivity and scheduling lead time.</w:t>
      </w:r>
    </w:p>
    <w:p w14:paraId="47D231E4" w14:textId="0E3465D7" w:rsidR="0086752C" w:rsidRPr="0086752C" w:rsidRDefault="0086752C" w:rsidP="0086752C">
      <w:pPr>
        <w:spacing w:before="100" w:beforeAutospacing="1" w:after="100" w:afterAutospacing="1"/>
        <w:jc w:val="both"/>
        <w:rPr>
          <w:rFonts w:cs="Arial"/>
          <w:szCs w:val="20"/>
        </w:rPr>
      </w:pPr>
      <w:r w:rsidRPr="0086752C">
        <w:rPr>
          <w:rFonts w:cs="Arial"/>
          <w:szCs w:val="20"/>
        </w:rPr>
        <w:t xml:space="preserve">The sweep covers </w:t>
      </w:r>
      <m:oMath>
        <m:r>
          <m:rPr>
            <m:sty m:val="p"/>
          </m:rPr>
          <w:rPr>
            <w:rFonts w:ascii="Cambria Math" w:hAnsi="Cambria Math" w:cs="Arial"/>
            <w:szCs w:val="20"/>
          </w:rPr>
          <m:t>∣</m:t>
        </m:r>
        <m:r>
          <w:rPr>
            <w:rFonts w:ascii="Cambria Math" w:hAnsi="Cambria Math" w:cs="Arial"/>
            <w:szCs w:val="20"/>
          </w:rPr>
          <m:t>z</m:t>
        </m:r>
        <m:r>
          <m:rPr>
            <m:sty m:val="p"/>
          </m:rPr>
          <w:rPr>
            <w:rFonts w:ascii="Cambria Math" w:hAnsi="Cambria Math" w:cs="Arial"/>
            <w:szCs w:val="20"/>
          </w:rPr>
          <m:t>∣</m:t>
        </m:r>
        <m:r>
          <w:rPr>
            <w:rFonts w:ascii="Cambria Math" w:hAnsi="Cambria Math" w:cs="Arial"/>
            <w:szCs w:val="20"/>
          </w:rPr>
          <m:t>∈[1.00,3.50]</m:t>
        </m:r>
      </m:oMath>
      <w:r>
        <w:rPr>
          <w:rFonts w:cs="Arial"/>
          <w:szCs w:val="20"/>
        </w:rPr>
        <w:t xml:space="preserve"> </w:t>
      </w:r>
      <w:r w:rsidRPr="0086752C">
        <w:rPr>
          <w:rFonts w:cs="Arial"/>
          <w:szCs w:val="20"/>
        </w:rPr>
        <w:t xml:space="preserve">in steps of 0.25. At each threshold value, the P-F interval distribution is recomputed for each fault mode family and the P10 lead time is extracted. The direction of the trade-off is straightforward: tightening the threshold (lower </w:t>
      </w:r>
      <m:oMath>
        <m:r>
          <m:rPr>
            <m:sty m:val="p"/>
          </m:rPr>
          <w:rPr>
            <w:rFonts w:ascii="Cambria Math" w:hAnsi="Cambria Math" w:cs="Arial"/>
            <w:szCs w:val="20"/>
          </w:rPr>
          <m:t>∣</m:t>
        </m:r>
        <m:r>
          <w:rPr>
            <w:rFonts w:ascii="Cambria Math" w:hAnsi="Cambria Math" w:cs="Arial"/>
            <w:szCs w:val="20"/>
          </w:rPr>
          <m:t>z</m:t>
        </m:r>
        <m:r>
          <m:rPr>
            <m:sty m:val="p"/>
          </m:rPr>
          <w:rPr>
            <w:rFonts w:ascii="Cambria Math" w:hAnsi="Cambria Math" w:cs="Arial"/>
            <w:szCs w:val="20"/>
          </w:rPr>
          <m:t>∣</m:t>
        </m:r>
      </m:oMath>
      <w:r w:rsidRPr="0086752C">
        <w:rPr>
          <w:rFonts w:cs="Arial"/>
          <w:szCs w:val="20"/>
        </w:rPr>
        <w:t xml:space="preserve">) fires the alert earlier, lengthening the P-F interval and improving P10 — but also increasing the false-alert rate and widening the distribution. Loosening the threshold (higher </w:t>
      </w:r>
      <m:oMath>
        <m:r>
          <m:rPr>
            <m:sty m:val="p"/>
          </m:rPr>
          <w:rPr>
            <w:rFonts w:ascii="Cambria Math" w:hAnsi="Cambria Math" w:cs="Arial"/>
            <w:szCs w:val="20"/>
          </w:rPr>
          <m:t>∣</m:t>
        </m:r>
        <m:r>
          <w:rPr>
            <w:rFonts w:ascii="Cambria Math" w:hAnsi="Cambria Math" w:cs="Arial"/>
            <w:szCs w:val="20"/>
          </w:rPr>
          <m:t>z</m:t>
        </m:r>
        <m:r>
          <m:rPr>
            <m:sty m:val="p"/>
          </m:rPr>
          <w:rPr>
            <w:rFonts w:ascii="Cambria Math" w:hAnsi="Cambria Math" w:cs="Arial"/>
            <w:szCs w:val="20"/>
          </w:rPr>
          <m:t>∣</m:t>
        </m:r>
      </m:oMath>
      <w:r w:rsidRPr="0086752C">
        <w:rPr>
          <w:rFonts w:cs="Arial"/>
          <w:szCs w:val="20"/>
        </w:rPr>
        <w:t xml:space="preserve">) delays the alert, shortening P-F interval and reducing P10. The objective is to find the </w:t>
      </w:r>
      <w:r w:rsidRPr="0086752C">
        <w:rPr>
          <w:rFonts w:cs="Arial"/>
          <w:b/>
          <w:bCs/>
          <w:szCs w:val="20"/>
        </w:rPr>
        <w:t>tightest threshold</w:t>
      </w:r>
      <w:r w:rsidRPr="0086752C">
        <w:rPr>
          <w:rFonts w:cs="Arial"/>
          <w:szCs w:val="20"/>
        </w:rPr>
        <w:t xml:space="preserve"> — most conservative, fewest false alerts — that still delivers P10 </w:t>
      </w:r>
      <m:oMath>
        <m:r>
          <w:rPr>
            <w:rFonts w:ascii="Cambria Math" w:hAnsi="Cambria Math" w:cs="Arial"/>
            <w:szCs w:val="20"/>
          </w:rPr>
          <m:t>≥</m:t>
        </m:r>
      </m:oMath>
      <w:r w:rsidRPr="0086752C">
        <w:rPr>
          <w:rFonts w:cs="Arial"/>
          <w:szCs w:val="20"/>
        </w:rPr>
        <w:t>20 cycles for both families.</w:t>
      </w:r>
    </w:p>
    <w:p w14:paraId="2D4A888E" w14:textId="77777777" w:rsidR="00666BF8" w:rsidRDefault="00666BF8" w:rsidP="00666BF8">
      <w:pPr>
        <w:spacing w:before="100" w:beforeAutospacing="1" w:after="100" w:afterAutospacing="1"/>
        <w:jc w:val="both"/>
        <w:rPr>
          <w:rStyle w:val="Strong"/>
          <w:rFonts w:cs="Arial"/>
          <w:i/>
          <w:iCs/>
          <w:szCs w:val="20"/>
        </w:rPr>
      </w:pPr>
      <w:r>
        <w:rPr>
          <w:rFonts w:cs="Arial"/>
          <w:b/>
          <w:bCs/>
          <w:i/>
          <w:iCs/>
          <w:color w:val="1B3A5C"/>
          <w:szCs w:val="20"/>
        </w:rPr>
        <w:t>Figure 8. G13 UWL Threshold Sensitivity — P10 Lead Time and CV vs Threshold by Fault Mode Family</w:t>
      </w:r>
    </w:p>
    <w:p w14:paraId="1F65787E" w14:textId="77777777" w:rsidR="00666BF8" w:rsidRPr="008378E2" w:rsidRDefault="00666BF8" w:rsidP="00666BF8">
      <w:pPr>
        <w:pStyle w:val="font-claude-response-body"/>
        <w:jc w:val="both"/>
        <w:rPr>
          <w:rFonts w:cs="Arial"/>
          <w:szCs w:val="20"/>
        </w:rPr>
      </w:pPr>
      <w:r>
        <w:rPr>
          <w:noProof/>
        </w:rPr>
        <w:drawing>
          <wp:inline distT="0" distB="0" distL="0" distR="0" wp14:anchorId="5ED95C58" wp14:editId="53B8937A">
            <wp:extent cx="5731510" cy="2221865"/>
            <wp:effectExtent l="0" t="0" r="0" b="635"/>
            <wp:docPr id="1495710733" name="Picture 4"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10733" name="Picture 4" descr="A graph of a number of individual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12CC4980" w14:textId="77777777" w:rsidR="00666BF8" w:rsidRPr="008378E2" w:rsidRDefault="00666BF8" w:rsidP="00666BF8">
      <w:pPr>
        <w:pStyle w:val="Heading3"/>
      </w:pPr>
      <w:r w:rsidRPr="008378E2">
        <w:t>4.12.4 Family-Specific Threshold Recommendations</w:t>
      </w:r>
    </w:p>
    <w:p w14:paraId="5A2B8FA1" w14:textId="77777777" w:rsidR="0084775B" w:rsidRDefault="0084775B" w:rsidP="0084775B">
      <w:pPr>
        <w:jc w:val="both"/>
      </w:pPr>
      <w:r>
        <w:t xml:space="preserve">The sweep converges to a single answer for both fault mode families: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&gt;1.75</m:t>
        </m:r>
      </m:oMath>
      <w:r>
        <w:t xml:space="preserve">, which is 0.25 standard deviations below the Phase 2 baseline of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&gt;2.00</m:t>
        </m:r>
      </m:oMath>
      <w:r>
        <w:t>.</w:t>
      </w:r>
    </w:p>
    <w:p w14:paraId="3DFE44E7" w14:textId="34C7B7EE" w:rsidR="00666BF8" w:rsidRPr="00F30470" w:rsidRDefault="00666BF8" w:rsidP="00666BF8">
      <w:pPr>
        <w:spacing w:before="100" w:beforeAutospacing="1" w:after="100" w:afterAutospacing="1"/>
        <w:jc w:val="both"/>
        <w:rPr>
          <w:rFonts w:cs="Arial"/>
          <w:i/>
          <w:iCs/>
          <w:szCs w:val="20"/>
        </w:rPr>
      </w:pPr>
      <w:r w:rsidRPr="005B0FA3">
        <w:rPr>
          <w:rFonts w:cs="Arial"/>
          <w:b/>
          <w:bCs/>
          <w:i/>
          <w:iCs/>
          <w:color w:val="1B3A5C"/>
          <w:szCs w:val="20"/>
        </w:rPr>
        <w:t xml:space="preserve">Table </w:t>
      </w:r>
      <w:r>
        <w:rPr>
          <w:rFonts w:cs="Arial"/>
          <w:b/>
          <w:bCs/>
          <w:i/>
          <w:iCs/>
          <w:color w:val="1B3A5C"/>
          <w:szCs w:val="20"/>
        </w:rPr>
        <w:t>14. G13 Recommended Family-Specific UWL Thresholds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2222"/>
        <w:gridCol w:w="1417"/>
        <w:gridCol w:w="709"/>
        <w:gridCol w:w="2268"/>
      </w:tblGrid>
      <w:tr w:rsidR="00666BF8" w:rsidRPr="005B0FA3" w14:paraId="62AFA374" w14:textId="77777777" w:rsidTr="004D0D18">
        <w:trPr>
          <w:tblHeader/>
        </w:trPr>
        <w:tc>
          <w:tcPr>
            <w:tcW w:w="216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5EA63A4B" w14:textId="77777777" w:rsidR="00666BF8" w:rsidRPr="005B0FA3" w:rsidRDefault="00666BF8" w:rsidP="004D0D18">
            <w:pPr>
              <w:spacing w:before="100" w:beforeAutospacing="1" w:after="100" w:afterAutospacing="1"/>
              <w:jc w:val="center"/>
              <w:rPr>
                <w:rFonts w:cs="Arial"/>
              </w:rPr>
            </w:pPr>
            <w:r w:rsidRPr="008378E2">
              <w:rPr>
                <w:rFonts w:cs="Arial"/>
                <w:b/>
                <w:bCs/>
                <w:szCs w:val="20"/>
              </w:rPr>
              <w:t>Fault Mode Family</w:t>
            </w:r>
          </w:p>
        </w:tc>
        <w:tc>
          <w:tcPr>
            <w:tcW w:w="222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A172A10" w14:textId="77777777" w:rsidR="00666BF8" w:rsidRPr="005B0FA3" w:rsidRDefault="00666BF8" w:rsidP="004D0D18">
            <w:pPr>
              <w:spacing w:before="100" w:beforeAutospacing="1" w:after="100" w:afterAutospacing="1"/>
              <w:jc w:val="center"/>
              <w:rPr>
                <w:rFonts w:cs="Arial"/>
              </w:rPr>
            </w:pPr>
            <w:r w:rsidRPr="008378E2">
              <w:rPr>
                <w:rFonts w:cs="Arial"/>
                <w:b/>
                <w:bCs/>
                <w:szCs w:val="20"/>
              </w:rPr>
              <w:t>Recommended UWL</w:t>
            </w:r>
          </w:p>
        </w:tc>
        <w:tc>
          <w:tcPr>
            <w:tcW w:w="14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5B560FB" w14:textId="77777777" w:rsidR="00666BF8" w:rsidRPr="005B0FA3" w:rsidRDefault="00666BF8" w:rsidP="004D0D18">
            <w:pPr>
              <w:spacing w:before="100" w:beforeAutospacing="1" w:after="100" w:afterAutospacing="1"/>
              <w:jc w:val="center"/>
              <w:rPr>
                <w:rFonts w:cs="Arial"/>
              </w:rPr>
            </w:pPr>
            <w:r w:rsidRPr="008378E2">
              <w:rPr>
                <w:rFonts w:cs="Arial"/>
                <w:b/>
                <w:bCs/>
                <w:szCs w:val="20"/>
              </w:rPr>
              <w:t>P10 (cycles)</w:t>
            </w:r>
          </w:p>
        </w:tc>
        <w:tc>
          <w:tcPr>
            <w:tcW w:w="70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A566DBA" w14:textId="77777777" w:rsidR="00666BF8" w:rsidRPr="005B0FA3" w:rsidRDefault="00666BF8" w:rsidP="004D0D18">
            <w:pPr>
              <w:spacing w:before="100" w:beforeAutospacing="1" w:after="100" w:afterAutospacing="1"/>
              <w:jc w:val="center"/>
              <w:rPr>
                <w:rFonts w:cs="Arial"/>
              </w:rPr>
            </w:pPr>
            <w:r w:rsidRPr="008378E2">
              <w:rPr>
                <w:rFonts w:cs="Arial"/>
                <w:b/>
                <w:bCs/>
                <w:szCs w:val="20"/>
              </w:rPr>
              <w:t>CV</w:t>
            </w:r>
          </w:p>
        </w:tc>
        <w:tc>
          <w:tcPr>
            <w:tcW w:w="226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0BC4BAA" w14:textId="77777777" w:rsidR="00666BF8" w:rsidRPr="005B0FA3" w:rsidRDefault="00666BF8" w:rsidP="004D0D18">
            <w:pPr>
              <w:spacing w:before="100" w:beforeAutospacing="1" w:after="100" w:afterAutospacing="1"/>
              <w:jc w:val="center"/>
              <w:rPr>
                <w:rFonts w:cs="Arial"/>
              </w:rPr>
            </w:pPr>
            <w:r w:rsidRPr="008378E2">
              <w:rPr>
                <w:rFonts w:cs="Arial"/>
                <w:b/>
                <w:bCs/>
                <w:szCs w:val="20"/>
              </w:rPr>
              <w:t>Baseline (Phase 2)</w:t>
            </w:r>
          </w:p>
        </w:tc>
      </w:tr>
      <w:tr w:rsidR="00666BF8" w14:paraId="38CE8BF1" w14:textId="77777777" w:rsidTr="004D0D18">
        <w:tc>
          <w:tcPr>
            <w:tcW w:w="2168" w:type="dxa"/>
            <w:shd w:val="clear" w:color="auto" w:fill="FFFFFF"/>
            <w:tcMar>
              <w:top w:w="80" w:type="dxa"/>
              <w:left w:w="120" w:type="dxa"/>
              <w:bottom w:w="80" w:type="dxa"/>
              <w:right w:w="120" w:type="dxa"/>
            </w:tcMar>
            <w:vAlign w:val="center"/>
          </w:tcPr>
          <w:p w14:paraId="071E8C29" w14:textId="77777777" w:rsidR="00666BF8" w:rsidRPr="00F24BF5" w:rsidRDefault="00666BF8" w:rsidP="004D0D18">
            <w:pPr>
              <w:spacing w:before="100" w:beforeAutospacing="1" w:after="100" w:afterAutospacing="1"/>
              <w:rPr>
                <w:rFonts w:cs="Arial"/>
                <w:sz w:val="18"/>
                <w:szCs w:val="18"/>
              </w:rPr>
            </w:pPr>
            <w:r>
              <w:rPr>
                <w:rFonts w:cs="Arial"/>
                <w:sz w:val="18"/>
                <w:szCs w:val="18"/>
              </w:rPr>
              <w:t>Single-fault</w:t>
            </w:r>
          </w:p>
        </w:tc>
        <w:tc>
          <w:tcPr>
            <w:tcW w:w="2222" w:type="dxa"/>
            <w:shd w:val="clear" w:color="auto" w:fill="FFFFFF"/>
            <w:tcMar>
              <w:top w:w="80" w:type="dxa"/>
              <w:left w:w="120" w:type="dxa"/>
              <w:bottom w:w="80" w:type="dxa"/>
              <w:right w:w="120" w:type="dxa"/>
            </w:tcMar>
            <w:vAlign w:val="center"/>
          </w:tcPr>
          <w:p w14:paraId="39F3AD67" w14:textId="77777777" w:rsidR="00666BF8" w:rsidRPr="00F24BF5" w:rsidRDefault="00000000" w:rsidP="004D0D18">
            <w:pPr>
              <w:spacing w:before="100" w:beforeAutospacing="1" w:after="100" w:afterAutospacing="1"/>
              <w:rPr>
                <w:rFonts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z</m:t>
                    </m:r>
                  </m:e>
                </m:d>
                <m:r>
                  <w:rPr>
                    <w:rFonts w:ascii="Cambria Math" w:hAnsi="Cambria Math" w:cs="Arial"/>
                    <w:sz w:val="18"/>
                    <w:szCs w:val="18"/>
                  </w:rPr>
                  <m:t>&gt;1.75</m:t>
                </m:r>
              </m:oMath>
            </m:oMathPara>
          </w:p>
        </w:tc>
        <w:tc>
          <w:tcPr>
            <w:tcW w:w="1417" w:type="dxa"/>
            <w:shd w:val="clear" w:color="auto" w:fill="FFFFFF"/>
            <w:tcMar>
              <w:top w:w="80" w:type="dxa"/>
              <w:left w:w="120" w:type="dxa"/>
              <w:bottom w:w="80" w:type="dxa"/>
              <w:right w:w="120" w:type="dxa"/>
            </w:tcMar>
            <w:vAlign w:val="center"/>
          </w:tcPr>
          <w:p w14:paraId="54501E36" w14:textId="77777777" w:rsidR="00666BF8" w:rsidRPr="00F24BF5" w:rsidRDefault="00666BF8" w:rsidP="004D0D18">
            <w:pPr>
              <w:spacing w:before="100" w:beforeAutospacing="1" w:after="100" w:afterAutospacing="1"/>
              <w:rPr>
                <w:rFonts w:cs="Arial"/>
                <w:sz w:val="18"/>
                <w:szCs w:val="18"/>
              </w:rPr>
            </w:pPr>
            <w:r>
              <w:rPr>
                <w:rFonts w:cs="Arial"/>
                <w:sz w:val="18"/>
                <w:szCs w:val="18"/>
              </w:rPr>
              <w:t>24</w:t>
            </w:r>
          </w:p>
        </w:tc>
        <w:tc>
          <w:tcPr>
            <w:tcW w:w="709" w:type="dxa"/>
            <w:shd w:val="clear" w:color="auto" w:fill="FFFFFF"/>
            <w:tcMar>
              <w:top w:w="80" w:type="dxa"/>
              <w:left w:w="120" w:type="dxa"/>
              <w:bottom w:w="80" w:type="dxa"/>
              <w:right w:w="120" w:type="dxa"/>
            </w:tcMar>
            <w:vAlign w:val="center"/>
          </w:tcPr>
          <w:p w14:paraId="20A3D6A2" w14:textId="77777777" w:rsidR="00666BF8" w:rsidRPr="00F24BF5" w:rsidRDefault="00666BF8" w:rsidP="004D0D18">
            <w:pPr>
              <w:spacing w:before="100" w:beforeAutospacing="1" w:after="100" w:afterAutospacing="1"/>
              <w:rPr>
                <w:rFonts w:cs="Arial"/>
                <w:sz w:val="18"/>
                <w:szCs w:val="18"/>
              </w:rPr>
            </w:pPr>
            <w:r>
              <w:rPr>
                <w:rFonts w:cs="Arial"/>
                <w:sz w:val="18"/>
                <w:szCs w:val="18"/>
              </w:rPr>
              <w:t>0.649</w:t>
            </w:r>
          </w:p>
        </w:tc>
        <w:tc>
          <w:tcPr>
            <w:tcW w:w="2268" w:type="dxa"/>
            <w:shd w:val="clear" w:color="auto" w:fill="FFFFFF"/>
            <w:tcMar>
              <w:top w:w="80" w:type="dxa"/>
              <w:left w:w="120" w:type="dxa"/>
              <w:bottom w:w="80" w:type="dxa"/>
              <w:right w:w="120" w:type="dxa"/>
            </w:tcMar>
            <w:vAlign w:val="center"/>
          </w:tcPr>
          <w:p w14:paraId="486DD699" w14:textId="77777777" w:rsidR="00666BF8" w:rsidRPr="00F24BF5" w:rsidRDefault="00000000" w:rsidP="004D0D18">
            <w:pPr>
              <w:spacing w:before="100" w:beforeAutospacing="1" w:after="100" w:afterAutospacing="1"/>
              <w:rPr>
                <w:rFonts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z</m:t>
                    </m:r>
                  </m:e>
                </m:d>
                <m:r>
                  <w:rPr>
                    <w:rFonts w:ascii="Cambria Math" w:hAnsi="Cambria Math" w:cs="Arial"/>
                    <w:sz w:val="18"/>
                    <w:szCs w:val="18"/>
                  </w:rPr>
                  <m:t>&gt;2</m:t>
                </m:r>
              </m:oMath>
            </m:oMathPara>
          </w:p>
        </w:tc>
      </w:tr>
      <w:tr w:rsidR="00666BF8" w14:paraId="398F1D3B" w14:textId="77777777" w:rsidTr="004D0D18">
        <w:tc>
          <w:tcPr>
            <w:tcW w:w="2168" w:type="dxa"/>
            <w:shd w:val="clear" w:color="auto" w:fill="F0F4F8"/>
            <w:tcMar>
              <w:top w:w="80" w:type="dxa"/>
              <w:left w:w="120" w:type="dxa"/>
              <w:bottom w:w="80" w:type="dxa"/>
              <w:right w:w="120" w:type="dxa"/>
            </w:tcMar>
            <w:vAlign w:val="center"/>
          </w:tcPr>
          <w:p w14:paraId="66DB66A7" w14:textId="77777777" w:rsidR="00666BF8" w:rsidRPr="00F24BF5" w:rsidRDefault="00666BF8" w:rsidP="004D0D18">
            <w:pPr>
              <w:spacing w:before="100" w:beforeAutospacing="1" w:after="100" w:afterAutospacing="1"/>
              <w:rPr>
                <w:rFonts w:cs="Arial"/>
                <w:sz w:val="18"/>
                <w:szCs w:val="18"/>
              </w:rPr>
            </w:pPr>
            <w:r>
              <w:rPr>
                <w:rFonts w:cs="Arial"/>
                <w:sz w:val="18"/>
                <w:szCs w:val="18"/>
              </w:rPr>
              <w:t>Dual-fault</w:t>
            </w:r>
          </w:p>
        </w:tc>
        <w:tc>
          <w:tcPr>
            <w:tcW w:w="2222" w:type="dxa"/>
            <w:shd w:val="clear" w:color="auto" w:fill="F0F4F8"/>
            <w:tcMar>
              <w:top w:w="80" w:type="dxa"/>
              <w:left w:w="120" w:type="dxa"/>
              <w:bottom w:w="80" w:type="dxa"/>
              <w:right w:w="120" w:type="dxa"/>
            </w:tcMar>
            <w:vAlign w:val="center"/>
          </w:tcPr>
          <w:p w14:paraId="09FE0729" w14:textId="77777777" w:rsidR="00666BF8" w:rsidRPr="00F24BF5" w:rsidRDefault="00000000" w:rsidP="004D0D18">
            <w:pPr>
              <w:spacing w:before="100" w:beforeAutospacing="1" w:after="100" w:afterAutospacing="1"/>
              <w:rPr>
                <w:rFonts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z</m:t>
                    </m:r>
                  </m:e>
                </m:d>
                <m:r>
                  <w:rPr>
                    <w:rFonts w:ascii="Cambria Math" w:hAnsi="Cambria Math" w:cs="Arial"/>
                    <w:sz w:val="18"/>
                    <w:szCs w:val="18"/>
                  </w:rPr>
                  <m:t>&gt;1.75</m:t>
                </m:r>
              </m:oMath>
            </m:oMathPara>
          </w:p>
        </w:tc>
        <w:tc>
          <w:tcPr>
            <w:tcW w:w="1417" w:type="dxa"/>
            <w:shd w:val="clear" w:color="auto" w:fill="F0F4F8"/>
            <w:tcMar>
              <w:top w:w="80" w:type="dxa"/>
              <w:left w:w="120" w:type="dxa"/>
              <w:bottom w:w="80" w:type="dxa"/>
              <w:right w:w="120" w:type="dxa"/>
            </w:tcMar>
            <w:vAlign w:val="center"/>
          </w:tcPr>
          <w:p w14:paraId="71657859" w14:textId="77777777" w:rsidR="00666BF8" w:rsidRPr="00F24BF5" w:rsidRDefault="00666BF8" w:rsidP="004D0D18">
            <w:pPr>
              <w:spacing w:before="100" w:beforeAutospacing="1" w:after="100" w:afterAutospacing="1"/>
              <w:rPr>
                <w:rFonts w:cs="Arial"/>
                <w:sz w:val="18"/>
                <w:szCs w:val="18"/>
              </w:rPr>
            </w:pPr>
            <w:r>
              <w:rPr>
                <w:rFonts w:cs="Arial"/>
                <w:sz w:val="18"/>
                <w:szCs w:val="18"/>
              </w:rPr>
              <w:t>24</w:t>
            </w:r>
          </w:p>
        </w:tc>
        <w:tc>
          <w:tcPr>
            <w:tcW w:w="709" w:type="dxa"/>
            <w:shd w:val="clear" w:color="auto" w:fill="F0F4F8"/>
            <w:tcMar>
              <w:top w:w="80" w:type="dxa"/>
              <w:left w:w="120" w:type="dxa"/>
              <w:bottom w:w="80" w:type="dxa"/>
              <w:right w:w="120" w:type="dxa"/>
            </w:tcMar>
            <w:vAlign w:val="center"/>
          </w:tcPr>
          <w:p w14:paraId="5CC6E0F9" w14:textId="77777777" w:rsidR="00666BF8" w:rsidRPr="00F24BF5" w:rsidRDefault="00666BF8" w:rsidP="004D0D18">
            <w:pPr>
              <w:spacing w:before="100" w:beforeAutospacing="1" w:after="100" w:afterAutospacing="1"/>
              <w:rPr>
                <w:rFonts w:cs="Arial"/>
                <w:sz w:val="18"/>
                <w:szCs w:val="18"/>
              </w:rPr>
            </w:pPr>
            <w:r>
              <w:rPr>
                <w:rFonts w:cs="Arial"/>
                <w:sz w:val="18"/>
                <w:szCs w:val="18"/>
              </w:rPr>
              <w:t>0.841</w:t>
            </w:r>
          </w:p>
        </w:tc>
        <w:tc>
          <w:tcPr>
            <w:tcW w:w="2268" w:type="dxa"/>
            <w:shd w:val="clear" w:color="auto" w:fill="F0F4F8"/>
            <w:tcMar>
              <w:top w:w="80" w:type="dxa"/>
              <w:left w:w="120" w:type="dxa"/>
              <w:bottom w:w="80" w:type="dxa"/>
              <w:right w:w="120" w:type="dxa"/>
            </w:tcMar>
            <w:vAlign w:val="center"/>
          </w:tcPr>
          <w:p w14:paraId="54B186D9" w14:textId="77777777" w:rsidR="00666BF8" w:rsidRPr="00F24BF5" w:rsidRDefault="00000000" w:rsidP="004D0D18">
            <w:pPr>
              <w:spacing w:before="100" w:beforeAutospacing="1" w:after="100" w:afterAutospacing="1"/>
              <w:rPr>
                <w:rFonts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z</m:t>
                    </m:r>
                  </m:e>
                </m:d>
                <m:r>
                  <w:rPr>
                    <w:rFonts w:ascii="Cambria Math" w:hAnsi="Cambria Math" w:cs="Arial"/>
                    <w:sz w:val="18"/>
                    <w:szCs w:val="18"/>
                  </w:rPr>
                  <m:t>&gt;2</m:t>
                </m:r>
              </m:oMath>
            </m:oMathPara>
          </w:p>
        </w:tc>
      </w:tr>
    </w:tbl>
    <w:p w14:paraId="27B731A9" w14:textId="77777777" w:rsidR="0084775B" w:rsidRPr="0084775B" w:rsidRDefault="0084775B" w:rsidP="0084775B">
      <w:pPr>
        <w:spacing w:before="100" w:beforeAutospacing="1" w:after="100" w:afterAutospacing="1"/>
        <w:jc w:val="both"/>
        <w:rPr>
          <w:rFonts w:cs="Arial"/>
          <w:szCs w:val="20"/>
        </w:rPr>
      </w:pPr>
      <w:r w:rsidRPr="0084775B">
        <w:rPr>
          <w:rFonts w:cs="Arial"/>
          <w:szCs w:val="20"/>
        </w:rPr>
        <w:t>A relatively small threshold adjustment — 0.25 standard deviations — produces three simultaneous improvements:</w:t>
      </w:r>
    </w:p>
    <w:p w14:paraId="39F8F165" w14:textId="4B07DA5E" w:rsidR="0084775B" w:rsidRPr="0084775B" w:rsidRDefault="0084775B" w:rsidP="0084775B">
      <w:pPr>
        <w:pStyle w:val="ListParagraph"/>
        <w:numPr>
          <w:ilvl w:val="0"/>
          <w:numId w:val="16"/>
        </w:numPr>
        <w:spacing w:before="100" w:beforeAutospacing="1" w:after="100" w:afterAutospacing="1"/>
        <w:jc w:val="both"/>
      </w:pPr>
      <w:r w:rsidRPr="0084775B">
        <w:rPr>
          <w:b/>
          <w:bCs/>
        </w:rPr>
        <w:t>Scheduling lead time restored.</w:t>
      </w:r>
      <w:r w:rsidRPr="0084775B">
        <w:t xml:space="preserve"> P10 rises from 13/12 cycles (single/dual-fault) to 24 cycles for both families, clearing the 20-cycle MRO minimum. The short-interval tail that Phase 2 identified as the primary AOG exposure is eliminated.</w:t>
      </w:r>
    </w:p>
    <w:p w14:paraId="1E5170BB" w14:textId="425B3803" w:rsidR="0084775B" w:rsidRPr="0084775B" w:rsidRDefault="0084775B" w:rsidP="0084775B">
      <w:pPr>
        <w:pStyle w:val="ListParagraph"/>
        <w:numPr>
          <w:ilvl w:val="0"/>
          <w:numId w:val="16"/>
        </w:numPr>
        <w:spacing w:before="100" w:beforeAutospacing="1" w:after="100" w:afterAutospacing="1"/>
        <w:jc w:val="both"/>
      </w:pPr>
      <w:r w:rsidRPr="0084775B">
        <w:rPr>
          <w:b/>
          <w:bCs/>
        </w:rPr>
        <w:t>Distribution precision improved.</w:t>
      </w:r>
      <w:r w:rsidRPr="0084775B">
        <w:t xml:space="preserve"> CV falls from 0.912/1.196 to 0.649/0.841. A CV below 1.0 is a meaningful threshold in its own right: it means the standard deviation is smaller than the mean, placing the distribution in a regime where a point estimate of remaining lead time is at least directionally reliable. The baseline CV of 1.419 for FD003 implied a scheduling </w:t>
      </w:r>
      <w:r w:rsidRPr="0084775B">
        <w:lastRenderedPageBreak/>
        <w:t>signal dominated by noise; the recalibrated threshold brings all subsets to CV &lt; 1.0 or close to it.</w:t>
      </w:r>
    </w:p>
    <w:p w14:paraId="403A84A1" w14:textId="169BDE48" w:rsidR="0084775B" w:rsidRPr="0084775B" w:rsidRDefault="0084775B" w:rsidP="0084775B">
      <w:pPr>
        <w:pStyle w:val="ListParagraph"/>
        <w:numPr>
          <w:ilvl w:val="0"/>
          <w:numId w:val="16"/>
        </w:numPr>
        <w:spacing w:before="100" w:beforeAutospacing="1" w:after="100" w:afterAutospacing="1"/>
        <w:jc w:val="both"/>
      </w:pPr>
      <w:r w:rsidRPr="0084775B">
        <w:rPr>
          <w:b/>
          <w:bCs/>
        </w:rPr>
        <w:t>Operational simplicity preserved.</w:t>
      </w:r>
      <w:r w:rsidRPr="0084775B">
        <w:t xml:space="preserve"> The convergence to an identical threshold for both families is a practically significant result — the recalibration does not require family-specific alert logic to be deployed in the alert system. A single threshold change achieves the improvement across both populations. The CV differential (0.649 vs 0.841) remains material and should be monitored, but it does not necessitate a split implementation at Phase 5.</w:t>
      </w:r>
    </w:p>
    <w:tbl>
      <w:tblPr>
        <w:tblpPr w:leftFromText="180" w:rightFromText="180" w:vertAnchor="text" w:horzAnchor="margin" w:tblpY="111"/>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84775B" w:rsidRPr="005B0FA3" w14:paraId="13433018" w14:textId="77777777" w:rsidTr="004D0D18">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1FFEF67F" w14:textId="37040C5B" w:rsidR="0084775B" w:rsidRPr="008378E2" w:rsidRDefault="0084775B" w:rsidP="004D0D18">
            <w:pPr>
              <w:spacing w:before="100" w:beforeAutospacing="1" w:after="100" w:afterAutospacing="1"/>
              <w:jc w:val="both"/>
              <w:rPr>
                <w:rFonts w:cs="Arial"/>
                <w:color w:val="B85A67"/>
                <w:sz w:val="18"/>
                <w:szCs w:val="18"/>
              </w:rPr>
            </w:pPr>
            <w:r w:rsidRPr="0084775B">
              <w:rPr>
                <w:rFonts w:cs="Arial"/>
                <w:b/>
                <w:bCs/>
                <w:color w:val="B85A67"/>
                <w:sz w:val="18"/>
                <w:szCs w:val="18"/>
              </w:rPr>
              <w:t>Note on CV comparability.</w:t>
            </w:r>
            <w:r w:rsidRPr="0084775B">
              <w:rPr>
                <w:rFonts w:cs="Arial"/>
                <w:color w:val="B85A67"/>
                <w:sz w:val="18"/>
                <w:szCs w:val="18"/>
              </w:rPr>
              <w:t xml:space="preserve"> The baseline CVs (Table 13) are computed on the full sample including right-censored engines, whilst the recalibrated CVs (Table 14) are computed only on engines that breach the threshold — a slightly different sample composition. The CV reduction therefore reflects both the threshold recalibration, and a minor sample composition change and should not be interpreted as a purely precision-driven improvement. This limitation is documented for Phase 5.</w:t>
            </w:r>
          </w:p>
        </w:tc>
      </w:tr>
    </w:tbl>
    <w:p w14:paraId="5B15799D" w14:textId="3A3095C8" w:rsidR="0084775B" w:rsidRPr="0084775B" w:rsidRDefault="0084775B" w:rsidP="0084775B">
      <w:pPr>
        <w:spacing w:before="100" w:beforeAutospacing="1" w:after="100" w:afterAutospacing="1"/>
        <w:jc w:val="both"/>
      </w:pPr>
    </w:p>
    <w:tbl>
      <w:tblPr>
        <w:tblpPr w:leftFromText="180" w:rightFromText="180" w:vertAnchor="text" w:horzAnchor="margin" w:tblpY="111"/>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7"/>
      </w:tblGrid>
      <w:tr w:rsidR="00666BF8" w:rsidRPr="005B0FA3" w14:paraId="7090C7AA" w14:textId="77777777" w:rsidTr="004D0D18">
        <w:tc>
          <w:tcPr>
            <w:tcW w:w="9057" w:type="dxa"/>
            <w:tcBorders>
              <w:top w:val="single" w:sz="4" w:space="0" w:color="9B1B30"/>
              <w:left w:val="thick" w:sz="12" w:space="0" w:color="9B1B30"/>
              <w:bottom w:val="single" w:sz="4" w:space="0" w:color="9B1B30"/>
              <w:right w:val="single" w:sz="4" w:space="0" w:color="9B1B30"/>
            </w:tcBorders>
            <w:shd w:val="clear" w:color="auto" w:fill="FFF2F2"/>
            <w:tcMar>
              <w:top w:w="80" w:type="dxa"/>
              <w:left w:w="180" w:type="dxa"/>
              <w:bottom w:w="80" w:type="dxa"/>
              <w:right w:w="120" w:type="dxa"/>
            </w:tcMar>
          </w:tcPr>
          <w:p w14:paraId="128417C6" w14:textId="0B17A24F" w:rsidR="00666BF8" w:rsidRPr="008378E2" w:rsidRDefault="0084775B" w:rsidP="004D0D18">
            <w:pPr>
              <w:spacing w:before="100" w:beforeAutospacing="1" w:after="100" w:afterAutospacing="1"/>
              <w:jc w:val="both"/>
              <w:rPr>
                <w:rFonts w:cs="Arial"/>
                <w:color w:val="B85A67"/>
                <w:sz w:val="18"/>
                <w:szCs w:val="18"/>
              </w:rPr>
            </w:pPr>
            <w:r w:rsidRPr="0084775B">
              <w:rPr>
                <w:rFonts w:cs="Arial"/>
                <w:b/>
                <w:bCs/>
                <w:color w:val="B85A67"/>
                <w:sz w:val="18"/>
                <w:szCs w:val="18"/>
              </w:rPr>
              <w:t>Disposition:</w:t>
            </w:r>
            <w:r w:rsidRPr="0084775B">
              <w:rPr>
                <w:rFonts w:cs="Arial"/>
                <w:color w:val="B85A67"/>
                <w:sz w:val="18"/>
                <w:szCs w:val="18"/>
              </w:rPr>
              <w:t xml:space="preserve"> Diagnostic. Per-fault-mode-family P-F interval distributions have been quantified at both subset and family granularity. The UWL threshold sweep demonstrates that recalibration from </w:t>
            </w:r>
            <m:oMath>
              <m:r>
                <m:rPr>
                  <m:sty m:val="p"/>
                </m:rPr>
                <w:rPr>
                  <w:rFonts w:ascii="Cambria Math" w:hAnsi="Cambria Math" w:cs="Arial"/>
                  <w:color w:val="B85A67"/>
                  <w:sz w:val="18"/>
                  <w:szCs w:val="18"/>
                </w:rPr>
                <m:t>∣</m:t>
              </m:r>
              <m:r>
                <w:rPr>
                  <w:rFonts w:ascii="Cambria Math" w:hAnsi="Cambria Math" w:cs="Arial"/>
                  <w:color w:val="B85A67"/>
                  <w:sz w:val="18"/>
                  <w:szCs w:val="18"/>
                </w:rPr>
                <m:t>z</m:t>
              </m:r>
              <m:r>
                <m:rPr>
                  <m:sty m:val="p"/>
                </m:rPr>
                <w:rPr>
                  <w:rFonts w:ascii="Cambria Math" w:hAnsi="Cambria Math" w:cs="Arial"/>
                  <w:color w:val="B85A67"/>
                  <w:sz w:val="18"/>
                  <w:szCs w:val="18"/>
                </w:rPr>
                <m:t>∣</m:t>
              </m:r>
              <m:r>
                <w:rPr>
                  <w:rFonts w:ascii="Cambria Math" w:hAnsi="Cambria Math" w:cs="Arial"/>
                  <w:color w:val="B85A67"/>
                  <w:sz w:val="18"/>
                  <w:szCs w:val="18"/>
                </w:rPr>
                <m:t>&gt;2.00</m:t>
              </m:r>
            </m:oMath>
            <w:r>
              <w:rPr>
                <w:rFonts w:cs="Arial"/>
                <w:color w:val="B85A67"/>
                <w:sz w:val="18"/>
                <w:szCs w:val="18"/>
              </w:rPr>
              <w:t xml:space="preserve"> </w:t>
            </w:r>
            <w:r w:rsidRPr="0084775B">
              <w:rPr>
                <w:rFonts w:cs="Arial"/>
                <w:color w:val="B85A67"/>
                <w:sz w:val="18"/>
                <w:szCs w:val="18"/>
              </w:rPr>
              <w:t xml:space="preserve">to </w:t>
            </w:r>
            <m:oMath>
              <m:r>
                <m:rPr>
                  <m:sty m:val="p"/>
                </m:rPr>
                <w:rPr>
                  <w:rFonts w:ascii="Cambria Math" w:hAnsi="Cambria Math" w:cs="Arial"/>
                  <w:color w:val="B85A67"/>
                  <w:sz w:val="18"/>
                  <w:szCs w:val="18"/>
                </w:rPr>
                <m:t>∣</m:t>
              </m:r>
              <m:r>
                <w:rPr>
                  <w:rFonts w:ascii="Cambria Math" w:hAnsi="Cambria Math" w:cs="Arial"/>
                  <w:color w:val="B85A67"/>
                  <w:sz w:val="18"/>
                  <w:szCs w:val="18"/>
                </w:rPr>
                <m:t>z</m:t>
              </m:r>
              <m:r>
                <m:rPr>
                  <m:sty m:val="p"/>
                </m:rPr>
                <w:rPr>
                  <w:rFonts w:ascii="Cambria Math" w:hAnsi="Cambria Math" w:cs="Arial"/>
                  <w:color w:val="B85A67"/>
                  <w:sz w:val="18"/>
                  <w:szCs w:val="18"/>
                </w:rPr>
                <m:t>∣</m:t>
              </m:r>
              <m:r>
                <w:rPr>
                  <w:rFonts w:ascii="Cambria Math" w:hAnsi="Cambria Math" w:cs="Arial"/>
                  <w:color w:val="B85A67"/>
                  <w:sz w:val="18"/>
                  <w:szCs w:val="18"/>
                </w:rPr>
                <m:t>&gt;1.75</m:t>
              </m:r>
            </m:oMath>
            <w:r>
              <w:rPr>
                <w:rFonts w:cs="Arial"/>
                <w:color w:val="B85A67"/>
                <w:sz w:val="18"/>
                <w:szCs w:val="18"/>
              </w:rPr>
              <w:t xml:space="preserve"> </w:t>
            </w:r>
            <w:r w:rsidRPr="0084775B">
              <w:rPr>
                <w:rFonts w:cs="Arial"/>
                <w:color w:val="B85A67"/>
                <w:sz w:val="18"/>
                <w:szCs w:val="18"/>
              </w:rPr>
              <w:t>recovers sufficient P10 lead time (24 cycles) for both fault mode families while reducing CV below 1.0 for the single-fault population and to 0.841 for the dual-fault population. The convergence to a single uniform threshold simplifies Phase 5 deployment. Operational deployment of adaptive thresholds is formally deferred to Phase 5 maintenance scheduling.</w:t>
            </w:r>
          </w:p>
        </w:tc>
      </w:tr>
    </w:tbl>
    <w:p w14:paraId="19B599F1" w14:textId="046866C0" w:rsidR="00A807E4" w:rsidRPr="005B0FA3" w:rsidRDefault="00000000" w:rsidP="00444BDF">
      <w:pPr>
        <w:pStyle w:val="Heading1"/>
      </w:pPr>
      <w:r w:rsidRPr="005B0FA3">
        <w:t>5. Part B — Feature Construction</w:t>
      </w:r>
      <w:r w:rsidR="00C92D7C">
        <w:t xml:space="preserve"> (Cell </w:t>
      </w:r>
      <w:r w:rsidR="00666BF8">
        <w:t>21</w:t>
      </w:r>
      <w:r w:rsidR="00C92D7C">
        <w:t>)</w:t>
      </w:r>
    </w:p>
    <w:bookmarkEnd w:id="5"/>
    <w:p w14:paraId="4FACCA43" w14:textId="7B971093" w:rsidR="00DF5B6A" w:rsidRPr="00DF5B6A" w:rsidRDefault="00DF5B6A" w:rsidP="00DF5B6A">
      <w:pPr>
        <w:pStyle w:val="NormalWeb"/>
        <w:jc w:val="both"/>
        <w:rPr>
          <w:rFonts w:cs="Arial"/>
          <w:szCs w:val="20"/>
        </w:rPr>
      </w:pPr>
      <w:r w:rsidRPr="00DF5B6A">
        <w:rPr>
          <w:rFonts w:cs="Arial"/>
          <w:szCs w:val="20"/>
        </w:rPr>
        <w:t xml:space="preserve">The feature engineering pipeline constructs the dynamic feature vector in four sequential steps. </w:t>
      </w:r>
      <w:bookmarkStart w:id="6" w:name="OLE_LINK7"/>
      <w:r w:rsidRPr="00DF5B6A">
        <w:rPr>
          <w:rFonts w:cs="Arial"/>
          <w:szCs w:val="20"/>
        </w:rPr>
        <w:t xml:space="preserve">The total feature count is derived analytically from first principles and verified empirically against the runtime column count at </w:t>
      </w:r>
      <w:r w:rsidR="00980B59">
        <w:rPr>
          <w:rFonts w:cs="Arial"/>
          <w:szCs w:val="20"/>
        </w:rPr>
        <w:t xml:space="preserve">Feature Engineering </w:t>
      </w:r>
      <w:r w:rsidRPr="00DF5B6A">
        <w:rPr>
          <w:rFonts w:cs="Arial"/>
          <w:szCs w:val="20"/>
        </w:rPr>
        <w:t>Gate 2</w:t>
      </w:r>
      <w:bookmarkEnd w:id="6"/>
      <w:r w:rsidR="00980B59">
        <w:rPr>
          <w:rFonts w:cs="Arial"/>
          <w:szCs w:val="20"/>
        </w:rPr>
        <w:t xml:space="preserve"> (Cell </w:t>
      </w:r>
      <w:r w:rsidR="002A3148">
        <w:rPr>
          <w:rFonts w:cs="Arial"/>
          <w:szCs w:val="20"/>
        </w:rPr>
        <w:t>30</w:t>
      </w:r>
      <w:r w:rsidR="00980B59">
        <w:rPr>
          <w:rFonts w:cs="Arial"/>
          <w:szCs w:val="20"/>
        </w:rPr>
        <w:t>)</w:t>
      </w:r>
      <w:r w:rsidR="00980B59" w:rsidRPr="00980B59">
        <w:rPr>
          <w:rStyle w:val="FootnoteReference"/>
          <w:rFonts w:cs="Arial"/>
          <w:color w:val="E97132" w:themeColor="accent2"/>
          <w:szCs w:val="20"/>
        </w:rPr>
        <w:footnoteReference w:id="8"/>
      </w:r>
      <w:r w:rsidRPr="00DF5B6A">
        <w:rPr>
          <w:rFonts w:cs="Arial"/>
          <w:szCs w:val="20"/>
        </w:rPr>
        <w:t xml:space="preserve">. Two analytically distinct feature groups constitute the final matrix </w:t>
      </w:r>
      <m:oMath>
        <m:r>
          <w:rPr>
            <w:rFonts w:ascii="Cambria Math" w:hAnsi="Cambria Math" w:cs="Arial"/>
            <w:szCs w:val="20"/>
          </w:rPr>
          <m:t>X</m:t>
        </m:r>
      </m:oMath>
      <w:r w:rsidRPr="00DF5B6A">
        <w:rPr>
          <w:rFonts w:cs="Arial"/>
          <w:szCs w:val="20"/>
        </w:rPr>
        <w:t xml:space="preserve">: the 81 formula-derived features produced in Part B, and the 10 gap-resolution features appended during Part A. Both groups are fully constitutive members of </w:t>
      </w:r>
      <m:oMath>
        <m:r>
          <w:rPr>
            <w:rFonts w:ascii="Cambria Math" w:hAnsi="Cambria Math" w:cs="Arial"/>
            <w:szCs w:val="20"/>
          </w:rPr>
          <m:t>X</m:t>
        </m:r>
      </m:oMath>
      <w:r w:rsidRPr="00DF5B6A">
        <w:rPr>
          <w:rFonts w:cs="Arial"/>
          <w:szCs w:val="20"/>
        </w:rPr>
        <w:t xml:space="preserve"> and are presented to Phase 4 on equal standing. Metadata columns </w:t>
      </w:r>
      <w:r w:rsidRPr="00DF5B6A">
        <w:rPr>
          <w:rFonts w:ascii="Courier New" w:hAnsi="Courier New" w:cs="Courier New"/>
          <w:szCs w:val="20"/>
        </w:rPr>
        <w:t xml:space="preserve">(unit_id, cycle, subset, subset_origin, RUL) </w:t>
      </w:r>
      <w:r w:rsidRPr="00DF5B6A">
        <w:rPr>
          <w:rFonts w:cs="Arial"/>
          <w:szCs w:val="20"/>
        </w:rPr>
        <w:t xml:space="preserve">are recorded in the working DataFrame but excluded from </w:t>
      </w:r>
      <m:oMath>
        <m:r>
          <w:rPr>
            <w:rFonts w:ascii="Cambria Math" w:hAnsi="Cambria Math" w:cs="Arial"/>
            <w:szCs w:val="20"/>
          </w:rPr>
          <m:t>X</m:t>
        </m:r>
      </m:oMath>
      <w:r w:rsidRPr="00DF5B6A">
        <w:rPr>
          <w:rFonts w:cs="Arial"/>
          <w:szCs w:val="20"/>
        </w:rPr>
        <w:t>.</w:t>
      </w:r>
    </w:p>
    <w:p w14:paraId="32D85C35" w14:textId="77777777" w:rsidR="00DF5B6A" w:rsidRPr="00DF5B6A" w:rsidRDefault="00DF5B6A" w:rsidP="00DF5B6A">
      <w:pPr>
        <w:pStyle w:val="NormalWeb"/>
        <w:jc w:val="both"/>
        <w:rPr>
          <w:rFonts w:cs="Arial"/>
          <w:szCs w:val="20"/>
        </w:rPr>
      </w:pPr>
      <w:r w:rsidRPr="00DF5B6A">
        <w:rPr>
          <w:rStyle w:val="Strong"/>
          <w:rFonts w:cs="Arial"/>
          <w:szCs w:val="20"/>
        </w:rPr>
        <w:t>Formula Feature Count</w:t>
      </w:r>
    </w:p>
    <w:p w14:paraId="31563E5D" w14:textId="77777777" w:rsidR="00DF5B6A" w:rsidRPr="00DF5B6A" w:rsidRDefault="00DF5B6A" w:rsidP="00DF5B6A">
      <w:pPr>
        <w:pStyle w:val="NormalWeb"/>
        <w:jc w:val="both"/>
        <w:rPr>
          <w:rFonts w:cs="Arial"/>
          <w:szCs w:val="20"/>
        </w:rPr>
      </w:pPr>
      <w:r w:rsidRPr="00DF5B6A">
        <w:rPr>
          <w:rFonts w:cs="Arial"/>
          <w:szCs w:val="20"/>
        </w:rPr>
        <w:t>The total formula feature count is derived analytically as:</w:t>
      </w:r>
    </w:p>
    <w:p w14:paraId="54A338D8" w14:textId="01D8D5D7"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total</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base</m:t>
              </m:r>
            </m:sub>
          </m:sSub>
          <m:r>
            <w:rPr>
              <w:rFonts w:ascii="Cambria Math" w:hAnsi="Cambria Math" w:cs="Arial"/>
              <w:szCs w:val="20"/>
            </w:rPr>
            <m:t>+</m:t>
          </m:r>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active</m:t>
                  </m:r>
                </m:sub>
              </m:sSub>
              <m:r>
                <m:rPr>
                  <m:sty m:val="p"/>
                </m:rPr>
                <w:rPr>
                  <w:rFonts w:ascii="Cambria Math" w:hAnsi="Cambria Math" w:cs="Arial"/>
                  <w:szCs w:val="20"/>
                </w:rPr>
                <m:t>×</m:t>
              </m:r>
              <m:r>
                <w:rPr>
                  <w:rFonts w:ascii="Cambria Math" w:hAnsi="Cambria Math" w:cs="Arial"/>
                  <w:szCs w:val="20"/>
                </w:rPr>
                <m:t>3</m:t>
              </m:r>
            </m:e>
          </m:d>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virtual</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fatigue</m:t>
              </m:r>
            </m:sub>
          </m:sSub>
        </m:oMath>
      </m:oMathPara>
    </w:p>
    <w:p w14:paraId="14C8A61D" w14:textId="77777777" w:rsidR="00DF5B6A" w:rsidRPr="00DF5B6A" w:rsidRDefault="00DF5B6A" w:rsidP="00DF5B6A">
      <w:pPr>
        <w:pStyle w:val="NormalWeb"/>
        <w:jc w:val="both"/>
        <w:rPr>
          <w:rFonts w:cs="Arial"/>
          <w:szCs w:val="20"/>
        </w:rPr>
      </w:pPr>
      <w:r w:rsidRPr="00DF5B6A">
        <w:rPr>
          <w:rFonts w:cs="Arial"/>
          <w:szCs w:val="20"/>
        </w:rPr>
        <w:t>where the component terms are defined as follows.</w:t>
      </w:r>
    </w:p>
    <w:p w14:paraId="709972BC" w14:textId="407C1253" w:rsidR="00DF5B6A" w:rsidRPr="00DF5B6A" w:rsidRDefault="00000000" w:rsidP="00DF5B6A">
      <w:pPr>
        <w:pStyle w:val="NormalWeb"/>
        <w:jc w:val="both"/>
        <w:rPr>
          <w:rFonts w:cs="Arial"/>
          <w:szCs w:val="20"/>
        </w:rPr>
      </w:pPr>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base</m:t>
            </m:r>
          </m:sub>
        </m:sSub>
        <m:r>
          <w:rPr>
            <w:rFonts w:ascii="Cambria Math" w:hAnsi="Cambria Math" w:cs="Arial"/>
            <w:szCs w:val="20"/>
          </w:rPr>
          <m:t>=24</m:t>
        </m:r>
      </m:oMath>
      <w:r w:rsidR="00DF5B6A" w:rsidRPr="00DF5B6A">
        <w:rPr>
          <w:rFonts w:cs="Arial"/>
          <w:szCs w:val="20"/>
        </w:rPr>
        <w:t xml:space="preserve"> comprises the 3 operational settings (op1, op2, op3) and all 21 raw sensor readings (s1–s21). A critical architectural constraint is that all 21 sensors are retained regardless of their variance status — dead sensors (s1, s5, s18, s19) are retained as zero-variance columns and partially-dead sensors (s6, s16) are retained at their reduced variance. This is a deliberate design decision: sensor absence is itself informative under certain fault conditions, and exclusion would constitute an irreversible information loss that cannot be recovered in downstream phases.</w:t>
      </w:r>
    </w:p>
    <w:p w14:paraId="49D38C15" w14:textId="7E7A6562" w:rsidR="00DF5B6A" w:rsidRPr="00DF5B6A" w:rsidRDefault="00000000" w:rsidP="00DF5B6A">
      <w:pPr>
        <w:pStyle w:val="NormalWeb"/>
        <w:jc w:val="both"/>
        <w:rPr>
          <w:rFonts w:cs="Arial"/>
          <w:szCs w:val="20"/>
        </w:rPr>
      </w:pPr>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active</m:t>
            </m:r>
          </m:sub>
        </m:sSub>
        <m:r>
          <w:rPr>
            <w:rFonts w:ascii="Cambria Math" w:hAnsi="Cambria Math" w:cs="Arial"/>
            <w:szCs w:val="20"/>
          </w:rPr>
          <m:t>=17</m:t>
        </m:r>
      </m:oMath>
      <w:r w:rsidR="00DF5B6A" w:rsidRPr="00DF5B6A">
        <w:rPr>
          <w:rFonts w:cs="Arial"/>
          <w:szCs w:val="20"/>
        </w:rPr>
        <w:t xml:space="preserve"> identifies the sensors whose within-regime variance exceeds the threshold </w:t>
      </w:r>
      <m:oMath>
        <m:r>
          <m:rPr>
            <m:sty m:val="p"/>
          </m:rPr>
          <w:rPr>
            <w:rFonts w:ascii="Cambria Math" w:hAnsi="Cambria Math" w:cs="Arial"/>
            <w:szCs w:val="20"/>
          </w:rPr>
          <m:t>τ</m:t>
        </m:r>
        <m:r>
          <w:rPr>
            <w:rFonts w:ascii="Cambria Math" w:hAnsi="Cambria Math" w:cs="Arial"/>
            <w:szCs w:val="20"/>
          </w:rPr>
          <m:t>=1</m:t>
        </m:r>
        <m:r>
          <m:rPr>
            <m:sty m:val="p"/>
          </m:rPr>
          <w:rPr>
            <w:rFonts w:ascii="Cambria Math" w:hAnsi="Cambria Math" w:cs="Arial"/>
            <w:szCs w:val="20"/>
          </w:rPr>
          <m:t>×</m:t>
        </m:r>
        <m:sSup>
          <m:sSupPr>
            <m:ctrlPr>
              <w:rPr>
                <w:rFonts w:ascii="Cambria Math" w:hAnsi="Cambria Math" w:cs="Arial"/>
                <w:i/>
                <w:szCs w:val="20"/>
              </w:rPr>
            </m:ctrlPr>
          </m:sSupPr>
          <m:e>
            <m:r>
              <w:rPr>
                <w:rFonts w:ascii="Cambria Math" w:hAnsi="Cambria Math" w:cs="Arial"/>
                <w:szCs w:val="20"/>
              </w:rPr>
              <m:t>10</m:t>
            </m:r>
            <m:ctrlPr>
              <w:rPr>
                <w:rFonts w:ascii="Cambria Math" w:hAnsi="Cambria Math" w:cs="Arial"/>
                <w:szCs w:val="20"/>
              </w:rPr>
            </m:ctrlPr>
          </m:e>
          <m:sup>
            <m:r>
              <w:rPr>
                <w:rFonts w:ascii="Cambria Math" w:hAnsi="Cambria Math" w:cs="Arial"/>
                <w:szCs w:val="20"/>
              </w:rPr>
              <m:t>-5</m:t>
            </m:r>
          </m:sup>
        </m:sSup>
      </m:oMath>
      <w:r w:rsidR="00DF5B6A" w:rsidRPr="00DF5B6A">
        <w:rPr>
          <w:rFonts w:cs="Arial"/>
          <w:szCs w:val="20"/>
        </w:rPr>
        <w:t xml:space="preserve"> in z-space, confirmed by the Phase 2 regime-dead cross-reference. </w:t>
      </w:r>
      <w:bookmarkStart w:id="7" w:name="OLE_LINK9"/>
      <w:r w:rsidR="00DF5B6A" w:rsidRPr="00DF5B6A">
        <w:rPr>
          <w:rFonts w:cs="Arial"/>
          <w:szCs w:val="20"/>
        </w:rPr>
        <w:t>The 17 active sensors are:</w:t>
      </w:r>
    </w:p>
    <w:p w14:paraId="53B1F026" w14:textId="4B8AB68C"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S</m:t>
              </m:r>
            </m:e>
            <m:sub>
              <m:r>
                <w:rPr>
                  <w:rFonts w:ascii="Cambria Math" w:hAnsi="Cambria Math" w:cs="Arial"/>
                  <w:szCs w:val="20"/>
                </w:rPr>
                <m:t>active</m:t>
              </m:r>
            </m:sub>
          </m:sSub>
          <m:r>
            <w:rPr>
              <w:rFonts w:ascii="Cambria Math" w:hAnsi="Cambria Math" w:cs="Arial"/>
              <w:szCs w:val="20"/>
            </w:rPr>
            <m:t xml:space="preserve"> = {s2,s3,s4,s6,s7,s8,s9,s10, s11,s12,s13,s14,s15,s16,s17,s20,s21}</m:t>
          </m:r>
        </m:oMath>
      </m:oMathPara>
    </w:p>
    <w:bookmarkEnd w:id="7"/>
    <w:p w14:paraId="6C56B892" w14:textId="5CC7F4FA" w:rsidR="00DF5B6A" w:rsidRPr="00DF5B6A" w:rsidRDefault="00DF5B6A" w:rsidP="00DF5B6A">
      <w:pPr>
        <w:pStyle w:val="NormalWeb"/>
        <w:jc w:val="both"/>
        <w:rPr>
          <w:rFonts w:cs="Arial"/>
          <w:szCs w:val="20"/>
        </w:rPr>
      </w:pPr>
      <w:r w:rsidRPr="00DF5B6A">
        <w:rPr>
          <w:rFonts w:cs="Arial"/>
          <w:szCs w:val="20"/>
        </w:rPr>
        <w:t>The four regime-dead sensors excluded from kinematic expansion are s1 (T2, inlet temperature), s5 (P2, inlet pressure), s18 (</w:t>
      </w:r>
      <m:oMath>
        <m:sSub>
          <m:sSubPr>
            <m:ctrlPr>
              <w:rPr>
                <w:rFonts w:ascii="Cambria Math" w:hAnsi="Cambria Math" w:cs="Arial"/>
                <w:i/>
                <w:szCs w:val="20"/>
              </w:rPr>
            </m:ctrlPr>
          </m:sSubPr>
          <m:e>
            <m:r>
              <w:rPr>
                <w:rFonts w:ascii="Cambria Math" w:hAnsi="Cambria Math" w:cs="Arial"/>
                <w:szCs w:val="20"/>
              </w:rPr>
              <m:t>N</m:t>
            </m:r>
          </m:e>
          <m:sub>
            <m:sSub>
              <m:sSubPr>
                <m:ctrlPr>
                  <w:rPr>
                    <w:rFonts w:ascii="Cambria Math" w:hAnsi="Cambria Math" w:cs="Arial"/>
                    <w:i/>
                    <w:szCs w:val="20"/>
                  </w:rPr>
                </m:ctrlPr>
              </m:sSubPr>
              <m:e>
                <m:r>
                  <w:rPr>
                    <w:rFonts w:ascii="Cambria Math" w:hAnsi="Cambria Math" w:cs="Arial"/>
                    <w:szCs w:val="20"/>
                  </w:rPr>
                  <m:t>f</m:t>
                </m:r>
              </m:e>
              <m:sub>
                <m:r>
                  <w:rPr>
                    <w:rFonts w:ascii="Cambria Math" w:hAnsi="Cambria Math" w:cs="Arial"/>
                    <w:szCs w:val="20"/>
                  </w:rPr>
                  <m:t>d</m:t>
                </m:r>
              </m:sub>
            </m:sSub>
            <m:r>
              <w:rPr>
                <w:rFonts w:ascii="Cambria Math" w:hAnsi="Cambria Math" w:cs="Arial"/>
                <w:szCs w:val="20"/>
              </w:rPr>
              <m:t>md</m:t>
            </m:r>
          </m:sub>
        </m:sSub>
      </m:oMath>
      <w:r w:rsidRPr="00DF5B6A">
        <w:rPr>
          <w:rFonts w:cs="Arial"/>
          <w:szCs w:val="20"/>
        </w:rPr>
        <w:t>, demanded fan speed), and s19 (</w:t>
      </w:r>
      <m:oMath>
        <m:r>
          <w:rPr>
            <w:rFonts w:ascii="Cambria Math" w:hAnsi="Cambria Math" w:cs="Arial"/>
            <w:szCs w:val="20"/>
          </w:rPr>
          <m:t>PC</m:t>
        </m:r>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f</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d</m:t>
                </m:r>
              </m:sub>
            </m:sSub>
            <m:r>
              <w:rPr>
                <w:rFonts w:ascii="Cambria Math" w:hAnsi="Cambria Math" w:cs="Arial"/>
                <w:szCs w:val="20"/>
              </w:rPr>
              <m:t>md</m:t>
            </m:r>
          </m:sub>
        </m:sSub>
      </m:oMath>
      <w:r w:rsidRPr="00DF5B6A">
        <w:rPr>
          <w:rFonts w:cs="Arial"/>
          <w:szCs w:val="20"/>
        </w:rPr>
        <w:t>, demanded corrected fan speed). These sensors produce zero within-regime variance because the C-MAPSS simulation holds them constant by construction — they carry no cycle-to-cycle health information and kinematic expansion would produce identically zero delta, rolling mean deviation, and rolling standard deviation columns, adding 12 numerically degenerate features to the matrix without information gain.</w:t>
      </w:r>
    </w:p>
    <w:p w14:paraId="55F39FEA" w14:textId="77777777" w:rsidR="00DF5B6A" w:rsidRPr="00DF5B6A" w:rsidRDefault="00DF5B6A" w:rsidP="00DF5B6A">
      <w:pPr>
        <w:pStyle w:val="NormalWeb"/>
        <w:jc w:val="both"/>
        <w:rPr>
          <w:rFonts w:cs="Arial"/>
          <w:szCs w:val="20"/>
        </w:rPr>
      </w:pPr>
      <w:r w:rsidRPr="00DF5B6A">
        <w:rPr>
          <w:rFonts w:cs="Arial"/>
          <w:szCs w:val="20"/>
        </w:rPr>
        <w:t>The kinematic expansion applies three temporal derivative features to each of the 17 active sensors, yielding:</w:t>
      </w:r>
    </w:p>
    <w:p w14:paraId="7E4ABCFB" w14:textId="5FD14307"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active</m:t>
              </m:r>
            </m:sub>
          </m:sSub>
          <m:r>
            <m:rPr>
              <m:sty m:val="p"/>
            </m:rPr>
            <w:rPr>
              <w:rFonts w:ascii="Cambria Math" w:hAnsi="Cambria Math" w:cs="Arial"/>
              <w:szCs w:val="20"/>
            </w:rPr>
            <m:t>×</m:t>
          </m:r>
          <m:r>
            <w:rPr>
              <w:rFonts w:ascii="Cambria Math" w:hAnsi="Cambria Math" w:cs="Arial"/>
              <w:szCs w:val="20"/>
            </w:rPr>
            <m:t>3=17</m:t>
          </m:r>
          <m:r>
            <m:rPr>
              <m:sty m:val="p"/>
            </m:rPr>
            <w:rPr>
              <w:rFonts w:ascii="Cambria Math" w:hAnsi="Cambria Math" w:cs="Arial"/>
              <w:szCs w:val="20"/>
            </w:rPr>
            <m:t>×</m:t>
          </m:r>
          <m:r>
            <w:rPr>
              <w:rFonts w:ascii="Cambria Math" w:hAnsi="Cambria Math" w:cs="Arial"/>
              <w:szCs w:val="20"/>
            </w:rPr>
            <m:t>3=51</m:t>
          </m:r>
          <m:r>
            <m:rPr>
              <m:nor/>
            </m:rPr>
            <w:rPr>
              <w:rFonts w:ascii="Cambria Math" w:hAnsi="Cambria Math" w:cs="Arial"/>
              <w:szCs w:val="20"/>
            </w:rPr>
            <m:t xml:space="preserve"> features</m:t>
          </m:r>
        </m:oMath>
      </m:oMathPara>
    </w:p>
    <w:p w14:paraId="1440D562" w14:textId="01700070" w:rsidR="00DF5B6A" w:rsidRPr="00DF5B6A" w:rsidRDefault="00DF5B6A" w:rsidP="00DF5B6A">
      <w:pPr>
        <w:pStyle w:val="NormalWeb"/>
        <w:jc w:val="both"/>
        <w:rPr>
          <w:rFonts w:cs="Arial"/>
          <w:szCs w:val="20"/>
        </w:rPr>
      </w:pPr>
      <w:r w:rsidRPr="00DF5B6A">
        <w:rPr>
          <w:rFonts w:cs="Arial"/>
          <w:szCs w:val="20"/>
        </w:rPr>
        <w:t xml:space="preserve">These are: the first-order difference </w:t>
      </w:r>
      <m:oMath>
        <m:r>
          <m:rPr>
            <m:sty m:val="p"/>
          </m:rPr>
          <w:rPr>
            <w:rFonts w:ascii="Cambria Math" w:hAnsi="Cambria Math" w:cs="Arial"/>
            <w:szCs w:val="20"/>
          </w:rPr>
          <m:t>Δ</m:t>
        </m:r>
        <m:sSub>
          <m:sSubPr>
            <m:ctrlPr>
              <w:rPr>
                <w:rFonts w:ascii="Cambria Math" w:hAnsi="Cambria Math" w:cs="Arial"/>
                <w:i/>
                <w:szCs w:val="20"/>
              </w:rPr>
            </m:ctrlPr>
          </m:sSubPr>
          <m:e>
            <m:r>
              <w:rPr>
                <w:rFonts w:ascii="Cambria Math" w:hAnsi="Cambria Math" w:cs="Arial"/>
                <w:szCs w:val="20"/>
              </w:rPr>
              <m:t>s</m:t>
            </m:r>
          </m:e>
          <m:sub>
            <m:r>
              <w:rPr>
                <w:rFonts w:ascii="Cambria Math" w:hAnsi="Cambria Math" w:cs="Arial"/>
                <w:szCs w:val="20"/>
              </w:rPr>
              <m:t>i</m:t>
            </m:r>
          </m:sub>
        </m:sSub>
        <m:d>
          <m:dPr>
            <m:ctrlPr>
              <w:rPr>
                <w:rFonts w:ascii="Cambria Math" w:hAnsi="Cambria Math" w:cs="Arial"/>
                <w:i/>
                <w:szCs w:val="20"/>
              </w:rPr>
            </m:ctrlPr>
          </m:dPr>
          <m:e>
            <m:r>
              <w:rPr>
                <w:rFonts w:ascii="Cambria Math" w:hAnsi="Cambria Math" w:cs="Arial"/>
                <w:szCs w:val="20"/>
              </w:rPr>
              <m:t>t</m:t>
            </m:r>
          </m:e>
        </m:d>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s</m:t>
            </m:r>
          </m:e>
          <m:sub>
            <m:r>
              <w:rPr>
                <w:rFonts w:ascii="Cambria Math" w:hAnsi="Cambria Math" w:cs="Arial"/>
                <w:szCs w:val="20"/>
              </w:rPr>
              <m:t>i</m:t>
            </m:r>
          </m:sub>
        </m:sSub>
        <m:d>
          <m:dPr>
            <m:ctrlPr>
              <w:rPr>
                <w:rFonts w:ascii="Cambria Math" w:hAnsi="Cambria Math" w:cs="Arial"/>
                <w:i/>
                <w:szCs w:val="20"/>
              </w:rPr>
            </m:ctrlPr>
          </m:dPr>
          <m:e>
            <m:r>
              <w:rPr>
                <w:rFonts w:ascii="Cambria Math" w:hAnsi="Cambria Math" w:cs="Arial"/>
                <w:szCs w:val="20"/>
              </w:rPr>
              <m:t>t</m:t>
            </m:r>
          </m:e>
        </m:d>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s</m:t>
            </m:r>
          </m:e>
          <m:sub>
            <m:r>
              <w:rPr>
                <w:rFonts w:ascii="Cambria Math" w:hAnsi="Cambria Math" w:cs="Arial"/>
                <w:szCs w:val="20"/>
              </w:rPr>
              <m:t>i</m:t>
            </m:r>
          </m:sub>
        </m:sSub>
        <m:d>
          <m:dPr>
            <m:ctrlPr>
              <w:rPr>
                <w:rFonts w:ascii="Cambria Math" w:hAnsi="Cambria Math" w:cs="Arial"/>
                <w:i/>
                <w:szCs w:val="20"/>
              </w:rPr>
            </m:ctrlPr>
          </m:dPr>
          <m:e>
            <m:r>
              <w:rPr>
                <w:rFonts w:ascii="Cambria Math" w:hAnsi="Cambria Math" w:cs="Arial"/>
                <w:szCs w:val="20"/>
              </w:rPr>
              <m:t>t-1</m:t>
            </m:r>
          </m:e>
        </m:d>
      </m:oMath>
      <w:r w:rsidRPr="00DF5B6A">
        <w:rPr>
          <w:rFonts w:cs="Arial"/>
          <w:szCs w:val="20"/>
        </w:rPr>
        <w:t xml:space="preserve"> encoding the instantaneous rate of change; the rolling mean </w:t>
      </w:r>
      <m:oMath>
        <m:acc>
          <m:accPr>
            <m:chr m:val="̅"/>
            <m:ctrlPr>
              <w:rPr>
                <w:rFonts w:ascii="Cambria Math" w:hAnsi="Cambria Math" w:cs="Arial"/>
                <w:szCs w:val="20"/>
              </w:rPr>
            </m:ctrlPr>
          </m:accPr>
          <m:e>
            <m:sSub>
              <m:sSubPr>
                <m:ctrlPr>
                  <w:rPr>
                    <w:rFonts w:ascii="Cambria Math" w:hAnsi="Cambria Math" w:cs="Arial"/>
                    <w:i/>
                    <w:szCs w:val="20"/>
                  </w:rPr>
                </m:ctrlPr>
              </m:sSubPr>
              <m:e>
                <m:r>
                  <w:rPr>
                    <w:rFonts w:ascii="Cambria Math" w:hAnsi="Cambria Math" w:cs="Arial"/>
                    <w:szCs w:val="20"/>
                  </w:rPr>
                  <m:t>s</m:t>
                </m:r>
                <m:ctrlPr>
                  <w:rPr>
                    <w:rFonts w:ascii="Cambria Math" w:hAnsi="Cambria Math" w:cs="Arial"/>
                    <w:szCs w:val="20"/>
                  </w:rPr>
                </m:ctrlPr>
              </m:e>
              <m:sub>
                <m:r>
                  <w:rPr>
                    <w:rFonts w:ascii="Cambria Math" w:hAnsi="Cambria Math" w:cs="Arial"/>
                    <w:szCs w:val="20"/>
                  </w:rPr>
                  <m:t>i</m:t>
                </m:r>
              </m:sub>
            </m:sSub>
          </m:e>
        </m:acc>
        <m:d>
          <m:dPr>
            <m:ctrlPr>
              <w:rPr>
                <w:rFonts w:ascii="Cambria Math" w:hAnsi="Cambria Math" w:cs="Arial"/>
                <w:i/>
                <w:szCs w:val="20"/>
              </w:rPr>
            </m:ctrlPr>
          </m:dPr>
          <m:e>
            <m:r>
              <w:rPr>
                <w:rFonts w:ascii="Cambria Math" w:hAnsi="Cambria Math" w:cs="Arial"/>
                <w:szCs w:val="20"/>
              </w:rPr>
              <m:t>t</m:t>
            </m:r>
          </m:e>
        </m:d>
      </m:oMath>
      <w:r w:rsidRPr="00DF5B6A">
        <w:rPr>
          <w:rFonts w:cs="Arial"/>
          <w:szCs w:val="20"/>
        </w:rPr>
        <w:t xml:space="preserve"> encoding the local trajectory trend; and the rolling standard deviation </w:t>
      </w:r>
      <m:oMath>
        <m:sSub>
          <m:sSubPr>
            <m:ctrlPr>
              <w:rPr>
                <w:rFonts w:ascii="Cambria Math" w:hAnsi="Cambria Math" w:cs="Arial"/>
                <w:i/>
                <w:szCs w:val="20"/>
              </w:rPr>
            </m:ctrlPr>
          </m:sSubPr>
          <m:e>
            <m:r>
              <m:rPr>
                <m:sty m:val="p"/>
              </m:rPr>
              <w:rPr>
                <w:rFonts w:ascii="Cambria Math" w:hAnsi="Cambria Math" w:cs="Arial"/>
                <w:szCs w:val="20"/>
              </w:rPr>
              <m:t>σ</m:t>
            </m:r>
            <m:ctrlPr>
              <w:rPr>
                <w:rFonts w:ascii="Cambria Math" w:hAnsi="Cambria Math" w:cs="Arial"/>
                <w:szCs w:val="20"/>
              </w:rPr>
            </m:ctrlPr>
          </m:e>
          <m:sub>
            <m:r>
              <w:rPr>
                <w:rFonts w:ascii="Cambria Math" w:hAnsi="Cambria Math" w:cs="Arial"/>
                <w:szCs w:val="20"/>
              </w:rPr>
              <m:t>i</m:t>
            </m:r>
          </m:sub>
        </m:sSub>
        <m:d>
          <m:dPr>
            <m:ctrlPr>
              <w:rPr>
                <w:rFonts w:ascii="Cambria Math" w:hAnsi="Cambria Math" w:cs="Arial"/>
                <w:i/>
                <w:szCs w:val="20"/>
              </w:rPr>
            </m:ctrlPr>
          </m:dPr>
          <m:e>
            <m:r>
              <w:rPr>
                <w:rFonts w:ascii="Cambria Math" w:hAnsi="Cambria Math" w:cs="Arial"/>
                <w:szCs w:val="20"/>
              </w:rPr>
              <m:t>t</m:t>
            </m:r>
          </m:e>
        </m:d>
      </m:oMath>
      <w:r w:rsidRPr="00DF5B6A">
        <w:rPr>
          <w:rFonts w:cs="Arial"/>
          <w:szCs w:val="20"/>
        </w:rPr>
        <w:t xml:space="preserve"> encoding local signal volatility. Together these three features transform each static sensor reading into a local temporal context vector, providing the model with information about not just the current sensor state but how rapidly it is changing and how stable it has been — properties that are directly relevant to degradation rate estimation.</w:t>
      </w:r>
    </w:p>
    <w:p w14:paraId="1646CF2B" w14:textId="6731E485" w:rsidR="00DF5B6A" w:rsidRPr="00DF5B6A" w:rsidRDefault="00000000" w:rsidP="00DF5B6A">
      <w:pPr>
        <w:pStyle w:val="NormalWeb"/>
        <w:jc w:val="both"/>
        <w:rPr>
          <w:rFonts w:cs="Arial"/>
          <w:szCs w:val="20"/>
        </w:rPr>
      </w:pPr>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virtual</m:t>
            </m:r>
          </m:sub>
        </m:sSub>
        <m:r>
          <w:rPr>
            <w:rFonts w:ascii="Cambria Math" w:hAnsi="Cambria Math" w:cs="Arial"/>
            <w:szCs w:val="20"/>
          </w:rPr>
          <m:t>=3</m:t>
        </m:r>
      </m:oMath>
      <w:r w:rsidR="00DF5B6A" w:rsidRPr="00DF5B6A">
        <w:rPr>
          <w:rFonts w:cs="Arial"/>
          <w:szCs w:val="20"/>
        </w:rPr>
        <w:t xml:space="preserve"> comprises three thermodynamic virtual sensors that are not directly measurable but are derived from combinations of raw sensor readings:</w:t>
      </w:r>
    </w:p>
    <w:p w14:paraId="358671CC" w14:textId="12EFCFD2" w:rsidR="00DF5B6A" w:rsidRPr="00DF5B6A" w:rsidRDefault="00CC3D15" w:rsidP="00DF5B6A">
      <w:pPr>
        <w:pStyle w:val="NormalWeb"/>
        <w:jc w:val="both"/>
        <w:rPr>
          <w:rFonts w:cs="Arial"/>
          <w:szCs w:val="20"/>
        </w:rPr>
      </w:pPr>
      <m:oMathPara>
        <m:oMath>
          <m:r>
            <m:rPr>
              <m:nor/>
            </m:rPr>
            <w:rPr>
              <w:rFonts w:ascii="Cambria Math" w:hAnsi="Cambria Math" w:cs="Arial"/>
              <w:szCs w:val="20"/>
            </w:rPr>
            <m:t>CPR</m:t>
          </m:r>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s7</m:t>
              </m:r>
              <m:ctrlPr>
                <w:rPr>
                  <w:rFonts w:ascii="Cambria Math" w:hAnsi="Cambria Math" w:cs="Arial"/>
                  <w:i/>
                  <w:szCs w:val="20"/>
                </w:rPr>
              </m:ctrlPr>
            </m:num>
            <m:den>
              <m:r>
                <w:rPr>
                  <w:rFonts w:ascii="Cambria Math" w:hAnsi="Cambria Math" w:cs="Arial"/>
                  <w:szCs w:val="20"/>
                </w:rPr>
                <m:t>s3</m:t>
              </m:r>
              <m:ctrlPr>
                <w:rPr>
                  <w:rFonts w:ascii="Cambria Math" w:hAnsi="Cambria Math" w:cs="Arial"/>
                  <w:i/>
                  <w:szCs w:val="20"/>
                </w:rPr>
              </m:ctrlPr>
            </m:den>
          </m:f>
        </m:oMath>
      </m:oMathPara>
    </w:p>
    <w:p w14:paraId="01C87C66" w14:textId="77777777" w:rsidR="00DF5B6A" w:rsidRPr="00DF5B6A" w:rsidRDefault="00DF5B6A" w:rsidP="00DF5B6A">
      <w:pPr>
        <w:pStyle w:val="NormalWeb"/>
        <w:jc w:val="both"/>
        <w:rPr>
          <w:rFonts w:cs="Arial"/>
          <w:szCs w:val="20"/>
        </w:rPr>
      </w:pPr>
      <w:r w:rsidRPr="00DF5B6A">
        <w:rPr>
          <w:rFonts w:cs="Arial"/>
          <w:szCs w:val="20"/>
        </w:rPr>
        <w:t>the Compressor Pressure Ratio, encoding the thermodynamic work performed by the HPC stage. CPR degradation is the primary physical signature of HPC erosion and is the quantity most directly related to compressor map migration.</w:t>
      </w:r>
    </w:p>
    <w:p w14:paraId="03590E01" w14:textId="110FBD74"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E</m:t>
              </m:r>
            </m:e>
            <m:sub>
              <m:r>
                <m:rPr>
                  <m:nor/>
                </m:rPr>
                <w:rPr>
                  <w:rFonts w:ascii="Cambria Math" w:hAnsi="Cambria Math" w:cs="Arial"/>
                  <w:szCs w:val="20"/>
                </w:rPr>
                <m:t>thermal</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s4</m:t>
              </m:r>
              <m:ctrlPr>
                <w:rPr>
                  <w:rFonts w:ascii="Cambria Math" w:hAnsi="Cambria Math" w:cs="Arial"/>
                  <w:i/>
                  <w:szCs w:val="20"/>
                </w:rPr>
              </m:ctrlPr>
            </m:num>
            <m:den>
              <m:r>
                <w:rPr>
                  <w:rFonts w:ascii="Cambria Math" w:hAnsi="Cambria Math" w:cs="Arial"/>
                  <w:szCs w:val="20"/>
                </w:rPr>
                <m:t>s7</m:t>
              </m:r>
              <m:ctrlPr>
                <w:rPr>
                  <w:rFonts w:ascii="Cambria Math" w:hAnsi="Cambria Math" w:cs="Arial"/>
                  <w:i/>
                  <w:szCs w:val="20"/>
                </w:rPr>
              </m:ctrlPr>
            </m:den>
          </m:f>
        </m:oMath>
      </m:oMathPara>
    </w:p>
    <w:p w14:paraId="0A7AF1A5" w14:textId="0BD78219" w:rsidR="00DF5B6A" w:rsidRPr="00DF5B6A" w:rsidRDefault="00DF5B6A" w:rsidP="00DF5B6A">
      <w:pPr>
        <w:pStyle w:val="NormalWeb"/>
        <w:jc w:val="both"/>
        <w:rPr>
          <w:rFonts w:cs="Arial"/>
          <w:szCs w:val="20"/>
        </w:rPr>
      </w:pPr>
      <w:r w:rsidRPr="00DF5B6A">
        <w:rPr>
          <w:rFonts w:cs="Arial"/>
          <w:szCs w:val="20"/>
        </w:rPr>
        <w:t xml:space="preserve">the thermal efficiency proxy, encoding the ratio of turbine inlet temperature to compressor outlet pressure. Rising </w:t>
      </w:r>
      <m:oMath>
        <m:sSub>
          <m:sSubPr>
            <m:ctrlPr>
              <w:rPr>
                <w:rFonts w:ascii="Cambria Math" w:hAnsi="Cambria Math" w:cs="Arial"/>
                <w:i/>
                <w:szCs w:val="20"/>
              </w:rPr>
            </m:ctrlPr>
          </m:sSubPr>
          <m:e>
            <m:r>
              <w:rPr>
                <w:rFonts w:ascii="Cambria Math" w:hAnsi="Cambria Math" w:cs="Arial"/>
                <w:szCs w:val="20"/>
              </w:rPr>
              <m:t>E</m:t>
            </m:r>
          </m:e>
          <m:sub>
            <m:r>
              <m:rPr>
                <m:nor/>
              </m:rPr>
              <w:rPr>
                <w:rFonts w:ascii="Cambria Math" w:hAnsi="Cambria Math" w:cs="Arial"/>
                <w:szCs w:val="20"/>
              </w:rPr>
              <m:t>thermal</m:t>
            </m:r>
          </m:sub>
        </m:sSub>
      </m:oMath>
      <w:r w:rsidRPr="00DF5B6A">
        <w:rPr>
          <w:rFonts w:cs="Arial"/>
          <w:szCs w:val="20"/>
        </w:rPr>
        <w:t xml:space="preserve"> at constant thrust indicates that more fuel energy is being converted to heat rather than work — a direct indicator of thermodynamic efficiency loss as the engine degrades.</w:t>
      </w:r>
    </w:p>
    <w:p w14:paraId="2994F0AC" w14:textId="3C712BB1"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m:rPr>
                  <m:nor/>
                </m:rPr>
                <w:rPr>
                  <w:rFonts w:ascii="Cambria Math" w:hAnsi="Cambria Math" w:cs="Arial"/>
                  <w:szCs w:val="20"/>
                </w:rPr>
                <m:t>EGT</m:t>
              </m:r>
              <m:ctrlPr>
                <w:rPr>
                  <w:rFonts w:ascii="Cambria Math" w:hAnsi="Cambria Math" w:cs="Arial"/>
                  <w:szCs w:val="20"/>
                </w:rPr>
              </m:ctrlPr>
            </m:e>
            <m:sub>
              <m:r>
                <m:rPr>
                  <m:nor/>
                </m:rPr>
                <w:rPr>
                  <w:rFonts w:ascii="Cambria Math" w:hAnsi="Cambria Math" w:cs="Arial"/>
                  <w:szCs w:val="20"/>
                </w:rPr>
                <m:t>drift</m:t>
              </m:r>
            </m:sub>
          </m:sSub>
          <m:d>
            <m:dPr>
              <m:ctrlPr>
                <w:rPr>
                  <w:rFonts w:ascii="Cambria Math" w:hAnsi="Cambria Math" w:cs="Arial"/>
                  <w:i/>
                  <w:szCs w:val="20"/>
                </w:rPr>
              </m:ctrlPr>
            </m:dPr>
            <m:e>
              <m:r>
                <w:rPr>
                  <w:rFonts w:ascii="Cambria Math" w:hAnsi="Cambria Math" w:cs="Arial"/>
                  <w:szCs w:val="20"/>
                </w:rPr>
                <m:t>t</m:t>
              </m:r>
            </m:e>
          </m:d>
          <m:r>
            <w:rPr>
              <w:rFonts w:ascii="Cambria Math" w:hAnsi="Cambria Math" w:cs="Arial"/>
              <w:szCs w:val="20"/>
            </w:rPr>
            <m:t>=s4</m:t>
          </m:r>
          <m:d>
            <m:dPr>
              <m:ctrlPr>
                <w:rPr>
                  <w:rFonts w:ascii="Cambria Math" w:hAnsi="Cambria Math" w:cs="Arial"/>
                  <w:i/>
                  <w:szCs w:val="20"/>
                </w:rPr>
              </m:ctrlPr>
            </m:dPr>
            <m:e>
              <m:r>
                <w:rPr>
                  <w:rFonts w:ascii="Cambria Math" w:hAnsi="Cambria Math" w:cs="Arial"/>
                  <w:szCs w:val="20"/>
                </w:rPr>
                <m:t>t</m:t>
              </m:r>
            </m:e>
          </m:d>
          <m:r>
            <w:rPr>
              <w:rFonts w:ascii="Cambria Math" w:hAnsi="Cambria Math" w:cs="Arial"/>
              <w:szCs w:val="20"/>
            </w:rPr>
            <m:t>-</m:t>
          </m:r>
          <m:acc>
            <m:accPr>
              <m:chr m:val="̅"/>
              <m:ctrlPr>
                <w:rPr>
                  <w:rFonts w:ascii="Cambria Math" w:hAnsi="Cambria Math" w:cs="Arial"/>
                  <w:szCs w:val="20"/>
                </w:rPr>
              </m:ctrlPr>
            </m:accPr>
            <m:e>
              <m:r>
                <w:rPr>
                  <w:rFonts w:ascii="Cambria Math" w:hAnsi="Cambria Math" w:cs="Arial"/>
                  <w:szCs w:val="20"/>
                </w:rPr>
                <m:t>s4</m:t>
              </m:r>
            </m:e>
          </m:acc>
        </m:oMath>
      </m:oMathPara>
    </w:p>
    <w:p w14:paraId="51E1CF5E" w14:textId="77777777" w:rsidR="00DF5B6A" w:rsidRPr="00DF5B6A" w:rsidRDefault="00DF5B6A" w:rsidP="00DF5B6A">
      <w:pPr>
        <w:pStyle w:val="NormalWeb"/>
        <w:jc w:val="both"/>
        <w:rPr>
          <w:rFonts w:cs="Arial"/>
          <w:szCs w:val="20"/>
        </w:rPr>
      </w:pPr>
      <w:r w:rsidRPr="00DF5B6A">
        <w:rPr>
          <w:rFonts w:cs="Arial"/>
          <w:szCs w:val="20"/>
        </w:rPr>
        <w:t>the EGT margin drift, encoding the deviation of the current EGT reading from the engine's own historical baseline mean. This feature formalises the EGT margin concept that is central to current commercial engine health management practice, where EGT margin erosion relative to a certified limit is the primary dispatch monitoring parameter used by major MRO operators and OEMs.</w:t>
      </w:r>
    </w:p>
    <w:p w14:paraId="5EDD2B7E" w14:textId="77777777" w:rsidR="00DF5B6A" w:rsidRPr="00DF5B6A" w:rsidRDefault="00DF5B6A" w:rsidP="00DF5B6A">
      <w:pPr>
        <w:pStyle w:val="NormalWeb"/>
        <w:jc w:val="both"/>
        <w:rPr>
          <w:rFonts w:cs="Arial"/>
          <w:szCs w:val="20"/>
        </w:rPr>
      </w:pPr>
      <w:r w:rsidRPr="00DF5B6A">
        <w:rPr>
          <w:rFonts w:cs="Arial"/>
          <w:szCs w:val="20"/>
        </w:rPr>
        <w:t>The significance of the virtual sensors is that they encode thermodynamic relationships that the model would otherwise need to discover implicitly from the correlations between raw sensor pairs. By making these relationships explicit as named features, the feature engineering step embeds domain knowledge directly into the input representation, reducing the burden on the model to infer physics from data and improving the interpretability of SHAP-based attribution in Phase 4.</w:t>
      </w:r>
    </w:p>
    <w:p w14:paraId="65DA56F0" w14:textId="44F8F103" w:rsidR="00DF5B6A" w:rsidRPr="00DF5B6A" w:rsidRDefault="00000000" w:rsidP="00DF5B6A">
      <w:pPr>
        <w:pStyle w:val="NormalWeb"/>
        <w:jc w:val="both"/>
        <w:rPr>
          <w:rFonts w:cs="Arial"/>
          <w:szCs w:val="20"/>
        </w:rPr>
      </w:pPr>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fatigue</m:t>
            </m:r>
          </m:sub>
        </m:sSub>
        <m:r>
          <w:rPr>
            <w:rFonts w:ascii="Cambria Math" w:hAnsi="Cambria Math" w:cs="Arial"/>
            <w:szCs w:val="20"/>
          </w:rPr>
          <m:t>=3</m:t>
        </m:r>
      </m:oMath>
      <w:r w:rsidR="00DF5B6A" w:rsidRPr="00DF5B6A">
        <w:rPr>
          <w:rFonts w:cs="Arial"/>
          <w:szCs w:val="20"/>
        </w:rPr>
        <w:t xml:space="preserve"> comprises cumulative fatigue indices for the three primary degradation sensors, implementing a Miner's Rule damage accumulation proxy (Miner, 1945)</w:t>
      </w:r>
      <w:sdt>
        <w:sdtPr>
          <w:rPr>
            <w:rFonts w:cs="Arial"/>
            <w:szCs w:val="20"/>
          </w:rPr>
          <w:id w:val="931937265"/>
          <w:citation/>
        </w:sdtPr>
        <w:sdtContent>
          <w:r w:rsidR="00482BD0">
            <w:rPr>
              <w:rFonts w:cs="Arial"/>
              <w:szCs w:val="20"/>
            </w:rPr>
            <w:fldChar w:fldCharType="begin"/>
          </w:r>
          <w:r w:rsidR="00482BD0">
            <w:rPr>
              <w:rFonts w:cs="Arial"/>
              <w:szCs w:val="20"/>
            </w:rPr>
            <w:instrText xml:space="preserve"> CITATION Min45 \l 2057 </w:instrText>
          </w:r>
          <w:r w:rsidR="00482BD0">
            <w:rPr>
              <w:rFonts w:cs="Arial"/>
              <w:szCs w:val="20"/>
            </w:rPr>
            <w:fldChar w:fldCharType="separate"/>
          </w:r>
          <w:r w:rsidR="0074017E">
            <w:rPr>
              <w:rFonts w:cs="Arial"/>
              <w:noProof/>
              <w:szCs w:val="20"/>
            </w:rPr>
            <w:t xml:space="preserve"> </w:t>
          </w:r>
          <w:r w:rsidR="0074017E" w:rsidRPr="0074017E">
            <w:rPr>
              <w:rFonts w:cs="Arial"/>
              <w:noProof/>
              <w:szCs w:val="20"/>
            </w:rPr>
            <w:t>[2]</w:t>
          </w:r>
          <w:r w:rsidR="00482BD0">
            <w:rPr>
              <w:rFonts w:cs="Arial"/>
              <w:szCs w:val="20"/>
            </w:rPr>
            <w:fldChar w:fldCharType="end"/>
          </w:r>
        </w:sdtContent>
      </w:sdt>
      <w:r w:rsidR="00DF5B6A" w:rsidRPr="00DF5B6A">
        <w:rPr>
          <w:rFonts w:cs="Arial"/>
          <w:szCs w:val="20"/>
        </w:rPr>
        <w:t>:</w:t>
      </w:r>
    </w:p>
    <w:p w14:paraId="0446310C" w14:textId="45FD3990"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D</m:t>
              </m:r>
            </m:e>
            <m:sub>
              <m:r>
                <w:rPr>
                  <w:rFonts w:ascii="Cambria Math" w:hAnsi="Cambria Math" w:cs="Arial"/>
                  <w:szCs w:val="20"/>
                </w:rPr>
                <m:t>i</m:t>
              </m:r>
            </m:sub>
          </m:sSub>
          <m:d>
            <m:dPr>
              <m:ctrlPr>
                <w:rPr>
                  <w:rFonts w:ascii="Cambria Math" w:hAnsi="Cambria Math" w:cs="Arial"/>
                  <w:i/>
                  <w:szCs w:val="20"/>
                </w:rPr>
              </m:ctrlPr>
            </m:dPr>
            <m:e>
              <m:r>
                <w:rPr>
                  <w:rFonts w:ascii="Cambria Math" w:hAnsi="Cambria Math" w:cs="Arial"/>
                  <w:szCs w:val="20"/>
                </w:rPr>
                <m:t>t</m:t>
              </m:r>
            </m:e>
          </m:d>
          <m:r>
            <w:rPr>
              <w:rFonts w:ascii="Cambria Math" w:hAnsi="Cambria Math" w:cs="Arial"/>
              <w:szCs w:val="20"/>
            </w:rPr>
            <m:t>=</m:t>
          </m:r>
          <m:nary>
            <m:naryPr>
              <m:chr m:val="∑"/>
              <m:ctrlPr>
                <w:rPr>
                  <w:rFonts w:ascii="Cambria Math" w:hAnsi="Cambria Math" w:cs="Arial"/>
                  <w:szCs w:val="20"/>
                </w:rPr>
              </m:ctrlPr>
            </m:naryPr>
            <m:sub>
              <m:r>
                <m:rPr>
                  <m:sty m:val="p"/>
                </m:rPr>
                <w:rPr>
                  <w:rFonts w:ascii="Cambria Math" w:hAnsi="Cambria Math" w:cs="Arial"/>
                  <w:szCs w:val="20"/>
                </w:rPr>
                <m:t>τ</m:t>
              </m:r>
              <m:r>
                <w:rPr>
                  <w:rFonts w:ascii="Cambria Math" w:hAnsi="Cambria Math" w:cs="Arial"/>
                  <w:szCs w:val="20"/>
                </w:rPr>
                <m:t>=0</m:t>
              </m:r>
              <m:ctrlPr>
                <w:rPr>
                  <w:rFonts w:ascii="Cambria Math" w:hAnsi="Cambria Math" w:cs="Arial"/>
                  <w:i/>
                  <w:szCs w:val="20"/>
                </w:rPr>
              </m:ctrlPr>
            </m:sub>
            <m:sup>
              <m:r>
                <w:rPr>
                  <w:rFonts w:ascii="Cambria Math" w:hAnsi="Cambria Math" w:cs="Arial"/>
                  <w:szCs w:val="20"/>
                </w:rPr>
                <m:t>t</m:t>
              </m:r>
              <m:ctrlPr>
                <w:rPr>
                  <w:rFonts w:ascii="Cambria Math" w:hAnsi="Cambria Math" w:cs="Arial"/>
                  <w:i/>
                  <w:szCs w:val="20"/>
                </w:rPr>
              </m:ctrlPr>
            </m:sup>
            <m:e>
              <m:func>
                <m:funcPr>
                  <m:ctrlPr>
                    <w:rPr>
                      <w:rFonts w:ascii="Cambria Math" w:hAnsi="Cambria Math" w:cs="Arial"/>
                      <w:szCs w:val="20"/>
                    </w:rPr>
                  </m:ctrlPr>
                </m:funcPr>
                <m:fName>
                  <m:r>
                    <m:rPr>
                      <m:sty m:val="p"/>
                    </m:rPr>
                    <w:rPr>
                      <w:rFonts w:ascii="Cambria Math" w:hAnsi="Cambria Math" w:cs="Arial"/>
                      <w:szCs w:val="20"/>
                    </w:rPr>
                    <m:t>max</m:t>
                  </m:r>
                </m:fName>
                <m:e>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s</m:t>
                          </m:r>
                        </m:e>
                        <m:sub>
                          <m:r>
                            <w:rPr>
                              <w:rFonts w:ascii="Cambria Math" w:hAnsi="Cambria Math" w:cs="Arial"/>
                              <w:szCs w:val="20"/>
                            </w:rPr>
                            <m:t>i</m:t>
                          </m:r>
                        </m:sub>
                      </m:sSub>
                      <m:d>
                        <m:dPr>
                          <m:ctrlPr>
                            <w:rPr>
                              <w:rFonts w:ascii="Cambria Math" w:hAnsi="Cambria Math" w:cs="Arial"/>
                              <w:i/>
                              <w:szCs w:val="20"/>
                            </w:rPr>
                          </m:ctrlPr>
                        </m:dPr>
                        <m:e>
                          <m:r>
                            <w:rPr>
                              <w:rFonts w:ascii="Cambria Math" w:hAnsi="Cambria Math" w:cs="Arial"/>
                              <w:szCs w:val="20"/>
                            </w:rPr>
                            <m:t>τ</m:t>
                          </m:r>
                        </m:e>
                      </m:d>
                      <m:r>
                        <w:rPr>
                          <w:rFonts w:ascii="Cambria Math" w:hAnsi="Cambria Math" w:cs="Arial"/>
                          <w:szCs w:val="20"/>
                        </w:rPr>
                        <m:t>,0</m:t>
                      </m:r>
                    </m:e>
                  </m:d>
                </m:e>
              </m:func>
              <m:ctrlPr>
                <w:rPr>
                  <w:rFonts w:ascii="Cambria Math" w:hAnsi="Cambria Math" w:cs="Arial"/>
                  <w:i/>
                  <w:szCs w:val="20"/>
                </w:rPr>
              </m:ctrlPr>
            </m:e>
          </m:nary>
        </m:oMath>
      </m:oMathPara>
    </w:p>
    <w:p w14:paraId="13D45681" w14:textId="19B4F540" w:rsidR="00DF5B6A" w:rsidRPr="00DF5B6A" w:rsidRDefault="00DF5B6A" w:rsidP="00DF5B6A">
      <w:pPr>
        <w:pStyle w:val="NormalWeb"/>
        <w:jc w:val="both"/>
        <w:rPr>
          <w:rFonts w:cs="Arial"/>
          <w:szCs w:val="20"/>
        </w:rPr>
      </w:pPr>
      <w:r w:rsidRPr="00DF5B6A">
        <w:rPr>
          <w:rFonts w:cs="Arial"/>
          <w:szCs w:val="20"/>
        </w:rPr>
        <w:t xml:space="preserve">computed for </w:t>
      </w:r>
      <m:oMath>
        <m:r>
          <w:rPr>
            <w:rFonts w:ascii="Cambria Math" w:hAnsi="Cambria Math" w:cs="Arial"/>
            <w:szCs w:val="20"/>
          </w:rPr>
          <m:t xml:space="preserve">i </m:t>
        </m:r>
        <m:r>
          <m:rPr>
            <m:sty m:val="p"/>
          </m:rPr>
          <w:rPr>
            <w:rFonts w:ascii="Cambria Math" w:hAnsi="Cambria Math" w:cs="Arial"/>
            <w:szCs w:val="20"/>
          </w:rPr>
          <m:t>∈</m:t>
        </m:r>
        <m:r>
          <m:rPr>
            <m:lit/>
          </m:rPr>
          <w:rPr>
            <w:rFonts w:ascii="Cambria Math" w:hAnsi="Cambria Math" w:cs="Arial"/>
            <w:szCs w:val="20"/>
          </w:rPr>
          <m:t>{</m:t>
        </m:r>
        <m:r>
          <w:rPr>
            <w:rFonts w:ascii="Cambria Math" w:hAnsi="Cambria Math" w:cs="Arial"/>
            <w:szCs w:val="20"/>
          </w:rPr>
          <m:t>s4, s7, s9</m:t>
        </m:r>
        <m:r>
          <m:rPr>
            <m:lit/>
          </m:rPr>
          <w:rPr>
            <w:rFonts w:ascii="Cambria Math" w:hAnsi="Cambria Math" w:cs="Arial"/>
            <w:szCs w:val="20"/>
          </w:rPr>
          <m:t>}</m:t>
        </m:r>
      </m:oMath>
      <w:r w:rsidRPr="00DF5B6A">
        <w:rPr>
          <w:rFonts w:cs="Arial"/>
          <w:szCs w:val="20"/>
        </w:rPr>
        <w:t xml:space="preserve">. The cumulative fatigue index integrates only positive z-score exceedances — cycles where the sensor reading exceeds its regime mean — since only exceedances above the healthy baseline represent genuine thermodynamic loading that accumulates as fatigue damage. The </w:t>
      </w:r>
      <m:oMath>
        <m:func>
          <m:funcPr>
            <m:ctrlPr>
              <w:rPr>
                <w:rFonts w:ascii="Cambria Math" w:hAnsi="Cambria Math" w:cs="Arial"/>
                <w:szCs w:val="20"/>
              </w:rPr>
            </m:ctrlPr>
          </m:funcPr>
          <m:fName>
            <m:r>
              <m:rPr>
                <m:sty m:val="p"/>
              </m:rPr>
              <w:rPr>
                <w:rFonts w:ascii="Cambria Math" w:hAnsi="Cambria Math" w:cs="Arial"/>
                <w:szCs w:val="20"/>
              </w:rPr>
              <m:t>max</m:t>
            </m:r>
            <m:ctrlPr>
              <w:rPr>
                <w:rFonts w:ascii="Cambria Math" w:hAnsi="Cambria Math" w:cs="Arial"/>
                <w:i/>
                <w:szCs w:val="20"/>
              </w:rPr>
            </m:ctrlPr>
          </m:fName>
          <m:e>
            <m:d>
              <m:dPr>
                <m:ctrlPr>
                  <w:rPr>
                    <w:rFonts w:ascii="Cambria Math" w:hAnsi="Cambria Math" w:cs="Arial"/>
                    <w:i/>
                    <w:szCs w:val="20"/>
                  </w:rPr>
                </m:ctrlPr>
              </m:dPr>
              <m:e>
                <m:r>
                  <m:rPr>
                    <m:sty m:val="p"/>
                  </m:rPr>
                  <w:rPr>
                    <w:rFonts w:ascii="Cambria Math" w:hAnsi="Cambria Math" w:cs="Arial"/>
                    <w:szCs w:val="20"/>
                  </w:rPr>
                  <m:t>⋅</m:t>
                </m:r>
                <m:r>
                  <w:rPr>
                    <w:rFonts w:ascii="Cambria Math" w:hAnsi="Cambria Math" w:cs="Arial"/>
                    <w:szCs w:val="20"/>
                  </w:rPr>
                  <m:t>,0</m:t>
                </m:r>
              </m:e>
            </m:d>
          </m:e>
        </m:func>
      </m:oMath>
      <w:r w:rsidRPr="00DF5B6A">
        <w:rPr>
          <w:rFonts w:cs="Arial"/>
          <w:szCs w:val="20"/>
        </w:rPr>
        <w:t xml:space="preserve"> operator discards negative deviations, which reflect momentarily favourable operating conditions that do not contribute to damage accumulation under Miner's Rule.</w:t>
      </w:r>
    </w:p>
    <w:p w14:paraId="54074EBB" w14:textId="77777777" w:rsidR="00DF5B6A" w:rsidRPr="00DF5B6A" w:rsidRDefault="00DF5B6A" w:rsidP="00DF5B6A">
      <w:pPr>
        <w:pStyle w:val="NormalWeb"/>
        <w:jc w:val="both"/>
        <w:rPr>
          <w:rFonts w:cs="Arial"/>
          <w:szCs w:val="20"/>
        </w:rPr>
      </w:pPr>
      <w:r w:rsidRPr="00DF5B6A">
        <w:rPr>
          <w:rFonts w:cs="Arial"/>
          <w:szCs w:val="20"/>
        </w:rPr>
        <w:t>The significance of the fatigue features is that they provide the model with a measure of total accumulated damage across the entire engine lifecycle rather than only the instantaneous sensor state. Two engines may produce identical instantaneous sensor readings at cycle 200 but have arrived there via very different histories — one operating consistently at moderate load, one cycling repeatedly through high-stress conditions. The fatigue indices distinguish these two cases, encoding the path-dependent nature of mechanical degradation that instantaneous features cannot capture. Gate 6 verifies that all three fatigue indices are strictly non-decreasing across the five representative engines examined, confirming physical consistency with Miner's Rule.</w:t>
      </w:r>
    </w:p>
    <w:p w14:paraId="37643ACB" w14:textId="77777777" w:rsidR="00DF5B6A" w:rsidRPr="00DF5B6A" w:rsidRDefault="00DF5B6A" w:rsidP="00DF5B6A">
      <w:pPr>
        <w:pStyle w:val="NormalWeb"/>
        <w:jc w:val="both"/>
        <w:rPr>
          <w:rFonts w:cs="Arial"/>
          <w:szCs w:val="20"/>
        </w:rPr>
      </w:pPr>
      <w:r w:rsidRPr="00DF5B6A">
        <w:rPr>
          <w:rFonts w:cs="Arial"/>
          <w:szCs w:val="20"/>
        </w:rPr>
        <w:t>Substituting all component terms:</w:t>
      </w:r>
    </w:p>
    <w:p w14:paraId="1B3055F0" w14:textId="3F04D401"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total</m:t>
              </m:r>
            </m:sub>
          </m:sSub>
          <m:r>
            <w:rPr>
              <w:rFonts w:ascii="Cambria Math" w:hAnsi="Cambria Math" w:cs="Arial"/>
              <w:szCs w:val="20"/>
            </w:rPr>
            <m:t>=24+</m:t>
          </m:r>
          <m:d>
            <m:dPr>
              <m:ctrlPr>
                <w:rPr>
                  <w:rFonts w:ascii="Cambria Math" w:hAnsi="Cambria Math" w:cs="Arial"/>
                  <w:i/>
                  <w:szCs w:val="20"/>
                </w:rPr>
              </m:ctrlPr>
            </m:dPr>
            <m:e>
              <m:r>
                <w:rPr>
                  <w:rFonts w:ascii="Cambria Math" w:hAnsi="Cambria Math" w:cs="Arial"/>
                  <w:szCs w:val="20"/>
                </w:rPr>
                <m:t>17</m:t>
              </m:r>
              <m:r>
                <m:rPr>
                  <m:sty m:val="p"/>
                </m:rPr>
                <w:rPr>
                  <w:rFonts w:ascii="Cambria Math" w:hAnsi="Cambria Math" w:cs="Arial"/>
                  <w:szCs w:val="20"/>
                </w:rPr>
                <m:t>×</m:t>
              </m:r>
              <m:r>
                <w:rPr>
                  <w:rFonts w:ascii="Cambria Math" w:hAnsi="Cambria Math" w:cs="Arial"/>
                  <w:szCs w:val="20"/>
                </w:rPr>
                <m:t>3</m:t>
              </m:r>
            </m:e>
          </m:d>
          <m:r>
            <w:rPr>
              <w:rFonts w:ascii="Cambria Math" w:hAnsi="Cambria Math" w:cs="Arial"/>
              <w:szCs w:val="20"/>
            </w:rPr>
            <m:t>+3+3=24+51+3+3=81</m:t>
          </m:r>
          <m:r>
            <m:rPr>
              <m:nor/>
            </m:rPr>
            <w:rPr>
              <w:rFonts w:ascii="Cambria Math" w:hAnsi="Cambria Math" w:cs="Arial"/>
              <w:szCs w:val="20"/>
            </w:rPr>
            <m:t xml:space="preserve"> formula features</m:t>
          </m:r>
        </m:oMath>
      </m:oMathPara>
    </w:p>
    <w:p w14:paraId="285DAA03" w14:textId="77777777" w:rsidR="00DF5B6A" w:rsidRPr="00DF5B6A" w:rsidRDefault="00DF5B6A" w:rsidP="00DF5B6A">
      <w:pPr>
        <w:pStyle w:val="NormalWeb"/>
        <w:jc w:val="both"/>
        <w:rPr>
          <w:rFonts w:cs="Arial"/>
          <w:szCs w:val="20"/>
        </w:rPr>
      </w:pPr>
      <w:r w:rsidRPr="00DF5B6A">
        <w:rPr>
          <w:rStyle w:val="Strong"/>
          <w:rFonts w:cs="Arial"/>
          <w:szCs w:val="20"/>
        </w:rPr>
        <w:t>Gap-Resolution Features</w:t>
      </w:r>
    </w:p>
    <w:p w14:paraId="2C4FF60E" w14:textId="0E65429B" w:rsidR="00DF5B6A" w:rsidRPr="00DF5B6A" w:rsidRDefault="00DF5B6A" w:rsidP="00DF5B6A">
      <w:pPr>
        <w:pStyle w:val="NormalWeb"/>
        <w:jc w:val="both"/>
        <w:rPr>
          <w:rFonts w:cs="Arial"/>
          <w:szCs w:val="20"/>
        </w:rPr>
      </w:pPr>
      <w:r w:rsidRPr="00DF5B6A">
        <w:rPr>
          <w:rFonts w:cs="Arial"/>
          <w:szCs w:val="20"/>
        </w:rPr>
        <w:t xml:space="preserve">The 10 gap-resolution features appended during Part A are fully constitutive members of </w:t>
      </w:r>
      <m:oMath>
        <m:r>
          <w:rPr>
            <w:rFonts w:ascii="Cambria Math" w:hAnsi="Cambria Math" w:cs="Arial"/>
            <w:szCs w:val="20"/>
          </w:rPr>
          <m:t>X</m:t>
        </m:r>
      </m:oMath>
      <w:r w:rsidRPr="00DF5B6A">
        <w:rPr>
          <w:rFonts w:cs="Arial"/>
          <w:szCs w:val="20"/>
        </w:rPr>
        <w:t xml:space="preserve"> and are not secondary to the formula features. They encode structural properties of the dataset and degradation physics that the formula pipeline alone cannot represent:</w:t>
      </w:r>
    </w:p>
    <w:p w14:paraId="129F3D12" w14:textId="64994C8C" w:rsidR="00DF5B6A" w:rsidRPr="00DF5B6A" w:rsidRDefault="00000000" w:rsidP="00DF5B6A">
      <w:pPr>
        <w:pStyle w:val="NormalWeb"/>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gap</m:t>
              </m:r>
            </m:sub>
          </m:sSub>
          <m:r>
            <w:rPr>
              <w:rFonts w:ascii="Cambria Math" w:hAnsi="Cambria Math" w:cs="Arial"/>
              <w:szCs w:val="20"/>
            </w:rPr>
            <m:t>={</m:t>
          </m:r>
          <m:r>
            <m:rPr>
              <m:nor/>
            </m:rPr>
            <w:rPr>
              <w:rFonts w:ascii="Cambria Math" w:hAnsi="Cambria Math" w:cs="Arial"/>
              <w:szCs w:val="20"/>
            </w:rPr>
            <m:t>regime_0</m:t>
          </m:r>
          <m:r>
            <w:rPr>
              <w:rFonts w:ascii="Cambria Math" w:hAnsi="Cambria Math" w:cs="Arial"/>
              <w:szCs w:val="20"/>
            </w:rPr>
            <m:t>, </m:t>
          </m:r>
          <m:r>
            <m:rPr>
              <m:nor/>
            </m:rPr>
            <w:rPr>
              <w:rFonts w:ascii="Cambria Math" w:hAnsi="Cambria Math" w:cs="Arial"/>
              <w:szCs w:val="20"/>
            </w:rPr>
            <m:t>regime_1</m:t>
          </m:r>
          <m:r>
            <w:rPr>
              <w:rFonts w:ascii="Cambria Math" w:hAnsi="Cambria Math" w:cs="Arial"/>
              <w:szCs w:val="20"/>
            </w:rPr>
            <m:t>, </m:t>
          </m:r>
          <m:r>
            <m:rPr>
              <m:nor/>
            </m:rPr>
            <w:rPr>
              <w:rFonts w:ascii="Cambria Math" w:hAnsi="Cambria Math" w:cs="Arial"/>
              <w:szCs w:val="20"/>
            </w:rPr>
            <m:t>regime_2</m:t>
          </m:r>
          <m:r>
            <w:rPr>
              <w:rFonts w:ascii="Cambria Math" w:hAnsi="Cambria Math" w:cs="Arial"/>
              <w:szCs w:val="20"/>
            </w:rPr>
            <m:t>, </m:t>
          </m:r>
          <m:r>
            <m:rPr>
              <m:nor/>
            </m:rPr>
            <w:rPr>
              <w:rFonts w:ascii="Cambria Math" w:hAnsi="Cambria Math" w:cs="Arial"/>
              <w:szCs w:val="20"/>
            </w:rPr>
            <m:t>regime_3</m:t>
          </m:r>
          <m:r>
            <w:rPr>
              <w:rFonts w:ascii="Cambria Math" w:hAnsi="Cambria Math" w:cs="Arial"/>
              <w:szCs w:val="20"/>
            </w:rPr>
            <m:t>, </m:t>
          </m:r>
          <m:r>
            <m:rPr>
              <m:nor/>
            </m:rPr>
            <w:rPr>
              <w:rFonts w:ascii="Cambria Math" w:hAnsi="Cambria Math" w:cs="Arial"/>
              <w:szCs w:val="20"/>
            </w:rPr>
            <m:t>regime_4</m:t>
          </m:r>
          <m:r>
            <w:rPr>
              <w:rFonts w:ascii="Cambria Math" w:hAnsi="Cambria Math" w:cs="Arial"/>
              <w:szCs w:val="20"/>
            </w:rPr>
            <m:t>, </m:t>
          </m:r>
          <m:r>
            <m:rPr>
              <m:nor/>
            </m:rPr>
            <w:rPr>
              <w:rFonts w:ascii="Cambria Math" w:hAnsi="Cambria Math" w:cs="Arial"/>
              <w:szCs w:val="20"/>
            </w:rPr>
            <m:t>regime_5</m:t>
          </m:r>
          <m:r>
            <w:rPr>
              <w:rFonts w:ascii="Cambria Math" w:hAnsi="Cambria Math" w:cs="Arial"/>
              <w:szCs w:val="20"/>
            </w:rPr>
            <m:t>, </m:t>
          </m:r>
          <m:r>
            <m:rPr>
              <m:nor/>
            </m:rPr>
            <w:rPr>
              <w:rFonts w:ascii="Cambria Math" w:hAnsi="Cambria Math" w:cs="Arial"/>
              <w:szCs w:val="20"/>
            </w:rPr>
            <m:t>fault_mode_family</m:t>
          </m:r>
          <m:r>
            <w:rPr>
              <w:rFonts w:ascii="Cambria Math" w:hAnsi="Cambria Math" w:cs="Arial"/>
              <w:szCs w:val="20"/>
            </w:rPr>
            <m:t>, </m:t>
          </m:r>
          <m:sSub>
            <m:sSubPr>
              <m:ctrlPr>
                <w:rPr>
                  <w:rFonts w:ascii="Cambria Math" w:hAnsi="Cambria Math" w:cs="Arial"/>
                  <w:i/>
                  <w:szCs w:val="20"/>
                </w:rPr>
              </m:ctrlPr>
            </m:sSubPr>
            <m:e>
              <m:r>
                <m:rPr>
                  <m:sty m:val="p"/>
                </m:rPr>
                <w:rPr>
                  <w:rFonts w:ascii="Cambria Math" w:hAnsi="Cambria Math" w:cs="Arial"/>
                  <w:szCs w:val="20"/>
                </w:rPr>
                <m:t>ρ</m:t>
              </m:r>
            </m:e>
            <m:sub>
              <m:r>
                <w:rPr>
                  <w:rFonts w:ascii="Cambria Math" w:hAnsi="Cambria Math" w:cs="Arial"/>
                  <w:szCs w:val="20"/>
                </w:rPr>
                <m:t>f</m:t>
              </m:r>
            </m:sub>
          </m:sSub>
          <m:r>
            <w:rPr>
              <w:rFonts w:ascii="Cambria Math" w:hAnsi="Cambria Math" w:cs="Arial"/>
              <w:szCs w:val="20"/>
            </w:rPr>
            <m:t>, </m:t>
          </m:r>
          <m:sSub>
            <m:sSubPr>
              <m:ctrlPr>
                <w:rPr>
                  <w:rFonts w:ascii="Cambria Math" w:hAnsi="Cambria Math" w:cs="Arial"/>
                  <w:i/>
                  <w:szCs w:val="20"/>
                </w:rPr>
              </m:ctrlPr>
            </m:sSubPr>
            <m:e>
              <m:r>
                <m:rPr>
                  <m:sty m:val="p"/>
                </m:rPr>
                <w:rPr>
                  <w:rFonts w:ascii="Cambria Math" w:hAnsi="Cambria Math" w:cs="Arial"/>
                  <w:szCs w:val="20"/>
                </w:rPr>
                <m:t>ρ</m:t>
              </m:r>
            </m:e>
            <m:sub>
              <m:r>
                <w:rPr>
                  <w:rFonts w:ascii="Cambria Math" w:hAnsi="Cambria Math" w:cs="Arial"/>
                  <w:szCs w:val="20"/>
                </w:rPr>
                <m:t>c</m:t>
              </m:r>
            </m:sub>
          </m:sSub>
          <m:r>
            <w:rPr>
              <w:rFonts w:ascii="Cambria Math" w:hAnsi="Cambria Math" w:cs="Arial"/>
              <w:szCs w:val="20"/>
            </w:rPr>
            <m:t>, </m:t>
          </m:r>
          <m:r>
            <m:rPr>
              <m:nor/>
            </m:rPr>
            <w:rPr>
              <w:rFonts w:ascii="Cambria Math" w:hAnsi="Cambria Math" w:cs="Arial"/>
              <w:szCs w:val="20"/>
            </w:rPr>
            <m:t>HI}</m:t>
          </m:r>
        </m:oMath>
      </m:oMathPara>
    </w:p>
    <w:p w14:paraId="01F6A80C" w14:textId="47C79B6F" w:rsidR="00DF5B6A" w:rsidRPr="00DF5B6A" w:rsidRDefault="00DF5B6A" w:rsidP="00DF5B6A">
      <w:pPr>
        <w:pStyle w:val="NormalWeb"/>
        <w:jc w:val="both"/>
        <w:rPr>
          <w:rFonts w:cs="Arial"/>
          <w:szCs w:val="20"/>
        </w:rPr>
      </w:pPr>
      <w:r w:rsidRPr="00DF5B6A">
        <w:rPr>
          <w:rFonts w:cs="Arial"/>
          <w:szCs w:val="20"/>
        </w:rPr>
        <w:t xml:space="preserve">where </w:t>
      </w:r>
      <w:r w:rsidRPr="00482BD0">
        <w:rPr>
          <w:rFonts w:ascii="Courier New" w:hAnsi="Courier New" w:cs="Courier New"/>
          <w:szCs w:val="20"/>
        </w:rPr>
        <w:t>regime_0</w:t>
      </w:r>
      <w:r w:rsidRPr="00DF5B6A">
        <w:rPr>
          <w:rFonts w:cs="Arial"/>
          <w:szCs w:val="20"/>
        </w:rPr>
        <w:t xml:space="preserve"> through </w:t>
      </w:r>
      <w:r w:rsidRPr="00482BD0">
        <w:rPr>
          <w:rFonts w:ascii="Courier New" w:hAnsi="Courier New" w:cs="Courier New"/>
          <w:szCs w:val="20"/>
        </w:rPr>
        <w:t>regime_5</w:t>
      </w:r>
      <w:r w:rsidRPr="00DF5B6A">
        <w:rPr>
          <w:rFonts w:cs="Arial"/>
          <w:szCs w:val="20"/>
        </w:rPr>
        <w:t xml:space="preserve"> are the one-hot encoded K-Means regime indicators (from G5); </w:t>
      </w:r>
      <w:r w:rsidRPr="00482BD0">
        <w:rPr>
          <w:rFonts w:ascii="Courier New" w:hAnsi="Courier New" w:cs="Courier New"/>
          <w:szCs w:val="20"/>
        </w:rPr>
        <w:t>fault_mode_family</w:t>
      </w:r>
      <w:r w:rsidRPr="00DF5B6A">
        <w:rPr>
          <w:rFonts w:cs="Arial"/>
          <w:szCs w:val="20"/>
        </w:rPr>
        <w:t xml:space="preserve"> is the binary HPC-only versus HPC-and-fan degradation indicator (from G6); </w:t>
      </w:r>
      <m:oMath>
        <m:sSub>
          <m:sSubPr>
            <m:ctrlPr>
              <w:rPr>
                <w:rFonts w:ascii="Cambria Math" w:hAnsi="Cambria Math" w:cs="Arial"/>
                <w:i/>
                <w:szCs w:val="20"/>
              </w:rPr>
            </m:ctrlPr>
          </m:sSubPr>
          <m:e>
            <m:r>
              <m:rPr>
                <m:sty m:val="p"/>
              </m:rPr>
              <w:rPr>
                <w:rFonts w:ascii="Cambria Math" w:hAnsi="Cambria Math" w:cs="Arial"/>
                <w:szCs w:val="20"/>
              </w:rPr>
              <m:t>ρ</m:t>
            </m:r>
            <m:ctrlPr>
              <w:rPr>
                <w:rFonts w:ascii="Cambria Math" w:hAnsi="Cambria Math" w:cs="Arial"/>
                <w:szCs w:val="20"/>
              </w:rPr>
            </m:ctrlPr>
          </m:e>
          <m:sub>
            <m:r>
              <w:rPr>
                <w:rFonts w:ascii="Cambria Math" w:hAnsi="Cambria Math" w:cs="Arial"/>
                <w:szCs w:val="20"/>
              </w:rPr>
              <m:t>f</m:t>
            </m:r>
          </m:sub>
        </m:sSub>
        <m:r>
          <w:rPr>
            <w:rFonts w:ascii="Cambria Math" w:hAnsi="Cambria Math" w:cs="Arial"/>
            <w:szCs w:val="20"/>
          </w:rPr>
          <m:t>=s8</m:t>
        </m:r>
        <m:r>
          <m:rPr>
            <m:lit/>
          </m:rPr>
          <w:rPr>
            <w:rFonts w:ascii="Cambria Math" w:hAnsi="Cambria Math" w:cs="Arial"/>
            <w:szCs w:val="20"/>
          </w:rPr>
          <m:t>/</m:t>
        </m:r>
        <m:r>
          <w:rPr>
            <w:rFonts w:ascii="Cambria Math" w:hAnsi="Cambria Math" w:cs="Arial"/>
            <w:szCs w:val="20"/>
          </w:rPr>
          <m:t>s13</m:t>
        </m:r>
      </m:oMath>
      <w:r w:rsidRPr="00DF5B6A">
        <w:rPr>
          <w:rFonts w:cs="Arial"/>
          <w:szCs w:val="20"/>
        </w:rPr>
        <w:t xml:space="preserve"> and </w:t>
      </w:r>
      <m:oMath>
        <m:sSub>
          <m:sSubPr>
            <m:ctrlPr>
              <w:rPr>
                <w:rFonts w:ascii="Cambria Math" w:hAnsi="Cambria Math" w:cs="Arial"/>
                <w:i/>
                <w:szCs w:val="20"/>
              </w:rPr>
            </m:ctrlPr>
          </m:sSubPr>
          <m:e>
            <m:r>
              <m:rPr>
                <m:sty m:val="p"/>
              </m:rPr>
              <w:rPr>
                <w:rFonts w:ascii="Cambria Math" w:hAnsi="Cambria Math" w:cs="Arial"/>
                <w:szCs w:val="20"/>
              </w:rPr>
              <m:t>ρ</m:t>
            </m:r>
            <m:ctrlPr>
              <w:rPr>
                <w:rFonts w:ascii="Cambria Math" w:hAnsi="Cambria Math" w:cs="Arial"/>
                <w:szCs w:val="20"/>
              </w:rPr>
            </m:ctrlPr>
          </m:e>
          <m:sub>
            <m:r>
              <w:rPr>
                <w:rFonts w:ascii="Cambria Math" w:hAnsi="Cambria Math" w:cs="Arial"/>
                <w:szCs w:val="20"/>
              </w:rPr>
              <m:t>c</m:t>
            </m:r>
          </m:sub>
        </m:sSub>
        <m:r>
          <w:rPr>
            <w:rFonts w:ascii="Cambria Math" w:hAnsi="Cambria Math" w:cs="Arial"/>
            <w:szCs w:val="20"/>
          </w:rPr>
          <m:t>=s9</m:t>
        </m:r>
        <m:r>
          <m:rPr>
            <m:lit/>
          </m:rPr>
          <w:rPr>
            <w:rFonts w:ascii="Cambria Math" w:hAnsi="Cambria Math" w:cs="Arial"/>
            <w:szCs w:val="20"/>
          </w:rPr>
          <m:t>/</m:t>
        </m:r>
        <m:r>
          <w:rPr>
            <w:rFonts w:ascii="Cambria Math" w:hAnsi="Cambria Math" w:cs="Arial"/>
            <w:szCs w:val="20"/>
          </w:rPr>
          <m:t>s14</m:t>
        </m:r>
      </m:oMath>
      <w:r w:rsidRPr="00DF5B6A">
        <w:rPr>
          <w:rFonts w:cs="Arial"/>
          <w:szCs w:val="20"/>
        </w:rPr>
        <w:t xml:space="preserve"> are the mechanically linked pair correction factor ratios (from G7); and HI is the multivariate health index (from G10).</w:t>
      </w:r>
    </w:p>
    <w:p w14:paraId="6E9972ED" w14:textId="77777777" w:rsidR="00DF5B6A" w:rsidRPr="00DF5B6A" w:rsidRDefault="00DF5B6A" w:rsidP="00DF5B6A">
      <w:pPr>
        <w:pStyle w:val="NormalWeb"/>
        <w:jc w:val="both"/>
        <w:rPr>
          <w:rFonts w:cs="Arial"/>
          <w:szCs w:val="20"/>
        </w:rPr>
      </w:pPr>
      <w:r w:rsidRPr="00DF5B6A">
        <w:rPr>
          <w:rStyle w:val="Strong"/>
          <w:rFonts w:cs="Arial"/>
          <w:szCs w:val="20"/>
        </w:rPr>
        <w:t>Complete Feature Matrix</w:t>
      </w:r>
    </w:p>
    <w:p w14:paraId="0FDAF280" w14:textId="6D3483F7" w:rsidR="00DF5B6A" w:rsidRPr="00DF5B6A" w:rsidRDefault="00DF5B6A" w:rsidP="00DF5B6A">
      <w:pPr>
        <w:pStyle w:val="NormalWeb"/>
        <w:jc w:val="both"/>
        <w:rPr>
          <w:rFonts w:cs="Arial"/>
          <w:szCs w:val="20"/>
        </w:rPr>
      </w:pPr>
      <w:r w:rsidRPr="00DF5B6A">
        <w:rPr>
          <w:rFonts w:cs="Arial"/>
          <w:szCs w:val="20"/>
        </w:rPr>
        <w:t xml:space="preserve">The feature matrix </w:t>
      </w:r>
      <m:oMath>
        <m:r>
          <w:rPr>
            <w:rFonts w:ascii="Cambria Math" w:hAnsi="Cambria Math" w:cs="Arial"/>
            <w:szCs w:val="20"/>
          </w:rPr>
          <m:t>X</m:t>
        </m:r>
      </m:oMath>
      <w:r w:rsidRPr="00DF5B6A">
        <w:rPr>
          <w:rFonts w:cs="Arial"/>
          <w:szCs w:val="20"/>
        </w:rPr>
        <w:t xml:space="preserve"> presented to Phase 4 therefore contains:</w:t>
      </w:r>
    </w:p>
    <w:p w14:paraId="5D95E167" w14:textId="722FB6F6" w:rsidR="00DF5B6A" w:rsidRPr="00DF5B6A" w:rsidRDefault="00000000" w:rsidP="00DF5B6A">
      <w:pPr>
        <w:pStyle w:val="NormalWeb"/>
        <w:jc w:val="both"/>
        <w:rPr>
          <w:rFonts w:cs="Arial"/>
          <w:szCs w:val="20"/>
        </w:rPr>
      </w:pPr>
      <m:oMathPara>
        <m:oMath>
          <m:d>
            <m:dPr>
              <m:begChr m:val="|"/>
              <m:endChr m:val="|"/>
              <m:ctrlPr>
                <w:rPr>
                  <w:rFonts w:ascii="Cambria Math" w:hAnsi="Cambria Math" w:cs="Arial"/>
                  <w:i/>
                  <w:szCs w:val="20"/>
                </w:rPr>
              </m:ctrlPr>
            </m:dPr>
            <m:e>
              <m:r>
                <w:rPr>
                  <w:rFonts w:ascii="Cambria Math" w:hAnsi="Cambria Math" w:cs="Arial"/>
                  <w:szCs w:val="20"/>
                </w:rPr>
                <m:t>X</m:t>
              </m:r>
            </m:e>
          </m:d>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total</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gap</m:t>
              </m:r>
            </m:sub>
          </m:sSub>
          <m:r>
            <w:rPr>
              <w:rFonts w:ascii="Cambria Math" w:hAnsi="Cambria Math" w:cs="Arial"/>
              <w:szCs w:val="20"/>
            </w:rPr>
            <m:t>=81+10=91</m:t>
          </m:r>
          <m:r>
            <m:rPr>
              <m:nor/>
            </m:rPr>
            <w:rPr>
              <w:rFonts w:ascii="Cambria Math" w:hAnsi="Cambria Math" w:cs="Arial"/>
              <w:szCs w:val="20"/>
            </w:rPr>
            <m:t xml:space="preserve"> features</m:t>
          </m:r>
        </m:oMath>
      </m:oMathPara>
    </w:p>
    <w:p w14:paraId="1293A47F" w14:textId="7A9E8FDB" w:rsidR="00DF5B6A" w:rsidRPr="00DF5B6A" w:rsidRDefault="00DF5B6A" w:rsidP="00DF5B6A">
      <w:pPr>
        <w:pStyle w:val="NormalWeb"/>
        <w:jc w:val="both"/>
        <w:rPr>
          <w:rFonts w:cs="Arial"/>
          <w:szCs w:val="20"/>
        </w:rPr>
      </w:pPr>
      <w:r w:rsidRPr="00DF5B6A">
        <w:rPr>
          <w:rFonts w:cs="Arial"/>
          <w:szCs w:val="20"/>
        </w:rPr>
        <w:t xml:space="preserve">with dimensions </w:t>
      </w:r>
      <m:oMath>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train</m:t>
            </m:r>
          </m:sub>
        </m:sSub>
        <m:r>
          <m:rPr>
            <m:sty m:val="p"/>
          </m:rPr>
          <w:rPr>
            <w:rStyle w:val="Emphasis"/>
            <w:rFonts w:ascii="Cambria Math" w:hAnsi="Cambria Math" w:cs="Arial"/>
            <w:szCs w:val="20"/>
          </w:rPr>
          <m:t>∈</m:t>
        </m:r>
        <m:sSup>
          <m:sSupPr>
            <m:ctrlPr>
              <w:rPr>
                <w:rStyle w:val="Emphasis"/>
                <w:rFonts w:ascii="Cambria Math" w:hAnsi="Cambria Math" w:cs="Arial"/>
                <w:i w:val="0"/>
                <w:iCs w:val="0"/>
                <w:szCs w:val="20"/>
              </w:rPr>
            </m:ctrlPr>
          </m:sSupPr>
          <m:e>
            <m:r>
              <m:rPr>
                <m:scr m:val="double-struck"/>
                <m:sty m:val="p"/>
              </m:rPr>
              <w:rPr>
                <w:rStyle w:val="Emphasis"/>
                <w:rFonts w:ascii="Cambria Math" w:hAnsi="Cambria Math" w:cs="Arial"/>
                <w:szCs w:val="20"/>
              </w:rPr>
              <m:t>R</m:t>
            </m:r>
          </m:e>
          <m:sup>
            <m:r>
              <m:rPr>
                <m:sty m:val="p"/>
              </m:rPr>
              <w:rPr>
                <w:rStyle w:val="Emphasis"/>
                <w:rFonts w:ascii="Cambria Math" w:hAnsi="Cambria Math" w:cs="Arial"/>
                <w:szCs w:val="20"/>
              </w:rPr>
              <m:t>129,331×91</m:t>
            </m:r>
          </m:sup>
        </m:sSup>
      </m:oMath>
      <w:r w:rsidRPr="00DF5B6A">
        <w:rPr>
          <w:rStyle w:val="Emphasis"/>
          <w:rFonts w:cs="Arial"/>
          <w:szCs w:val="20"/>
        </w:rPr>
        <w:t xml:space="preserve"> and </w:t>
      </w:r>
      <m:oMath>
        <m:sSub>
          <m:sSubPr>
            <m:ctrlPr>
              <w:rPr>
                <w:rStyle w:val="Emphasis"/>
                <w:rFonts w:ascii="Cambria Math" w:hAnsi="Cambria Math" w:cs="Arial"/>
                <w:i w:val="0"/>
                <w:iCs w:val="0"/>
                <w:szCs w:val="20"/>
              </w:rPr>
            </m:ctrlPr>
          </m:sSubPr>
          <m:e>
            <m:r>
              <m:rPr>
                <m:sty m:val="p"/>
              </m:rPr>
              <w:rPr>
                <w:rStyle w:val="Emphasis"/>
                <w:rFonts w:ascii="Cambria Math" w:hAnsi="Cambria Math" w:cs="Arial"/>
                <w:szCs w:val="20"/>
              </w:rPr>
              <m:t>X</m:t>
            </m:r>
          </m:e>
          <m:sub>
            <m:r>
              <m:rPr>
                <m:sty m:val="p"/>
              </m:rPr>
              <w:rPr>
                <w:rStyle w:val="Emphasis"/>
                <w:rFonts w:ascii="Cambria Math" w:hAnsi="Cambria Math" w:cs="Arial"/>
                <w:szCs w:val="20"/>
              </w:rPr>
              <m:t>val</m:t>
            </m:r>
          </m:sub>
        </m:sSub>
        <m:r>
          <m:rPr>
            <m:sty m:val="p"/>
          </m:rPr>
          <w:rPr>
            <w:rFonts w:ascii="Cambria Math" w:hAnsi="Cambria Math" w:cs="Arial"/>
            <w:szCs w:val="20"/>
          </w:rPr>
          <m:t>∈</m:t>
        </m:r>
        <m:sSup>
          <m:sSupPr>
            <m:ctrlPr>
              <w:rPr>
                <w:rFonts w:ascii="Cambria Math" w:hAnsi="Cambria Math" w:cs="Arial"/>
                <w:szCs w:val="20"/>
              </w:rPr>
            </m:ctrlPr>
          </m:sSupPr>
          <m:e>
            <m:r>
              <m:rPr>
                <m:scr m:val="double-struck"/>
                <m:sty m:val="p"/>
              </m:rPr>
              <w:rPr>
                <w:rFonts w:ascii="Cambria Math" w:hAnsi="Cambria Math" w:cs="Arial"/>
                <w:szCs w:val="20"/>
              </w:rPr>
              <m:t>R</m:t>
            </m:r>
          </m:e>
          <m:sup>
            <m:r>
              <m:rPr>
                <m:sty m:val="p"/>
              </m:rPr>
              <w:rPr>
                <w:rFonts w:ascii="Cambria Math" w:hAnsi="Cambria Math" w:cs="Arial"/>
                <w:szCs w:val="20"/>
              </w:rPr>
              <m:t>31,028×91</m:t>
            </m:r>
          </m:sup>
        </m:sSup>
      </m:oMath>
      <w:r w:rsidRPr="00DF5B6A">
        <w:rPr>
          <w:rFonts w:cs="Arial"/>
          <w:szCs w:val="20"/>
        </w:rPr>
        <w:t>, verified empirically at Gate 2 and Gate 3 respectively.</w:t>
      </w:r>
    </w:p>
    <w:p w14:paraId="2E23E578" w14:textId="45038680" w:rsidR="00A807E4" w:rsidRPr="005B0FA3" w:rsidRDefault="0053337F" w:rsidP="00623C1B">
      <w:pPr>
        <w:pStyle w:val="Heading2"/>
        <w:spacing w:before="100" w:beforeAutospacing="1" w:after="100" w:afterAutospacing="1"/>
      </w:pPr>
      <w:r w:rsidRPr="005B0FA3">
        <w:t>5.1  Step 1 — Core Manifold (24 Feature</w:t>
      </w:r>
      <w:r w:rsidR="00AD3CC0">
        <w:t>s—Cell 2</w:t>
      </w:r>
      <w:r w:rsidR="00666BF8">
        <w:t>2</w:t>
      </w:r>
      <w:r w:rsidR="00AD3CC0">
        <w:t>)</w:t>
      </w:r>
    </w:p>
    <w:p w14:paraId="32270AB4" w14:textId="77777777" w:rsidR="00A807E4" w:rsidRPr="001F2A18" w:rsidRDefault="00000000" w:rsidP="00623C1B">
      <w:pPr>
        <w:spacing w:before="100" w:beforeAutospacing="1" w:after="100" w:afterAutospacing="1"/>
        <w:jc w:val="both"/>
        <w:rPr>
          <w:rFonts w:cs="Arial"/>
          <w:szCs w:val="20"/>
        </w:rPr>
      </w:pPr>
      <w:r w:rsidRPr="001F2A18">
        <w:rPr>
          <w:rFonts w:cs="Arial"/>
          <w:szCs w:val="20"/>
        </w:rPr>
        <w:t>The core manifold constitutes the base feature space inherited directly from Phase 2 normalised outputs. It comprises three operational settings (op1, op2, op3) and all 21 raw sensor channels (s1–s21). This is an inclusive manifold: no sensor is removed regardless of its variance status. The four regime-dead sensors (s1, s5, s18, s19) are retained as zero-variance channels in the feature matrix; their kinematic expansion features (delta, rolling mean, rolling std) will also be zero-variance and carry no predictive power, but their presence maintains pipeline integrity and avoids the structural risk of inadvertently dropping a channel that carries signal under novel fault modes.</w:t>
      </w:r>
    </w:p>
    <w:p w14:paraId="1ED27AA0" w14:textId="77777777" w:rsidR="00A807E4" w:rsidRPr="001F2A18" w:rsidRDefault="00000000" w:rsidP="00623C1B">
      <w:pPr>
        <w:spacing w:before="100" w:beforeAutospacing="1" w:after="100" w:afterAutospacing="1"/>
        <w:jc w:val="both"/>
        <w:rPr>
          <w:rFonts w:cs="Arial"/>
          <w:szCs w:val="20"/>
        </w:rPr>
      </w:pPr>
      <w:r w:rsidRPr="001F2A18">
        <w:rPr>
          <w:rFonts w:cs="Arial"/>
          <w:szCs w:val="20"/>
        </w:rPr>
        <w:lastRenderedPageBreak/>
        <w:t>This design decision is motivated by the reliability engineering principle that sensor evidence of absence is not equivalent to absence of sensor evidence: a consistently zero-reading sensor may become informative under a fault mode not represented in the C-MAPSS training data, and its retention in the pipeline costs only a marginal computational overhead.</w:t>
      </w:r>
    </w:p>
    <w:p w14:paraId="0BB720CC" w14:textId="7A76BB16" w:rsidR="00A807E4" w:rsidRPr="005B0FA3" w:rsidRDefault="0053337F" w:rsidP="00623C1B">
      <w:pPr>
        <w:pStyle w:val="Heading2"/>
        <w:spacing w:before="100" w:beforeAutospacing="1" w:after="100" w:afterAutospacing="1"/>
      </w:pPr>
      <w:bookmarkStart w:id="8" w:name="OLE_LINK8"/>
      <w:r w:rsidRPr="005B0FA3">
        <w:t>5.2  Step 2 — Kinematic Expansion (51 Features</w:t>
      </w:r>
      <w:r w:rsidR="00AD3CC0">
        <w:t>—Cell 2</w:t>
      </w:r>
      <w:r w:rsidR="00666BF8">
        <w:t>3</w:t>
      </w:r>
      <w:r w:rsidRPr="005B0FA3">
        <w:t>)</w:t>
      </w:r>
    </w:p>
    <w:p w14:paraId="2CF72C5A" w14:textId="30AA50DB" w:rsidR="00A807E4" w:rsidRPr="001F2A18" w:rsidRDefault="00000000" w:rsidP="00623C1B">
      <w:pPr>
        <w:spacing w:before="100" w:beforeAutospacing="1" w:after="100" w:afterAutospacing="1"/>
        <w:jc w:val="both"/>
        <w:rPr>
          <w:rFonts w:cs="Arial"/>
          <w:szCs w:val="20"/>
        </w:rPr>
      </w:pPr>
      <w:r w:rsidRPr="001F2A18">
        <w:rPr>
          <w:rFonts w:cs="Arial"/>
          <w:szCs w:val="20"/>
        </w:rPr>
        <w:t>Kinematic expansion applies three temporal operators to each of the 17 active sensors, producing 51 additional features. The three operators approximate the first two derivatives of the sensor signal and the local distributional width, each providing a distinct diagnostic dimension:</w:t>
      </w:r>
    </w:p>
    <w:p w14:paraId="216D5370" w14:textId="6584C239" w:rsidR="00A807E4" w:rsidRPr="005B0FA3" w:rsidRDefault="0053337F" w:rsidP="00623C1B">
      <w:pPr>
        <w:pStyle w:val="Heading3"/>
        <w:spacing w:before="100" w:beforeAutospacing="1" w:after="100" w:afterAutospacing="1"/>
      </w:pPr>
      <w:r w:rsidRPr="005B0FA3">
        <w:t>5.2.1 Kinematic Velocity — delta features</w:t>
      </w:r>
    </w:p>
    <w:p w14:paraId="7A26A1E3" w14:textId="77777777" w:rsidR="00A807E4" w:rsidRPr="001F2A18" w:rsidRDefault="00000000" w:rsidP="00623C1B">
      <w:pPr>
        <w:spacing w:before="100" w:beforeAutospacing="1" w:after="100" w:afterAutospacing="1"/>
        <w:jc w:val="both"/>
        <w:rPr>
          <w:rFonts w:cs="Arial"/>
          <w:szCs w:val="20"/>
        </w:rPr>
      </w:pPr>
      <w:r w:rsidRPr="001F2A18">
        <w:rPr>
          <w:rFonts w:cs="Arial"/>
          <w:szCs w:val="20"/>
        </w:rPr>
        <w:t>The first-order backward difference approximates the instantaneous rate of change of each sensor measurement:</w:t>
      </w:r>
    </w:p>
    <w:p w14:paraId="0049A2CA" w14:textId="02CC1BA9" w:rsidR="00A807E4" w:rsidRPr="00AD3CC0" w:rsidRDefault="00000000" w:rsidP="00623C1B">
      <w:pPr>
        <w:spacing w:before="100" w:beforeAutospacing="1" w:after="100" w:afterAutospacing="1"/>
        <w:jc w:val="center"/>
        <w:rPr>
          <w:rFonts w:cs="Arial"/>
          <w:szCs w:val="20"/>
        </w:rPr>
      </w:pPr>
      <m:oMathPara>
        <m:oMath>
          <m:sSub>
            <m:sSubPr>
              <m:ctrlPr>
                <w:rPr>
                  <w:rFonts w:ascii="Cambria Math" w:hAnsi="Cambria Math" w:cs="Arial"/>
                  <w:i/>
                  <w:color w:val="0D1B2A"/>
                  <w:szCs w:val="20"/>
                </w:rPr>
              </m:ctrlPr>
            </m:sSubPr>
            <m:e>
              <m:r>
                <m:rPr>
                  <m:sty m:val="p"/>
                </m:rPr>
                <w:rPr>
                  <w:rFonts w:ascii="Cambria Math" w:hAnsi="Cambria Math" w:cs="Arial"/>
                  <w:color w:val="0D1B2A"/>
                  <w:szCs w:val="20"/>
                </w:rPr>
                <m:t>δ</m:t>
              </m:r>
              <m:ctrlPr>
                <w:rPr>
                  <w:rFonts w:ascii="Cambria Math" w:hAnsi="Cambria Math" w:cs="Arial"/>
                  <w:color w:val="0D1B2A"/>
                  <w:szCs w:val="20"/>
                </w:rPr>
              </m:ctrlPr>
            </m:e>
            <m:sub>
              <m:r>
                <w:rPr>
                  <w:rFonts w:ascii="Cambria Math" w:hAnsi="Cambria Math" w:cs="Arial"/>
                  <w:color w:val="0D1B2A"/>
                  <w:szCs w:val="20"/>
                </w:rPr>
                <m:t>x</m:t>
              </m:r>
            </m:sub>
          </m:sSub>
          <m:d>
            <m:dPr>
              <m:ctrlPr>
                <w:rPr>
                  <w:rFonts w:ascii="Cambria Math" w:hAnsi="Cambria Math" w:cs="Arial"/>
                  <w:i/>
                  <w:color w:val="0D1B2A"/>
                  <w:szCs w:val="20"/>
                </w:rPr>
              </m:ctrlPr>
            </m:dPr>
            <m:e>
              <m:r>
                <w:rPr>
                  <w:rFonts w:ascii="Cambria Math" w:hAnsi="Cambria Math" w:cs="Arial"/>
                  <w:color w:val="0D1B2A"/>
                  <w:szCs w:val="20"/>
                </w:rPr>
                <m:t>t</m:t>
              </m:r>
            </m:e>
          </m:d>
          <m:r>
            <w:rPr>
              <w:rFonts w:ascii="Cambria Math" w:hAnsi="Cambria Math" w:cs="Arial"/>
              <w:color w:val="0D1B2A"/>
              <w:szCs w:val="20"/>
            </w:rPr>
            <m:t>=x</m:t>
          </m:r>
          <m:d>
            <m:dPr>
              <m:ctrlPr>
                <w:rPr>
                  <w:rFonts w:ascii="Cambria Math" w:hAnsi="Cambria Math" w:cs="Arial"/>
                  <w:i/>
                  <w:color w:val="0D1B2A"/>
                  <w:szCs w:val="20"/>
                </w:rPr>
              </m:ctrlPr>
            </m:dPr>
            <m:e>
              <m:r>
                <w:rPr>
                  <w:rFonts w:ascii="Cambria Math" w:hAnsi="Cambria Math" w:cs="Arial"/>
                  <w:color w:val="0D1B2A"/>
                  <w:szCs w:val="20"/>
                </w:rPr>
                <m:t>t</m:t>
              </m:r>
            </m:e>
          </m:d>
          <m:r>
            <w:rPr>
              <w:rFonts w:ascii="Cambria Math" w:hAnsi="Cambria Math" w:cs="Arial"/>
              <w:color w:val="0D1B2A"/>
              <w:szCs w:val="20"/>
            </w:rPr>
            <m:t>-x</m:t>
          </m:r>
          <m:d>
            <m:dPr>
              <m:ctrlPr>
                <w:rPr>
                  <w:rFonts w:ascii="Cambria Math" w:hAnsi="Cambria Math" w:cs="Arial"/>
                  <w:i/>
                  <w:color w:val="0D1B2A"/>
                  <w:szCs w:val="20"/>
                </w:rPr>
              </m:ctrlPr>
            </m:dPr>
            <m:e>
              <m:r>
                <w:rPr>
                  <w:rFonts w:ascii="Cambria Math" w:hAnsi="Cambria Math" w:cs="Arial"/>
                  <w:color w:val="0D1B2A"/>
                  <w:szCs w:val="20"/>
                </w:rPr>
                <m:t>t-1</m:t>
              </m:r>
            </m:e>
          </m:d>
        </m:oMath>
      </m:oMathPara>
    </w:p>
    <w:p w14:paraId="4D5D869B" w14:textId="470854F3" w:rsidR="00A807E4" w:rsidRPr="001F2A18" w:rsidRDefault="00000000" w:rsidP="00623C1B">
      <w:pPr>
        <w:spacing w:before="100" w:beforeAutospacing="1" w:after="100" w:afterAutospacing="1"/>
        <w:jc w:val="both"/>
        <w:rPr>
          <w:rFonts w:cs="Arial"/>
          <w:szCs w:val="20"/>
        </w:rPr>
      </w:pPr>
      <w:r w:rsidRPr="001F2A18">
        <w:rPr>
          <w:rFonts w:cs="Arial"/>
          <w:szCs w:val="20"/>
        </w:rPr>
        <w:t xml:space="preserve">This is the discrete analogue of the first derivative </w:t>
      </w:r>
      <m:oMath>
        <m:f>
          <m:fPr>
            <m:ctrlPr>
              <w:rPr>
                <w:rFonts w:ascii="Cambria Math" w:hAnsi="Cambria Math" w:cs="Arial"/>
                <w:szCs w:val="20"/>
              </w:rPr>
            </m:ctrlPr>
          </m:fPr>
          <m:num>
            <m:r>
              <w:rPr>
                <w:rFonts w:ascii="Cambria Math" w:hAnsi="Cambria Math" w:cs="Arial"/>
                <w:szCs w:val="20"/>
              </w:rPr>
              <m:t>d</m:t>
            </m:r>
            <m:ctrlPr>
              <w:rPr>
                <w:rFonts w:ascii="Cambria Math" w:hAnsi="Cambria Math" w:cs="Arial"/>
                <w:i/>
                <w:szCs w:val="20"/>
              </w:rPr>
            </m:ctrlPr>
          </m:num>
          <m:den>
            <m:r>
              <w:rPr>
                <w:rFonts w:ascii="Cambria Math" w:hAnsi="Cambria Math" w:cs="Arial"/>
                <w:szCs w:val="20"/>
              </w:rPr>
              <m:t>dt</m:t>
            </m:r>
            <m:ctrlPr>
              <w:rPr>
                <w:rFonts w:ascii="Cambria Math" w:hAnsi="Cambria Math" w:cs="Arial"/>
                <w:i/>
                <w:szCs w:val="20"/>
              </w:rPr>
            </m:ctrlPr>
          </m:den>
        </m:f>
        <m:r>
          <w:rPr>
            <w:rFonts w:ascii="Cambria Math" w:hAnsi="Cambria Math" w:cs="Arial"/>
            <w:szCs w:val="20"/>
          </w:rPr>
          <m:t>x</m:t>
        </m:r>
      </m:oMath>
      <w:r w:rsidRPr="001F2A18">
        <w:rPr>
          <w:rFonts w:cs="Arial"/>
          <w:szCs w:val="20"/>
        </w:rPr>
        <w:t>. In a degradation context, a sustained positive delta in EGT (s4) indicates increasing thermal load on the LPT, consistent with efficiency loss in either the HPC or combustor. Negative velocity in P30 (s7) indicates falling HPC outlet pressure, consistent with compressor blade fouling or erosion. The delta operator is computed per-engine using the composite key groupby; the initial cycle of each trajectory receives a NaN that is subsequently filled with 0, representing the physically reasonable assumption of zero instantaneous change at observation start. This operation is consistent with the first-difference approach advocated in prognostics literature for removing trend stationarity [7]</w:t>
      </w:r>
      <w:r w:rsidR="00517FEF" w:rsidRPr="00517FEF">
        <w:rPr>
          <w:rFonts w:cs="Arial"/>
          <w:szCs w:val="20"/>
        </w:rPr>
        <w:t xml:space="preserve"> </w:t>
      </w:r>
      <w:sdt>
        <w:sdtPr>
          <w:rPr>
            <w:rFonts w:cs="Arial"/>
            <w:szCs w:val="20"/>
          </w:rPr>
          <w:id w:val="1671913963"/>
          <w:citation/>
        </w:sdtPr>
        <w:sdtContent>
          <w:r w:rsidR="00517FEF">
            <w:rPr>
              <w:rFonts w:cs="Arial"/>
              <w:szCs w:val="20"/>
            </w:rPr>
            <w:fldChar w:fldCharType="begin"/>
          </w:r>
          <w:r w:rsidR="00517FEF">
            <w:rPr>
              <w:rFonts w:cs="Arial"/>
              <w:szCs w:val="20"/>
            </w:rPr>
            <w:instrText xml:space="preserve"> CITATION Box16 \l 2057 </w:instrText>
          </w:r>
          <w:r w:rsidR="00517FEF">
            <w:rPr>
              <w:rFonts w:cs="Arial"/>
              <w:szCs w:val="20"/>
            </w:rPr>
            <w:fldChar w:fldCharType="separate"/>
          </w:r>
          <w:r w:rsidR="0074017E" w:rsidRPr="0074017E">
            <w:rPr>
              <w:rFonts w:cs="Arial"/>
              <w:noProof/>
              <w:szCs w:val="20"/>
            </w:rPr>
            <w:t>[14]</w:t>
          </w:r>
          <w:r w:rsidR="00517FEF">
            <w:rPr>
              <w:rFonts w:cs="Arial"/>
              <w:szCs w:val="20"/>
            </w:rPr>
            <w:fldChar w:fldCharType="end"/>
          </w:r>
        </w:sdtContent>
      </w:sdt>
      <w:r w:rsidRPr="001F2A18">
        <w:rPr>
          <w:rFonts w:cs="Arial"/>
          <w:szCs w:val="20"/>
        </w:rPr>
        <w:t>.</w:t>
      </w:r>
    </w:p>
    <w:p w14:paraId="1801C812" w14:textId="1990C05B" w:rsidR="00A807E4" w:rsidRPr="005B0FA3" w:rsidRDefault="0053337F" w:rsidP="00623C1B">
      <w:pPr>
        <w:pStyle w:val="Heading3"/>
        <w:spacing w:before="100" w:beforeAutospacing="1" w:after="100" w:afterAutospacing="1"/>
      </w:pPr>
      <w:r w:rsidRPr="005B0FA3">
        <w:t>5.2.2 Thermodynamic Baseline — rolling mean features</w:t>
      </w:r>
    </w:p>
    <w:p w14:paraId="17651343" w14:textId="77777777" w:rsidR="00A807E4" w:rsidRPr="001F2A18" w:rsidRDefault="00000000" w:rsidP="00623C1B">
      <w:pPr>
        <w:spacing w:before="100" w:beforeAutospacing="1" w:after="100" w:afterAutospacing="1"/>
        <w:jc w:val="both"/>
        <w:rPr>
          <w:rFonts w:cs="Arial"/>
          <w:szCs w:val="20"/>
        </w:rPr>
      </w:pPr>
      <w:r w:rsidRPr="001F2A18">
        <w:rPr>
          <w:rFonts w:cs="Arial"/>
          <w:szCs w:val="20"/>
        </w:rPr>
        <w:t>The rolling mean over a window of five consecutive cycles provides a low-pass filtered estimate of the current sensor baseline:</w:t>
      </w:r>
    </w:p>
    <w:p w14:paraId="7FC2765B" w14:textId="7FB361C2" w:rsidR="00A807E4" w:rsidRPr="00AD3CC0" w:rsidRDefault="00AD3CC0" w:rsidP="00623C1B">
      <w:pPr>
        <w:spacing w:before="100" w:beforeAutospacing="1" w:after="100" w:afterAutospacing="1"/>
        <w:jc w:val="center"/>
        <w:rPr>
          <w:rFonts w:cs="Arial"/>
          <w:iCs/>
          <w:szCs w:val="20"/>
        </w:rPr>
      </w:pPr>
      <m:oMathPara>
        <m:oMath>
          <m:r>
            <m:rPr>
              <m:sty m:val="p"/>
            </m:rPr>
            <w:rPr>
              <w:rFonts w:ascii="Cambria Math" w:hAnsi="Cambria Math" w:cs="Arial"/>
              <w:color w:val="0D1B2A"/>
              <w:szCs w:val="20"/>
            </w:rPr>
            <m:t>rmea</m:t>
          </m:r>
          <m:sSub>
            <m:sSubPr>
              <m:ctrlPr>
                <w:rPr>
                  <w:rFonts w:ascii="Cambria Math" w:hAnsi="Cambria Math" w:cs="Arial"/>
                  <w:iCs/>
                  <w:color w:val="0D1B2A"/>
                  <w:szCs w:val="20"/>
                </w:rPr>
              </m:ctrlPr>
            </m:sSubPr>
            <m:e>
              <m:r>
                <m:rPr>
                  <m:sty m:val="p"/>
                </m:rPr>
                <w:rPr>
                  <w:rFonts w:ascii="Cambria Math" w:hAnsi="Cambria Math" w:cs="Arial"/>
                  <w:color w:val="0D1B2A"/>
                  <w:szCs w:val="20"/>
                </w:rPr>
                <m:t>n</m:t>
              </m:r>
            </m:e>
            <m:sub>
              <m:r>
                <m:rPr>
                  <m:sty m:val="p"/>
                </m:rPr>
                <w:rPr>
                  <w:rFonts w:ascii="Cambria Math" w:hAnsi="Cambria Math" w:cs="Arial"/>
                  <w:color w:val="0D1B2A"/>
                  <w:szCs w:val="20"/>
                </w:rPr>
                <m:t>x</m:t>
              </m:r>
            </m:sub>
          </m:sSub>
          <m:d>
            <m:dPr>
              <m:ctrlPr>
                <w:rPr>
                  <w:rFonts w:ascii="Cambria Math" w:hAnsi="Cambria Math" w:cs="Arial"/>
                  <w:iCs/>
                  <w:color w:val="0D1B2A"/>
                  <w:szCs w:val="20"/>
                </w:rPr>
              </m:ctrlPr>
            </m:dPr>
            <m:e>
              <m:r>
                <m:rPr>
                  <m:sty m:val="p"/>
                </m:rPr>
                <w:rPr>
                  <w:rFonts w:ascii="Cambria Math" w:hAnsi="Cambria Math" w:cs="Arial"/>
                  <w:color w:val="0D1B2A"/>
                  <w:szCs w:val="20"/>
                </w:rPr>
                <m:t>t</m:t>
              </m:r>
            </m:e>
          </m:d>
          <m:r>
            <m:rPr>
              <m:sty m:val="p"/>
            </m:rPr>
            <w:rPr>
              <w:rFonts w:ascii="Cambria Math" w:hAnsi="Cambria Math" w:cs="Arial"/>
              <w:color w:val="0D1B2A"/>
              <w:szCs w:val="20"/>
            </w:rPr>
            <m:t>=</m:t>
          </m:r>
          <m:f>
            <m:fPr>
              <m:ctrlPr>
                <w:rPr>
                  <w:rFonts w:ascii="Cambria Math" w:hAnsi="Cambria Math" w:cs="Arial"/>
                  <w:iCs/>
                  <w:color w:val="0D1B2A"/>
                  <w:szCs w:val="20"/>
                </w:rPr>
              </m:ctrlPr>
            </m:fPr>
            <m:num>
              <m:r>
                <m:rPr>
                  <m:sty m:val="p"/>
                </m:rPr>
                <w:rPr>
                  <w:rFonts w:ascii="Cambria Math" w:hAnsi="Cambria Math" w:cs="Arial"/>
                  <w:color w:val="0D1B2A"/>
                  <w:szCs w:val="20"/>
                </w:rPr>
                <m:t>1</m:t>
              </m:r>
            </m:num>
            <m:den>
              <m:r>
                <m:rPr>
                  <m:sty m:val="p"/>
                </m:rPr>
                <w:rPr>
                  <w:rFonts w:ascii="Cambria Math" w:hAnsi="Cambria Math" w:cs="Arial"/>
                  <w:color w:val="0D1B2A"/>
                  <w:szCs w:val="20"/>
                </w:rPr>
                <m:t>W</m:t>
              </m:r>
            </m:den>
          </m:f>
          <m:r>
            <m:rPr>
              <m:sty m:val="p"/>
            </m:rPr>
            <w:rPr>
              <w:rFonts w:ascii="Cambria Math" w:hAnsi="Cambria Math" w:cs="Arial"/>
              <w:color w:val="0D1B2A"/>
              <w:szCs w:val="20"/>
            </w:rPr>
            <m:t>⋅</m:t>
          </m:r>
          <m:nary>
            <m:naryPr>
              <m:chr m:val="∑"/>
              <m:ctrlPr>
                <w:rPr>
                  <w:rFonts w:ascii="Cambria Math" w:hAnsi="Cambria Math" w:cs="Arial"/>
                  <w:iCs/>
                  <w:color w:val="0D1B2A"/>
                  <w:szCs w:val="20"/>
                </w:rPr>
              </m:ctrlPr>
            </m:naryPr>
            <m:sub>
              <m:r>
                <m:rPr>
                  <m:sty m:val="p"/>
                </m:rPr>
                <w:rPr>
                  <w:rFonts w:ascii="Cambria Math" w:hAnsi="Cambria Math" w:cs="Arial"/>
                  <w:color w:val="0D1B2A"/>
                  <w:szCs w:val="20"/>
                </w:rPr>
                <m:t>i</m:t>
              </m:r>
              <m:r>
                <w:rPr>
                  <w:rFonts w:ascii="Cambria Math" w:hAnsi="Cambria Math" w:cs="Arial"/>
                  <w:color w:val="0D1B2A"/>
                  <w:szCs w:val="20"/>
                </w:rPr>
                <m:t>=0</m:t>
              </m:r>
            </m:sub>
            <m:sup>
              <m:r>
                <w:rPr>
                  <w:rFonts w:ascii="Cambria Math" w:hAnsi="Cambria Math" w:cs="Arial"/>
                  <w:color w:val="0D1B2A"/>
                  <w:szCs w:val="20"/>
                </w:rPr>
                <m:t>W-1</m:t>
              </m:r>
            </m:sup>
            <m:e>
              <m:r>
                <m:rPr>
                  <m:sty m:val="p"/>
                </m:rPr>
                <w:rPr>
                  <w:rFonts w:ascii="Cambria Math" w:hAnsi="Cambria Math" w:cs="Arial"/>
                  <w:color w:val="0D1B2A"/>
                  <w:szCs w:val="20"/>
                </w:rPr>
                <m:t>x</m:t>
              </m:r>
              <m:d>
                <m:dPr>
                  <m:ctrlPr>
                    <w:rPr>
                      <w:rFonts w:ascii="Cambria Math" w:hAnsi="Cambria Math" w:cs="Arial"/>
                      <w:iCs/>
                      <w:color w:val="0D1B2A"/>
                      <w:szCs w:val="20"/>
                    </w:rPr>
                  </m:ctrlPr>
                </m:dPr>
                <m:e>
                  <m:r>
                    <w:rPr>
                      <w:rFonts w:ascii="Cambria Math" w:hAnsi="Cambria Math" w:cs="Arial"/>
                      <w:color w:val="0D1B2A"/>
                      <w:szCs w:val="20"/>
                    </w:rPr>
                    <m:t>t-i</m:t>
                  </m:r>
                </m:e>
              </m:d>
            </m:e>
          </m:nary>
          <m:r>
            <m:rPr>
              <m:sty m:val="p"/>
            </m:rPr>
            <w:rPr>
              <w:rFonts w:ascii="Cambria Math" w:hAnsi="Cambria Math" w:cs="Arial"/>
              <w:color w:val="0D1B2A"/>
              <w:szCs w:val="20"/>
            </w:rPr>
            <m:t>, W=5cycles</m:t>
          </m:r>
        </m:oMath>
      </m:oMathPara>
    </w:p>
    <w:p w14:paraId="54F33FCB" w14:textId="09190BCD" w:rsidR="00A807E4" w:rsidRPr="001F2A18" w:rsidRDefault="00000000" w:rsidP="00623C1B">
      <w:pPr>
        <w:spacing w:before="100" w:beforeAutospacing="1" w:after="100" w:afterAutospacing="1"/>
        <w:jc w:val="both"/>
        <w:rPr>
          <w:rFonts w:cs="Arial"/>
          <w:szCs w:val="20"/>
        </w:rPr>
      </w:pPr>
      <w:r w:rsidRPr="001F2A18">
        <w:rPr>
          <w:rFonts w:cs="Arial"/>
          <w:szCs w:val="20"/>
        </w:rPr>
        <w:t>The choice of W = 5 cycles reflects a balance between noise suppression and responsiveness to genuine degradation trends. In turbofan operations where one cycle corresponds to one flight, a five-cycle window spans approximately five flights, a duration over which systematic degradation trends are expected to be discernible above measurement noise but short enough to track the accelerating degradation trajectory approaching end of life. This window length is consistent with the phase-space reconstruction recommendation from Takens embedding theorem applied to engine health signals</w:t>
      </w:r>
      <w:sdt>
        <w:sdtPr>
          <w:rPr>
            <w:rFonts w:cs="Arial"/>
            <w:szCs w:val="20"/>
          </w:rPr>
          <w:id w:val="-1760370014"/>
          <w:citation/>
        </w:sdtPr>
        <w:sdtContent>
          <w:r w:rsidR="00517FEF">
            <w:rPr>
              <w:rFonts w:cs="Arial"/>
              <w:szCs w:val="20"/>
            </w:rPr>
            <w:fldChar w:fldCharType="begin"/>
          </w:r>
          <w:r w:rsidR="00517FEF">
            <w:rPr>
              <w:rFonts w:cs="Arial"/>
              <w:szCs w:val="20"/>
            </w:rPr>
            <w:instrText xml:space="preserve"> CITATION Tak81 \l 2057 </w:instrText>
          </w:r>
          <w:r w:rsidR="00517FEF">
            <w:rPr>
              <w:rFonts w:cs="Arial"/>
              <w:szCs w:val="20"/>
            </w:rPr>
            <w:fldChar w:fldCharType="separate"/>
          </w:r>
          <w:r w:rsidR="0074017E">
            <w:rPr>
              <w:rFonts w:cs="Arial"/>
              <w:noProof/>
              <w:szCs w:val="20"/>
            </w:rPr>
            <w:t xml:space="preserve"> </w:t>
          </w:r>
          <w:r w:rsidR="0074017E" w:rsidRPr="0074017E">
            <w:rPr>
              <w:rFonts w:cs="Arial"/>
              <w:noProof/>
              <w:szCs w:val="20"/>
            </w:rPr>
            <w:t>[15]</w:t>
          </w:r>
          <w:r w:rsidR="00517FEF">
            <w:rPr>
              <w:rFonts w:cs="Arial"/>
              <w:szCs w:val="20"/>
            </w:rPr>
            <w:fldChar w:fldCharType="end"/>
          </w:r>
        </w:sdtContent>
      </w:sdt>
      <w:r w:rsidRPr="001F2A18">
        <w:rPr>
          <w:rFonts w:cs="Arial"/>
          <w:szCs w:val="20"/>
        </w:rPr>
        <w:t>.</w:t>
      </w:r>
    </w:p>
    <w:p w14:paraId="12E32A29" w14:textId="0EA38303" w:rsidR="00A807E4" w:rsidRPr="005B0FA3" w:rsidRDefault="0053337F" w:rsidP="00623C1B">
      <w:pPr>
        <w:pStyle w:val="Heading3"/>
        <w:spacing w:before="100" w:beforeAutospacing="1" w:after="100" w:afterAutospacing="1"/>
      </w:pPr>
      <w:r w:rsidRPr="005B0FA3">
        <w:t>5.2.3 Systemic Instability — rolling standard deviation features</w:t>
      </w:r>
    </w:p>
    <w:p w14:paraId="2FD53173" w14:textId="77777777" w:rsidR="00A807E4" w:rsidRPr="001F2A18" w:rsidRDefault="00000000" w:rsidP="00623C1B">
      <w:pPr>
        <w:spacing w:before="100" w:beforeAutospacing="1" w:after="100" w:afterAutospacing="1"/>
        <w:jc w:val="both"/>
        <w:rPr>
          <w:rFonts w:cs="Arial"/>
          <w:szCs w:val="20"/>
        </w:rPr>
      </w:pPr>
      <w:r w:rsidRPr="001F2A18">
        <w:rPr>
          <w:rFonts w:cs="Arial"/>
          <w:szCs w:val="20"/>
        </w:rPr>
        <w:t>The rolling standard deviation over the same window quantifies the variability of the sensor signal on the same temporal scale:</w:t>
      </w:r>
    </w:p>
    <w:p w14:paraId="6D36CAC9" w14:textId="3FAD65BA" w:rsidR="00A807E4" w:rsidRPr="000B66C8" w:rsidRDefault="000B66C8" w:rsidP="00623C1B">
      <w:pPr>
        <w:spacing w:before="100" w:beforeAutospacing="1" w:after="100" w:afterAutospacing="1"/>
        <w:jc w:val="center"/>
        <w:rPr>
          <w:rFonts w:cs="Arial"/>
          <w:iCs/>
          <w:szCs w:val="20"/>
        </w:rPr>
      </w:pPr>
      <m:oMathPara>
        <m:oMath>
          <m:r>
            <m:rPr>
              <m:sty m:val="p"/>
            </m:rPr>
            <w:rPr>
              <w:rFonts w:ascii="Cambria Math" w:hAnsi="Cambria Math" w:cs="Arial"/>
              <w:color w:val="0D1B2A"/>
              <w:szCs w:val="20"/>
            </w:rPr>
            <m:t>rst</m:t>
          </m:r>
          <m:sSub>
            <m:sSubPr>
              <m:ctrlPr>
                <w:rPr>
                  <w:rFonts w:ascii="Cambria Math" w:hAnsi="Cambria Math" w:cs="Arial"/>
                  <w:iCs/>
                  <w:color w:val="0D1B2A"/>
                  <w:szCs w:val="20"/>
                </w:rPr>
              </m:ctrlPr>
            </m:sSubPr>
            <m:e>
              <m:r>
                <m:rPr>
                  <m:sty m:val="p"/>
                </m:rPr>
                <w:rPr>
                  <w:rFonts w:ascii="Cambria Math" w:hAnsi="Cambria Math" w:cs="Arial"/>
                  <w:color w:val="0D1B2A"/>
                  <w:szCs w:val="20"/>
                </w:rPr>
                <m:t>d</m:t>
              </m:r>
            </m:e>
            <m:sub>
              <m:r>
                <m:rPr>
                  <m:sty m:val="p"/>
                </m:rPr>
                <w:rPr>
                  <w:rFonts w:ascii="Cambria Math" w:hAnsi="Cambria Math" w:cs="Arial"/>
                  <w:color w:val="0D1B2A"/>
                  <w:szCs w:val="20"/>
                </w:rPr>
                <m:t>x</m:t>
              </m:r>
            </m:sub>
          </m:sSub>
          <m:d>
            <m:dPr>
              <m:ctrlPr>
                <w:rPr>
                  <w:rFonts w:ascii="Cambria Math" w:hAnsi="Cambria Math" w:cs="Arial"/>
                  <w:iCs/>
                  <w:color w:val="0D1B2A"/>
                  <w:szCs w:val="20"/>
                </w:rPr>
              </m:ctrlPr>
            </m:dPr>
            <m:e>
              <m:r>
                <m:rPr>
                  <m:sty m:val="p"/>
                </m:rPr>
                <w:rPr>
                  <w:rFonts w:ascii="Cambria Math" w:hAnsi="Cambria Math" w:cs="Arial"/>
                  <w:color w:val="0D1B2A"/>
                  <w:szCs w:val="20"/>
                </w:rPr>
                <m:t>t</m:t>
              </m:r>
            </m:e>
          </m:d>
          <m:r>
            <m:rPr>
              <m:sty m:val="p"/>
            </m:rPr>
            <w:rPr>
              <w:rFonts w:ascii="Cambria Math" w:hAnsi="Cambria Math" w:cs="Arial"/>
              <w:color w:val="0D1B2A"/>
              <w:szCs w:val="20"/>
            </w:rPr>
            <m:t>=</m:t>
          </m:r>
          <m:rad>
            <m:radPr>
              <m:degHide m:val="1"/>
              <m:ctrlPr>
                <w:rPr>
                  <w:rFonts w:ascii="Cambria Math" w:hAnsi="Cambria Math" w:cs="Arial"/>
                  <w:iCs/>
                  <w:color w:val="0D1B2A"/>
                  <w:szCs w:val="20"/>
                </w:rPr>
              </m:ctrlPr>
            </m:radPr>
            <m:deg/>
            <m:e>
              <m:d>
                <m:dPr>
                  <m:ctrlPr>
                    <w:rPr>
                      <w:rFonts w:ascii="Cambria Math" w:hAnsi="Cambria Math" w:cs="Arial"/>
                      <w:iCs/>
                      <w:color w:val="0D1B2A"/>
                      <w:szCs w:val="20"/>
                    </w:rPr>
                  </m:ctrlPr>
                </m:dPr>
                <m:e>
                  <m:f>
                    <m:fPr>
                      <m:ctrlPr>
                        <w:rPr>
                          <w:rFonts w:ascii="Cambria Math" w:hAnsi="Cambria Math" w:cs="Arial"/>
                          <w:iCs/>
                          <w:color w:val="0D1B2A"/>
                          <w:szCs w:val="20"/>
                        </w:rPr>
                      </m:ctrlPr>
                    </m:fPr>
                    <m:num>
                      <m:r>
                        <m:rPr>
                          <m:sty m:val="p"/>
                        </m:rPr>
                        <w:rPr>
                          <w:rFonts w:ascii="Cambria Math" w:hAnsi="Cambria Math" w:cs="Arial"/>
                          <w:color w:val="0D1B2A"/>
                          <w:szCs w:val="20"/>
                        </w:rPr>
                        <m:t>1</m:t>
                      </m:r>
                    </m:num>
                    <m:den>
                      <m:r>
                        <m:rPr>
                          <m:sty m:val="p"/>
                        </m:rPr>
                        <w:rPr>
                          <w:rFonts w:ascii="Cambria Math" w:hAnsi="Cambria Math" w:cs="Arial"/>
                          <w:color w:val="0D1B2A"/>
                          <w:szCs w:val="20"/>
                        </w:rPr>
                        <m:t>W-1</m:t>
                      </m:r>
                    </m:den>
                  </m:f>
                  <m:r>
                    <m:rPr>
                      <m:sty m:val="p"/>
                    </m:rPr>
                    <w:rPr>
                      <w:rFonts w:ascii="Cambria Math" w:hAnsi="Cambria Math" w:cs="Arial"/>
                      <w:color w:val="0D1B2A"/>
                      <w:szCs w:val="20"/>
                    </w:rPr>
                    <m:t>⋅</m:t>
                  </m:r>
                  <m:nary>
                    <m:naryPr>
                      <m:chr m:val="∑"/>
                      <m:ctrlPr>
                        <w:rPr>
                          <w:rFonts w:ascii="Cambria Math" w:hAnsi="Cambria Math" w:cs="Arial"/>
                          <w:iCs/>
                          <w:color w:val="0D1B2A"/>
                          <w:szCs w:val="20"/>
                        </w:rPr>
                      </m:ctrlPr>
                    </m:naryPr>
                    <m:sub>
                      <m:r>
                        <m:rPr>
                          <m:sty m:val="p"/>
                        </m:rPr>
                        <w:rPr>
                          <w:rFonts w:ascii="Cambria Math" w:hAnsi="Cambria Math" w:cs="Arial"/>
                          <w:color w:val="0D1B2A"/>
                          <w:szCs w:val="20"/>
                        </w:rPr>
                        <m:t>i=0</m:t>
                      </m:r>
                    </m:sub>
                    <m:sup>
                      <m:r>
                        <m:rPr>
                          <m:sty m:val="p"/>
                        </m:rPr>
                        <w:rPr>
                          <w:rFonts w:ascii="Cambria Math" w:hAnsi="Cambria Math" w:cs="Arial"/>
                          <w:color w:val="0D1B2A"/>
                          <w:szCs w:val="20"/>
                        </w:rPr>
                        <m:t>W-1</m:t>
                      </m:r>
                    </m:sup>
                    <m:e>
                      <m:sSup>
                        <m:sSupPr>
                          <m:ctrlPr>
                            <w:rPr>
                              <w:rFonts w:ascii="Cambria Math" w:hAnsi="Cambria Math" w:cs="Arial"/>
                              <w:iCs/>
                              <w:color w:val="0D1B2A"/>
                              <w:szCs w:val="20"/>
                            </w:rPr>
                          </m:ctrlPr>
                        </m:sSupPr>
                        <m:e>
                          <m:d>
                            <m:dPr>
                              <m:ctrlPr>
                                <w:rPr>
                                  <w:rFonts w:ascii="Cambria Math" w:hAnsi="Cambria Math" w:cs="Arial"/>
                                  <w:iCs/>
                                  <w:color w:val="0D1B2A"/>
                                  <w:szCs w:val="20"/>
                                </w:rPr>
                              </m:ctrlPr>
                            </m:dPr>
                            <m:e>
                              <m:r>
                                <m:rPr>
                                  <m:sty m:val="p"/>
                                </m:rPr>
                                <w:rPr>
                                  <w:rFonts w:ascii="Cambria Math" w:hAnsi="Cambria Math" w:cs="Arial"/>
                                  <w:color w:val="0D1B2A"/>
                                  <w:szCs w:val="20"/>
                                </w:rPr>
                                <m:t>x</m:t>
                              </m:r>
                              <m:d>
                                <m:dPr>
                                  <m:ctrlPr>
                                    <w:rPr>
                                      <w:rFonts w:ascii="Cambria Math" w:hAnsi="Cambria Math" w:cs="Arial"/>
                                      <w:iCs/>
                                      <w:color w:val="0D1B2A"/>
                                      <w:szCs w:val="20"/>
                                    </w:rPr>
                                  </m:ctrlPr>
                                </m:dPr>
                                <m:e>
                                  <m:r>
                                    <w:rPr>
                                      <w:rFonts w:ascii="Cambria Math" w:hAnsi="Cambria Math" w:cs="Arial"/>
                                      <w:color w:val="0D1B2A"/>
                                      <w:szCs w:val="20"/>
                                    </w:rPr>
                                    <m:t>t-i</m:t>
                                  </m:r>
                                </m:e>
                              </m:d>
                              <m:r>
                                <m:rPr>
                                  <m:sty m:val="p"/>
                                </m:rPr>
                                <w:rPr>
                                  <w:rFonts w:ascii="Cambria Math" w:hAnsi="Cambria Math" w:cs="Arial"/>
                                  <w:color w:val="0D1B2A"/>
                                  <w:szCs w:val="20"/>
                                </w:rPr>
                                <m:t>-rmea</m:t>
                              </m:r>
                              <m:sSub>
                                <m:sSubPr>
                                  <m:ctrlPr>
                                    <w:rPr>
                                      <w:rFonts w:ascii="Cambria Math" w:hAnsi="Cambria Math" w:cs="Arial"/>
                                      <w:iCs/>
                                      <w:color w:val="0D1B2A"/>
                                      <w:szCs w:val="20"/>
                                    </w:rPr>
                                  </m:ctrlPr>
                                </m:sSubPr>
                                <m:e>
                                  <m:r>
                                    <m:rPr>
                                      <m:sty m:val="p"/>
                                    </m:rPr>
                                    <w:rPr>
                                      <w:rFonts w:ascii="Cambria Math" w:hAnsi="Cambria Math" w:cs="Arial"/>
                                      <w:color w:val="0D1B2A"/>
                                      <w:szCs w:val="20"/>
                                    </w:rPr>
                                    <m:t>n</m:t>
                                  </m:r>
                                </m:e>
                                <m:sub>
                                  <m:r>
                                    <m:rPr>
                                      <m:sty m:val="p"/>
                                    </m:rPr>
                                    <w:rPr>
                                      <w:rFonts w:ascii="Cambria Math" w:hAnsi="Cambria Math" w:cs="Arial"/>
                                      <w:color w:val="0D1B2A"/>
                                      <w:szCs w:val="20"/>
                                    </w:rPr>
                                    <m:t>x</m:t>
                                  </m:r>
                                </m:sub>
                              </m:sSub>
                              <m:d>
                                <m:dPr>
                                  <m:ctrlPr>
                                    <w:rPr>
                                      <w:rFonts w:ascii="Cambria Math" w:hAnsi="Cambria Math" w:cs="Arial"/>
                                      <w:iCs/>
                                      <w:color w:val="0D1B2A"/>
                                      <w:szCs w:val="20"/>
                                    </w:rPr>
                                  </m:ctrlPr>
                                </m:dPr>
                                <m:e>
                                  <m:r>
                                    <m:rPr>
                                      <m:sty m:val="p"/>
                                    </m:rPr>
                                    <w:rPr>
                                      <w:rFonts w:ascii="Cambria Math" w:hAnsi="Cambria Math" w:cs="Arial"/>
                                      <w:color w:val="0D1B2A"/>
                                      <w:szCs w:val="20"/>
                                    </w:rPr>
                                    <m:t>t</m:t>
                                  </m:r>
                                </m:e>
                              </m:d>
                            </m:e>
                          </m:d>
                        </m:e>
                        <m:sup>
                          <m:r>
                            <m:rPr>
                              <m:sty m:val="p"/>
                            </m:rPr>
                            <w:rPr>
                              <w:rFonts w:ascii="Cambria Math" w:hAnsi="Cambria Math" w:cs="Arial"/>
                              <w:color w:val="0D1B2A"/>
                              <w:szCs w:val="20"/>
                            </w:rPr>
                            <m:t>2</m:t>
                          </m:r>
                        </m:sup>
                      </m:sSup>
                    </m:e>
                  </m:nary>
                </m:e>
              </m:d>
            </m:e>
          </m:rad>
        </m:oMath>
      </m:oMathPara>
    </w:p>
    <w:p w14:paraId="47CE2CE8" w14:textId="6BFEFA3F" w:rsidR="00A807E4" w:rsidRPr="001F2A18" w:rsidRDefault="00000000" w:rsidP="00623C1B">
      <w:pPr>
        <w:spacing w:before="100" w:beforeAutospacing="1" w:after="100" w:afterAutospacing="1"/>
        <w:jc w:val="both"/>
        <w:rPr>
          <w:rFonts w:cs="Arial"/>
          <w:szCs w:val="20"/>
        </w:rPr>
      </w:pPr>
      <w:r w:rsidRPr="001F2A18">
        <w:rPr>
          <w:rFonts w:cs="Arial"/>
          <w:szCs w:val="20"/>
        </w:rPr>
        <w:t xml:space="preserve">Increasing rstd in the terminal phase is a signature of the "noisification" of sensor signals that accompanies progressive mechanical degradation — as bearing wear, blade erosion, or seal leakage develop, the deterministic periodic signal of the </w:t>
      </w:r>
      <w:r w:rsidR="00C621B6" w:rsidRPr="001F2A18">
        <w:rPr>
          <w:rFonts w:cs="Arial"/>
          <w:szCs w:val="20"/>
        </w:rPr>
        <w:t>turbo</w:t>
      </w:r>
      <w:r w:rsidR="00C621B6">
        <w:rPr>
          <w:rFonts w:cs="Arial"/>
          <w:szCs w:val="20"/>
        </w:rPr>
        <w:t>machine</w:t>
      </w:r>
      <w:r w:rsidRPr="001F2A18">
        <w:rPr>
          <w:rFonts w:cs="Arial"/>
          <w:szCs w:val="20"/>
        </w:rPr>
        <w:t xml:space="preserve"> is disrupted, and measurement variability </w:t>
      </w:r>
      <w:r w:rsidRPr="001F2A18">
        <w:rPr>
          <w:rFonts w:cs="Arial"/>
          <w:szCs w:val="20"/>
        </w:rPr>
        <w:lastRenderedPageBreak/>
        <w:t>increases. This is related to the concept of increasing signal entropy prior to failure, described in the context of rotating machinery diagnostics by Antoni (2006)</w:t>
      </w:r>
      <w:sdt>
        <w:sdtPr>
          <w:rPr>
            <w:rFonts w:cs="Arial"/>
            <w:szCs w:val="20"/>
          </w:rPr>
          <w:id w:val="1491291347"/>
          <w:citation/>
        </w:sdtPr>
        <w:sdtContent>
          <w:r w:rsidR="00C621B6">
            <w:rPr>
              <w:rFonts w:cs="Arial"/>
              <w:szCs w:val="20"/>
            </w:rPr>
            <w:fldChar w:fldCharType="begin"/>
          </w:r>
          <w:r w:rsidR="00C621B6">
            <w:rPr>
              <w:rFonts w:cs="Arial"/>
              <w:szCs w:val="20"/>
            </w:rPr>
            <w:instrText xml:space="preserve"> CITATION Ant06 \l 2057 </w:instrText>
          </w:r>
          <w:r w:rsidR="00C621B6">
            <w:rPr>
              <w:rFonts w:cs="Arial"/>
              <w:szCs w:val="20"/>
            </w:rPr>
            <w:fldChar w:fldCharType="separate"/>
          </w:r>
          <w:r w:rsidR="0074017E">
            <w:rPr>
              <w:rFonts w:cs="Arial"/>
              <w:noProof/>
              <w:szCs w:val="20"/>
            </w:rPr>
            <w:t xml:space="preserve"> </w:t>
          </w:r>
          <w:r w:rsidR="0074017E" w:rsidRPr="0074017E">
            <w:rPr>
              <w:rFonts w:cs="Arial"/>
              <w:noProof/>
              <w:szCs w:val="20"/>
            </w:rPr>
            <w:t>[16]</w:t>
          </w:r>
          <w:r w:rsidR="00C621B6">
            <w:rPr>
              <w:rFonts w:cs="Arial"/>
              <w:szCs w:val="20"/>
            </w:rPr>
            <w:fldChar w:fldCharType="end"/>
          </w:r>
        </w:sdtContent>
      </w:sdt>
      <w:r w:rsidRPr="001F2A18">
        <w:rPr>
          <w:rFonts w:cs="Arial"/>
          <w:szCs w:val="20"/>
        </w:rPr>
        <w:t xml:space="preserve">. The </w:t>
      </w:r>
      <w:r w:rsidRPr="000B66C8">
        <w:rPr>
          <w:rFonts w:ascii="Courier New" w:hAnsi="Courier New" w:cs="Courier New"/>
          <w:szCs w:val="20"/>
        </w:rPr>
        <w:t>min_periods=1</w:t>
      </w:r>
      <w:r w:rsidRPr="001F2A18">
        <w:rPr>
          <w:rFonts w:cs="Arial"/>
          <w:szCs w:val="20"/>
        </w:rPr>
        <w:t xml:space="preserve"> parameter allows computation from the first cycle, with the NaN-fill convention applied consistently as in the delta operator.</w:t>
      </w:r>
    </w:p>
    <w:bookmarkEnd w:id="8"/>
    <w:p w14:paraId="4B9DA223" w14:textId="01A38317" w:rsidR="00A807E4" w:rsidRPr="005B0FA3" w:rsidRDefault="0053337F" w:rsidP="00623C1B">
      <w:pPr>
        <w:pStyle w:val="Heading2"/>
        <w:spacing w:before="100" w:beforeAutospacing="1" w:after="100" w:afterAutospacing="1"/>
      </w:pPr>
      <w:r w:rsidRPr="005B0FA3">
        <w:t>5.3  Step 3 — Thermodynamic Virtual Sensors (3 Features</w:t>
      </w:r>
      <w:r w:rsidR="00B70C04">
        <w:t>—Cell 2</w:t>
      </w:r>
      <w:r w:rsidR="002A3148">
        <w:t>4</w:t>
      </w:r>
      <w:r w:rsidRPr="005B0FA3">
        <w:t>)</w:t>
      </w:r>
    </w:p>
    <w:p w14:paraId="7961FB18" w14:textId="77777777" w:rsidR="00A807E4" w:rsidRPr="001F2A18" w:rsidRDefault="00000000" w:rsidP="00623C1B">
      <w:pPr>
        <w:spacing w:before="100" w:beforeAutospacing="1" w:after="100" w:afterAutospacing="1"/>
        <w:jc w:val="both"/>
        <w:rPr>
          <w:rFonts w:cs="Arial"/>
          <w:szCs w:val="20"/>
        </w:rPr>
      </w:pPr>
      <w:r w:rsidRPr="001F2A18">
        <w:rPr>
          <w:rFonts w:cs="Arial"/>
          <w:szCs w:val="20"/>
        </w:rPr>
        <w:t>Three virtual sensor channels are constructed by combining raw sensor signals according to physics-derived formulae. Virtual sensors encode domain knowledge about the thermodynamic cycle of the turbofan, making physically meaningful composite quantities directly available to the learner rather than requiring the model to infer them implicitly from individual channel combinations.</w:t>
      </w:r>
    </w:p>
    <w:p w14:paraId="3EEAB484" w14:textId="70A8B90D" w:rsidR="00A807E4" w:rsidRPr="005B0FA3" w:rsidRDefault="0053337F" w:rsidP="00623C1B">
      <w:pPr>
        <w:pStyle w:val="Heading3"/>
        <w:spacing w:before="100" w:beforeAutospacing="1" w:after="100" w:afterAutospacing="1"/>
      </w:pPr>
      <w:r w:rsidRPr="005B0FA3">
        <w:t>5.3.1  Compressor Pressure-Temperature Ratio (CPR)</w:t>
      </w:r>
    </w:p>
    <w:p w14:paraId="4D1BFBE7" w14:textId="5AC32C0C" w:rsidR="00A807E4" w:rsidRPr="000D6E34" w:rsidRDefault="00000000" w:rsidP="00623C1B">
      <w:pPr>
        <w:spacing w:before="100" w:beforeAutospacing="1" w:after="100" w:afterAutospacing="1"/>
        <w:jc w:val="both"/>
        <w:rPr>
          <w:rFonts w:cs="Arial"/>
          <w:szCs w:val="20"/>
        </w:rPr>
      </w:pPr>
      <w:bookmarkStart w:id="9" w:name="OLE_LINK10"/>
      <w:r w:rsidRPr="000D6E34">
        <w:rPr>
          <w:rFonts w:cs="Arial"/>
          <w:szCs w:val="20"/>
        </w:rPr>
        <w:t xml:space="preserve">The CPR </w:t>
      </w:r>
      <w:r w:rsidR="00C621B6">
        <w:rPr>
          <w:rFonts w:cs="Arial"/>
          <w:szCs w:val="20"/>
        </w:rPr>
        <w:t xml:space="preserve">is defined </w:t>
      </w:r>
      <w:r w:rsidRPr="000D6E34">
        <w:rPr>
          <w:rFonts w:cs="Arial"/>
          <w:szCs w:val="20"/>
        </w:rPr>
        <w:t xml:space="preserve">as the ratio s7/s5 (P30/P2, HPC outlet to fan inlet pressure). However, s5 is a regime-dead sensor in z-normalised space (variance </w:t>
      </w:r>
      <m:oMath>
        <m:r>
          <w:rPr>
            <w:rFonts w:ascii="Cambria Math" w:hAnsi="Cambria Math" w:cs="Arial"/>
            <w:szCs w:val="20"/>
          </w:rPr>
          <m:t>≈0</m:t>
        </m:r>
      </m:oMath>
      <w:r w:rsidRPr="000D6E34">
        <w:rPr>
          <w:rFonts w:cs="Arial"/>
          <w:szCs w:val="20"/>
        </w:rPr>
        <w:t>), making the denominator identically zero and the ratio degenerate. The specification was revised to s7/s3 (P30/T30)</w:t>
      </w:r>
      <w:bookmarkEnd w:id="9"/>
      <w:r w:rsidR="00057410" w:rsidRPr="007E58CE">
        <w:rPr>
          <w:rStyle w:val="FootnoteReference"/>
          <w:rFonts w:cs="Arial"/>
          <w:color w:val="E97132" w:themeColor="accent2"/>
          <w:szCs w:val="20"/>
        </w:rPr>
        <w:footnoteReference w:id="9"/>
      </w:r>
      <w:r w:rsidRPr="000D6E34">
        <w:rPr>
          <w:rFonts w:cs="Arial"/>
          <w:szCs w:val="20"/>
        </w:rPr>
        <w:t>:</w:t>
      </w:r>
    </w:p>
    <w:p w14:paraId="7E425EB1" w14:textId="1CCF9F84" w:rsidR="00A807E4" w:rsidRPr="00C621B6" w:rsidRDefault="00C621B6" w:rsidP="00623C1B">
      <w:pPr>
        <w:spacing w:before="100" w:beforeAutospacing="1" w:after="100" w:afterAutospacing="1"/>
        <w:jc w:val="center"/>
        <w:rPr>
          <w:rFonts w:cs="Arial"/>
          <w:szCs w:val="20"/>
        </w:rPr>
      </w:pPr>
      <m:oMathPara>
        <m:oMath>
          <m:r>
            <w:rPr>
              <w:rFonts w:ascii="Cambria Math" w:hAnsi="Cambria Math" w:cs="Arial"/>
              <w:color w:val="0D1B2A"/>
              <w:szCs w:val="20"/>
            </w:rPr>
            <m:t>CPR=</m:t>
          </m:r>
          <m:f>
            <m:fPr>
              <m:ctrlPr>
                <w:rPr>
                  <w:rFonts w:ascii="Cambria Math" w:hAnsi="Cambria Math" w:cs="Arial"/>
                  <w:color w:val="0D1B2A"/>
                  <w:szCs w:val="20"/>
                </w:rPr>
              </m:ctrlPr>
            </m:fPr>
            <m:num>
              <m:r>
                <w:rPr>
                  <w:rFonts w:ascii="Cambria Math" w:hAnsi="Cambria Math" w:cs="Arial"/>
                  <w:color w:val="0D1B2A"/>
                  <w:szCs w:val="20"/>
                </w:rPr>
                <m:t>P30</m:t>
              </m:r>
              <m:ctrlPr>
                <w:rPr>
                  <w:rFonts w:ascii="Cambria Math" w:hAnsi="Cambria Math" w:cs="Arial"/>
                  <w:i/>
                  <w:color w:val="0D1B2A"/>
                  <w:szCs w:val="20"/>
                </w:rPr>
              </m:ctrlPr>
            </m:num>
            <m:den>
              <m:r>
                <w:rPr>
                  <w:rFonts w:ascii="Cambria Math" w:hAnsi="Cambria Math" w:cs="Arial"/>
                  <w:color w:val="0D1B2A"/>
                  <w:szCs w:val="20"/>
                </w:rPr>
                <m:t>T30</m:t>
              </m:r>
              <m:ctrlPr>
                <w:rPr>
                  <w:rFonts w:ascii="Cambria Math" w:hAnsi="Cambria Math" w:cs="Arial"/>
                  <w:i/>
                  <w:color w:val="0D1B2A"/>
                  <w:szCs w:val="20"/>
                </w:rPr>
              </m:ctrlPr>
            </m:den>
          </m:f>
          <m:r>
            <w:rPr>
              <w:rFonts w:ascii="Cambria Math" w:hAnsi="Cambria Math" w:cs="Arial"/>
              <w:color w:val="0D1B2A"/>
              <w:szCs w:val="20"/>
            </w:rPr>
            <m:t>=</m:t>
          </m:r>
          <m:f>
            <m:fPr>
              <m:ctrlPr>
                <w:rPr>
                  <w:rFonts w:ascii="Cambria Math" w:hAnsi="Cambria Math" w:cs="Arial"/>
                  <w:color w:val="0D1B2A"/>
                  <w:szCs w:val="20"/>
                </w:rPr>
              </m:ctrlPr>
            </m:fPr>
            <m:num>
              <m:r>
                <w:rPr>
                  <w:rFonts w:ascii="Cambria Math" w:hAnsi="Cambria Math" w:cs="Arial"/>
                  <w:color w:val="0D1B2A"/>
                  <w:szCs w:val="20"/>
                </w:rPr>
                <m:t>s7</m:t>
              </m:r>
              <m:ctrlPr>
                <w:rPr>
                  <w:rFonts w:ascii="Cambria Math" w:hAnsi="Cambria Math" w:cs="Arial"/>
                  <w:i/>
                  <w:color w:val="0D1B2A"/>
                  <w:szCs w:val="20"/>
                </w:rPr>
              </m:ctrlPr>
            </m:num>
            <m:den>
              <m:r>
                <w:rPr>
                  <w:rFonts w:ascii="Cambria Math" w:hAnsi="Cambria Math" w:cs="Arial"/>
                  <w:color w:val="0D1B2A"/>
                  <w:szCs w:val="20"/>
                </w:rPr>
                <m:t>s3</m:t>
              </m:r>
              <m:ctrlPr>
                <w:rPr>
                  <w:rFonts w:ascii="Cambria Math" w:hAnsi="Cambria Math" w:cs="Arial"/>
                  <w:i/>
                  <w:color w:val="0D1B2A"/>
                  <w:szCs w:val="20"/>
                </w:rPr>
              </m:ctrlPr>
            </m:den>
          </m:f>
        </m:oMath>
      </m:oMathPara>
    </w:p>
    <w:p w14:paraId="167AA9B9" w14:textId="17EA8FD6"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This ratio is proportional to gas density at the HPC outlet by the ideal gas law </w:t>
      </w:r>
      <m:oMath>
        <m:d>
          <m:dPr>
            <m:ctrlPr>
              <w:rPr>
                <w:rFonts w:ascii="Cambria Math" w:hAnsi="Cambria Math" w:cs="Arial"/>
                <w:i/>
                <w:szCs w:val="20"/>
              </w:rPr>
            </m:ctrlPr>
          </m:dPr>
          <m:e>
            <m:r>
              <m:rPr>
                <m:sty m:val="p"/>
              </m:rPr>
              <w:rPr>
                <w:rFonts w:ascii="Cambria Math" w:hAnsi="Cambria Math" w:cs="Arial"/>
                <w:szCs w:val="20"/>
              </w:rPr>
              <m:t>ρ∝</m:t>
            </m:r>
            <m:f>
              <m:fPr>
                <m:ctrlPr>
                  <w:rPr>
                    <w:rFonts w:ascii="Cambria Math" w:hAnsi="Cambria Math" w:cs="Arial"/>
                    <w:szCs w:val="20"/>
                  </w:rPr>
                </m:ctrlPr>
              </m:fPr>
              <m:num>
                <m:r>
                  <w:rPr>
                    <w:rFonts w:ascii="Cambria Math" w:hAnsi="Cambria Math" w:cs="Arial"/>
                    <w:szCs w:val="20"/>
                  </w:rPr>
                  <m:t>P</m:t>
                </m:r>
                <m:ctrlPr>
                  <w:rPr>
                    <w:rFonts w:ascii="Cambria Math" w:hAnsi="Cambria Math" w:cs="Arial"/>
                    <w:i/>
                    <w:szCs w:val="20"/>
                  </w:rPr>
                </m:ctrlPr>
              </m:num>
              <m:den>
                <m:r>
                  <w:rPr>
                    <w:rFonts w:ascii="Cambria Math" w:hAnsi="Cambria Math" w:cs="Arial"/>
                    <w:szCs w:val="20"/>
                  </w:rPr>
                  <m:t>T</m:t>
                </m:r>
                <m:ctrlPr>
                  <w:rPr>
                    <w:rFonts w:ascii="Cambria Math" w:hAnsi="Cambria Math" w:cs="Arial"/>
                    <w:i/>
                    <w:szCs w:val="20"/>
                  </w:rPr>
                </m:ctrlPr>
              </m:den>
            </m:f>
          </m:e>
        </m:d>
      </m:oMath>
      <w:r w:rsidRPr="000D6E34">
        <w:rPr>
          <w:rFonts w:cs="Arial"/>
          <w:szCs w:val="20"/>
        </w:rPr>
        <w:t>. Decreasing CPR — falling outlet pressure relative to outlet temperature — indicates declining compressor isentropic efficiency</w:t>
      </w:r>
      <w:r w:rsidR="007E58CE" w:rsidRPr="007E58CE">
        <w:rPr>
          <w:rStyle w:val="FootnoteReference"/>
          <w:rFonts w:cs="Arial"/>
          <w:color w:val="E97132" w:themeColor="accent2"/>
          <w:szCs w:val="20"/>
        </w:rPr>
        <w:footnoteReference w:id="10"/>
      </w:r>
      <w:r w:rsidRPr="000D6E34">
        <w:rPr>
          <w:rFonts w:cs="Arial"/>
          <w:szCs w:val="20"/>
        </w:rPr>
        <w:t xml:space="preserve">, a key signature of HPC blade degradation. The safe-division guard </w:t>
      </w:r>
      <w:r w:rsidR="003F2F9D" w:rsidRPr="003F2F9D">
        <w:rPr>
          <w:rFonts w:cs="Arial"/>
          <w:szCs w:val="20"/>
        </w:rPr>
        <w:t>(</w:t>
      </w:r>
      <m:oMath>
        <m:d>
          <m:dPr>
            <m:begChr m:val="|"/>
            <m:endChr m:val="|"/>
            <m:ctrlPr>
              <w:rPr>
                <w:rFonts w:ascii="Cambria Math" w:hAnsi="Cambria Math" w:cs="Arial"/>
                <w:i/>
                <w:szCs w:val="20"/>
              </w:rPr>
            </m:ctrlPr>
          </m:dPr>
          <m:e>
            <m:r>
              <m:rPr>
                <m:nor/>
              </m:rPr>
              <w:rPr>
                <w:rFonts w:ascii="Cambria Math" w:hAnsi="Cambria Math" w:cs="Arial"/>
                <w:szCs w:val="20"/>
              </w:rPr>
              <m:t>denominator</m:t>
            </m:r>
          </m:e>
        </m:d>
        <m:r>
          <w:rPr>
            <w:rFonts w:ascii="Cambria Math" w:hAnsi="Cambria Math" w:cs="Arial"/>
            <w:szCs w:val="20"/>
          </w:rPr>
          <m:t>&lt;</m:t>
        </m:r>
        <m:sSup>
          <m:sSupPr>
            <m:ctrlPr>
              <w:rPr>
                <w:rFonts w:ascii="Cambria Math" w:hAnsi="Cambria Math" w:cs="Arial"/>
                <w:i/>
                <w:szCs w:val="20"/>
              </w:rPr>
            </m:ctrlPr>
          </m:sSupPr>
          <m:e>
            <m:r>
              <w:rPr>
                <w:rFonts w:ascii="Cambria Math" w:hAnsi="Cambria Math" w:cs="Arial"/>
                <w:szCs w:val="20"/>
              </w:rPr>
              <m:t>10</m:t>
            </m:r>
          </m:e>
          <m:sup>
            <m:r>
              <w:rPr>
                <w:rFonts w:ascii="Cambria Math" w:hAnsi="Cambria Math" w:cs="Arial"/>
                <w:szCs w:val="20"/>
              </w:rPr>
              <m:t>-6</m:t>
            </m:r>
          </m:sup>
        </m:sSup>
      </m:oMath>
      <w:r w:rsidRPr="000D6E34">
        <w:rPr>
          <w:rFonts w:cs="Arial"/>
          <w:szCs w:val="20"/>
        </w:rPr>
        <w:t xml:space="preserve"> replaced by NaN, then filled with 0) prevents numerical explosion when s3 is near its regime mean (approximately zero in z-space).</w:t>
      </w:r>
    </w:p>
    <w:p w14:paraId="6E64A182" w14:textId="6BBF7622" w:rsidR="0074017E" w:rsidRDefault="00000000" w:rsidP="00623C1B">
      <w:pPr>
        <w:spacing w:before="100" w:beforeAutospacing="1" w:after="100" w:afterAutospacing="1"/>
        <w:jc w:val="both"/>
        <w:rPr>
          <w:rFonts w:cs="Arial"/>
          <w:szCs w:val="20"/>
        </w:rPr>
      </w:pPr>
      <w:bookmarkStart w:id="10" w:name="OLE_LINK11"/>
      <w:r w:rsidRPr="000D6E34">
        <w:rPr>
          <w:rFonts w:cs="Arial"/>
          <w:szCs w:val="20"/>
        </w:rPr>
        <w:t xml:space="preserve">The CPR distribution exhibits extreme positive skewness (skew = 41.20, excess kurtosis = 8,403.77, std = 66.95). This high kurtosis arises from the heavy-tailed ratio distribution when the denominator approaches zero, producing occasional very large positive or negative values. </w:t>
      </w:r>
      <w:r w:rsidR="0074017E">
        <w:t xml:space="preserve">Tree-based models are invariant to monotone transformations; however, the heavy tail may disproportionately influence split allocation in XGBoost, concentrating tree capacity on extreme tail values at the expense of mid-range degradation discrimination. For neural-network-based SOTA benchmarks (DeepAR, TFT, PatchTST), the extreme kurtosis (8,403.77) renders raw CPR unsuitable as a training input — a Yeo-Johnson power </w:t>
      </w:r>
      <w:r w:rsidR="0074017E">
        <w:lastRenderedPageBreak/>
        <w:t>transform</w:t>
      </w:r>
      <w:sdt>
        <w:sdtPr>
          <w:id w:val="333657830"/>
          <w:citation/>
        </w:sdtPr>
        <w:sdtContent>
          <w:r w:rsidR="0074017E">
            <w:fldChar w:fldCharType="begin"/>
          </w:r>
          <w:r w:rsidR="0074017E">
            <w:instrText xml:space="preserve"> CITATION Yeo00 \l 2057 </w:instrText>
          </w:r>
          <w:r w:rsidR="0074017E">
            <w:fldChar w:fldCharType="separate"/>
          </w:r>
          <w:r w:rsidR="0074017E">
            <w:rPr>
              <w:noProof/>
            </w:rPr>
            <w:t xml:space="preserve"> [17]</w:t>
          </w:r>
          <w:r w:rsidR="0074017E">
            <w:fldChar w:fldCharType="end"/>
          </w:r>
        </w:sdtContent>
      </w:sdt>
      <w:r w:rsidR="0074017E">
        <w:t xml:space="preserve"> or rank normalisation is </w:t>
      </w:r>
      <w:r w:rsidR="0074017E">
        <w:rPr>
          <w:rStyle w:val="Strong"/>
        </w:rPr>
        <w:t>mandatory</w:t>
      </w:r>
      <w:r w:rsidR="0074017E">
        <w:t xml:space="preserve"> before neural network training in Phase 4. This is formally registered as a MANDATORY transfer item in Table 21, Item G5.</w:t>
      </w:r>
    </w:p>
    <w:bookmarkEnd w:id="10"/>
    <w:p w14:paraId="68E21561" w14:textId="1BB6715B" w:rsidR="00057410" w:rsidRPr="006C19B3" w:rsidRDefault="0053337F" w:rsidP="007E58CE">
      <w:pPr>
        <w:pStyle w:val="Heading3"/>
        <w:spacing w:before="100" w:beforeAutospacing="1" w:after="100" w:afterAutospacing="1"/>
      </w:pPr>
      <w:r w:rsidRPr="005B0FA3">
        <w:t xml:space="preserve">5.3.2  Thermal Efficiency Proxy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thermal</m:t>
                </m:r>
              </m:sub>
            </m:sSub>
          </m:e>
        </m:d>
      </m:oMath>
      <w:r w:rsidR="00B70C04">
        <w:t xml:space="preserve"> </w:t>
      </w:r>
    </w:p>
    <w:p w14:paraId="0771224A" w14:textId="30794DF7" w:rsidR="00A807E4" w:rsidRPr="000D6E34" w:rsidRDefault="00000000" w:rsidP="00623C1B">
      <w:pPr>
        <w:spacing w:before="100" w:beforeAutospacing="1" w:after="100" w:afterAutospacing="1"/>
        <w:jc w:val="both"/>
        <w:rPr>
          <w:rFonts w:cs="Arial"/>
          <w:szCs w:val="20"/>
        </w:rPr>
      </w:pPr>
      <w:r w:rsidRPr="000D6E34">
        <w:rPr>
          <w:rFonts w:cs="Arial"/>
          <w:szCs w:val="20"/>
        </w:rPr>
        <w:t>The thermal efficiency proxy</w:t>
      </w:r>
      <w:r w:rsidR="007E58CE" w:rsidRPr="007E58CE">
        <w:rPr>
          <w:rStyle w:val="FootnoteReference"/>
          <w:rFonts w:cs="Arial"/>
          <w:color w:val="E97132" w:themeColor="accent2"/>
          <w:szCs w:val="20"/>
        </w:rPr>
        <w:footnoteReference w:id="11"/>
      </w:r>
      <w:r w:rsidRPr="000D6E34">
        <w:rPr>
          <w:rFonts w:cs="Arial"/>
          <w:szCs w:val="20"/>
        </w:rPr>
        <w:t xml:space="preserve"> is constructed from the fuel-to-static-pressure ratio (phi, s12), HPC static pressure (Ps30, s11), and core speed (Nc, s9):</w:t>
      </w:r>
    </w:p>
    <w:p w14:paraId="3F5E1E15" w14:textId="3BE714BB" w:rsidR="00057410" w:rsidRDefault="00000000" w:rsidP="00057410">
      <w:pPr>
        <w:spacing w:before="100" w:beforeAutospacing="1" w:after="100" w:afterAutospacing="1"/>
        <w:jc w:val="center"/>
        <w:rPr>
          <w:rFonts w:cs="Arial"/>
          <w:szCs w:val="20"/>
        </w:rPr>
      </w:pPr>
      <m:oMathPara>
        <m:oMath>
          <m:sSub>
            <m:sSubPr>
              <m:ctrlPr>
                <w:rPr>
                  <w:rFonts w:ascii="Cambria Math" w:hAnsi="Cambria Math" w:cs="Arial"/>
                  <w:i/>
                  <w:color w:val="0D1B2A"/>
                  <w:szCs w:val="20"/>
                </w:rPr>
              </m:ctrlPr>
            </m:sSubPr>
            <m:e>
              <m:r>
                <w:rPr>
                  <w:rFonts w:ascii="Cambria Math" w:hAnsi="Cambria Math" w:cs="Arial"/>
                  <w:color w:val="0D1B2A"/>
                  <w:szCs w:val="20"/>
                </w:rPr>
                <m:t>E</m:t>
              </m:r>
            </m:e>
            <m:sub>
              <m:r>
                <w:rPr>
                  <w:rFonts w:ascii="Cambria Math" w:hAnsi="Cambria Math" w:cs="Arial"/>
                  <w:color w:val="0D1B2A"/>
                  <w:szCs w:val="20"/>
                </w:rPr>
                <m:t>thermal</m:t>
              </m:r>
            </m:sub>
          </m:sSub>
          <m:r>
            <w:rPr>
              <w:rFonts w:ascii="Cambria Math" w:hAnsi="Cambria Math" w:cs="Arial"/>
              <w:color w:val="0D1B2A"/>
              <w:szCs w:val="20"/>
            </w:rPr>
            <m:t>=</m:t>
          </m:r>
          <m:f>
            <m:fPr>
              <m:ctrlPr>
                <w:rPr>
                  <w:rFonts w:ascii="Cambria Math" w:hAnsi="Cambria Math" w:cs="Arial"/>
                  <w:color w:val="0D1B2A"/>
                  <w:szCs w:val="20"/>
                </w:rPr>
              </m:ctrlPr>
            </m:fPr>
            <m:num>
              <m:r>
                <m:rPr>
                  <m:sty m:val="p"/>
                </m:rPr>
                <w:rPr>
                  <w:rFonts w:ascii="Cambria Math" w:hAnsi="Cambria Math" w:cs="Arial"/>
                  <w:color w:val="0D1B2A"/>
                  <w:szCs w:val="20"/>
                </w:rPr>
                <m:t>ϕ×</m:t>
              </m:r>
              <m:r>
                <w:rPr>
                  <w:rFonts w:ascii="Cambria Math" w:hAnsi="Cambria Math" w:cs="Arial"/>
                  <w:color w:val="0D1B2A"/>
                  <w:szCs w:val="20"/>
                </w:rPr>
                <m:t>Ps30</m:t>
              </m:r>
              <m:ctrlPr>
                <w:rPr>
                  <w:rFonts w:ascii="Cambria Math" w:hAnsi="Cambria Math" w:cs="Arial"/>
                  <w:i/>
                  <w:color w:val="0D1B2A"/>
                  <w:szCs w:val="20"/>
                </w:rPr>
              </m:ctrlPr>
            </m:num>
            <m:den>
              <m:r>
                <w:rPr>
                  <w:rFonts w:ascii="Cambria Math" w:hAnsi="Cambria Math" w:cs="Arial"/>
                  <w:color w:val="0D1B2A"/>
                  <w:szCs w:val="20"/>
                </w:rPr>
                <m:t>Nc</m:t>
              </m:r>
              <m:ctrlPr>
                <w:rPr>
                  <w:rFonts w:ascii="Cambria Math" w:hAnsi="Cambria Math" w:cs="Arial"/>
                  <w:i/>
                  <w:color w:val="0D1B2A"/>
                  <w:szCs w:val="20"/>
                </w:rPr>
              </m:ctrlPr>
            </m:den>
          </m:f>
          <m:r>
            <w:rPr>
              <w:rFonts w:ascii="Cambria Math" w:hAnsi="Cambria Math" w:cs="Arial"/>
              <w:color w:val="0D1B2A"/>
              <w:szCs w:val="20"/>
            </w:rPr>
            <m:t>=</m:t>
          </m:r>
          <m:f>
            <m:fPr>
              <m:ctrlPr>
                <w:rPr>
                  <w:rFonts w:ascii="Cambria Math" w:hAnsi="Cambria Math" w:cs="Arial"/>
                  <w:color w:val="0D1B2A"/>
                  <w:szCs w:val="20"/>
                </w:rPr>
              </m:ctrlPr>
            </m:fPr>
            <m:num>
              <m:r>
                <w:rPr>
                  <w:rFonts w:ascii="Cambria Math" w:hAnsi="Cambria Math" w:cs="Arial"/>
                  <w:color w:val="0D1B2A"/>
                  <w:szCs w:val="20"/>
                </w:rPr>
                <m:t>s12</m:t>
              </m:r>
              <m:r>
                <m:rPr>
                  <m:sty m:val="p"/>
                </m:rPr>
                <w:rPr>
                  <w:rFonts w:ascii="Cambria Math" w:hAnsi="Cambria Math" w:cs="Arial"/>
                  <w:color w:val="0D1B2A"/>
                  <w:szCs w:val="20"/>
                </w:rPr>
                <m:t>×</m:t>
              </m:r>
              <m:r>
                <w:rPr>
                  <w:rFonts w:ascii="Cambria Math" w:hAnsi="Cambria Math" w:cs="Arial"/>
                  <w:color w:val="0D1B2A"/>
                  <w:szCs w:val="20"/>
                </w:rPr>
                <m:t>s11</m:t>
              </m:r>
              <m:ctrlPr>
                <w:rPr>
                  <w:rFonts w:ascii="Cambria Math" w:hAnsi="Cambria Math" w:cs="Arial"/>
                  <w:i/>
                  <w:color w:val="0D1B2A"/>
                  <w:szCs w:val="20"/>
                </w:rPr>
              </m:ctrlPr>
            </m:num>
            <m:den>
              <m:r>
                <w:rPr>
                  <w:rFonts w:ascii="Cambria Math" w:hAnsi="Cambria Math" w:cs="Arial"/>
                  <w:color w:val="0D1B2A"/>
                  <w:szCs w:val="20"/>
                </w:rPr>
                <m:t>s9</m:t>
              </m:r>
              <m:ctrlPr>
                <w:rPr>
                  <w:rFonts w:ascii="Cambria Math" w:hAnsi="Cambria Math" w:cs="Arial"/>
                  <w:i/>
                  <w:color w:val="0D1B2A"/>
                  <w:szCs w:val="20"/>
                </w:rPr>
              </m:ctrlPr>
            </m:den>
          </m:f>
        </m:oMath>
      </m:oMathPara>
      <w:bookmarkStart w:id="11" w:name="OLE_LINK12"/>
    </w:p>
    <w:p w14:paraId="0620F42F" w14:textId="74719DC6"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The numerator product </w:t>
      </w:r>
      <m:oMath>
        <m:r>
          <w:rPr>
            <w:rFonts w:ascii="Cambria Math" w:hAnsi="Cambria Math" w:cs="Arial"/>
            <w:szCs w:val="20"/>
          </w:rPr>
          <m:t>phi × Ps30</m:t>
        </m:r>
      </m:oMath>
      <w:r w:rsidRPr="000D6E34">
        <w:rPr>
          <w:rFonts w:cs="Arial"/>
          <w:szCs w:val="20"/>
        </w:rPr>
        <w:t xml:space="preserve"> approximates the fuel mass flow rate (since phi = fuel flow / Ps30, thus phi × Ps30 = fuel flow). Dividing by core speed Nc produces a quantity proportional to fuel consumption per unit rotor work, which is inversely related to the thermodynamic cycle efficiency. Increasing </w:t>
      </w:r>
      <m:oMath>
        <m:sSub>
          <m:sSubPr>
            <m:ctrlPr>
              <w:rPr>
                <w:rFonts w:ascii="Cambria Math" w:hAnsi="Cambria Math" w:cs="Arial"/>
                <w:i/>
                <w:szCs w:val="20"/>
              </w:rPr>
            </m:ctrlPr>
          </m:sSubPr>
          <m:e>
            <m:r>
              <w:rPr>
                <w:rFonts w:ascii="Cambria Math" w:hAnsi="Cambria Math" w:cs="Arial"/>
                <w:szCs w:val="20"/>
              </w:rPr>
              <m:t>E</m:t>
            </m:r>
          </m:e>
          <m:sub>
            <m:r>
              <w:rPr>
                <w:rFonts w:ascii="Cambria Math" w:hAnsi="Cambria Math" w:cs="Arial"/>
                <w:szCs w:val="20"/>
              </w:rPr>
              <m:t>thermal</m:t>
            </m:r>
          </m:sub>
        </m:sSub>
      </m:oMath>
      <w:r w:rsidR="00B70C04">
        <w:rPr>
          <w:rFonts w:cs="Arial"/>
          <w:szCs w:val="20"/>
        </w:rPr>
        <w:t xml:space="preserve"> </w:t>
      </w:r>
      <w:r w:rsidRPr="000D6E34">
        <w:rPr>
          <w:rFonts w:cs="Arial"/>
          <w:szCs w:val="20"/>
        </w:rPr>
        <w:t xml:space="preserve">over the engine life is consistent with the fuel burn penalty associated with component degradation, a well-documented operational consequence of turbofan deterioration </w:t>
      </w:r>
      <w:bookmarkEnd w:id="11"/>
      <w:sdt>
        <w:sdtPr>
          <w:rPr>
            <w:rFonts w:cs="Arial"/>
            <w:szCs w:val="20"/>
          </w:rPr>
          <w:id w:val="-740021908"/>
          <w:citation/>
        </w:sdtPr>
        <w:sdtContent>
          <w:r w:rsidR="00014649">
            <w:rPr>
              <w:rFonts w:cs="Arial"/>
              <w:szCs w:val="20"/>
            </w:rPr>
            <w:fldChar w:fldCharType="begin"/>
          </w:r>
          <w:r w:rsidR="00014649">
            <w:rPr>
              <w:rFonts w:cs="Arial"/>
              <w:szCs w:val="20"/>
            </w:rPr>
            <w:instrText xml:space="preserve"> CITATION Jaw09 \l 2057 </w:instrText>
          </w:r>
          <w:r w:rsidR="00014649">
            <w:rPr>
              <w:rFonts w:cs="Arial"/>
              <w:szCs w:val="20"/>
            </w:rPr>
            <w:fldChar w:fldCharType="separate"/>
          </w:r>
          <w:r w:rsidR="0074017E" w:rsidRPr="0074017E">
            <w:rPr>
              <w:rFonts w:cs="Arial"/>
              <w:noProof/>
              <w:szCs w:val="20"/>
            </w:rPr>
            <w:t>[9]</w:t>
          </w:r>
          <w:r w:rsidR="00014649">
            <w:rPr>
              <w:rFonts w:cs="Arial"/>
              <w:szCs w:val="20"/>
            </w:rPr>
            <w:fldChar w:fldCharType="end"/>
          </w:r>
        </w:sdtContent>
      </w:sdt>
      <w:r w:rsidRPr="000D6E34">
        <w:rPr>
          <w:rFonts w:cs="Arial"/>
          <w:szCs w:val="20"/>
        </w:rPr>
        <w:t>.</w:t>
      </w:r>
    </w:p>
    <w:bookmarkStart w:id="12" w:name="OLE_LINK13"/>
    <w:p w14:paraId="39446699" w14:textId="2A1B1EEF" w:rsidR="00A807E4" w:rsidRPr="000D6E34" w:rsidRDefault="00000000" w:rsidP="00623C1B">
      <w:pPr>
        <w:spacing w:before="100" w:beforeAutospacing="1" w:after="100" w:afterAutospacing="1"/>
        <w:jc w:val="both"/>
        <w:rPr>
          <w:rFonts w:cs="Arial"/>
          <w:szCs w:val="20"/>
        </w:rPr>
      </w:pPr>
      <m:oMath>
        <m:sSub>
          <m:sSubPr>
            <m:ctrlPr>
              <w:rPr>
                <w:rFonts w:ascii="Cambria Math" w:hAnsi="Cambria Math" w:cs="Arial"/>
                <w:i/>
                <w:szCs w:val="20"/>
              </w:rPr>
            </m:ctrlPr>
          </m:sSubPr>
          <m:e>
            <m:r>
              <w:rPr>
                <w:rFonts w:ascii="Cambria Math" w:hAnsi="Cambria Math" w:cs="Arial"/>
                <w:szCs w:val="20"/>
              </w:rPr>
              <m:t>E</m:t>
            </m:r>
          </m:e>
          <m:sub>
            <m:r>
              <w:rPr>
                <w:rFonts w:ascii="Cambria Math" w:hAnsi="Cambria Math" w:cs="Arial"/>
                <w:szCs w:val="20"/>
              </w:rPr>
              <m:t>thermal</m:t>
            </m:r>
          </m:sub>
        </m:sSub>
      </m:oMath>
      <w:r w:rsidR="00B70C04" w:rsidRPr="000D6E34">
        <w:rPr>
          <w:rFonts w:cs="Arial"/>
          <w:szCs w:val="20"/>
        </w:rPr>
        <w:t xml:space="preserve"> exhibits extreme positive skewness (skew = 171.82, excess kurtosis = 39,215.48, std = 764.09), again arising from near-zero denominator conditions in z-space. The same safe-division mechanism is applied. The magnitude of skewness in both CPR and </w:t>
      </w:r>
      <m:oMath>
        <m:sSub>
          <m:sSubPr>
            <m:ctrlPr>
              <w:rPr>
                <w:rFonts w:ascii="Cambria Math" w:hAnsi="Cambria Math" w:cs="Arial"/>
                <w:i/>
                <w:szCs w:val="20"/>
              </w:rPr>
            </m:ctrlPr>
          </m:sSubPr>
          <m:e>
            <m:r>
              <w:rPr>
                <w:rFonts w:ascii="Cambria Math" w:hAnsi="Cambria Math" w:cs="Arial"/>
                <w:szCs w:val="20"/>
              </w:rPr>
              <m:t>E</m:t>
            </m:r>
          </m:e>
          <m:sub>
            <m:r>
              <w:rPr>
                <w:rFonts w:ascii="Cambria Math" w:hAnsi="Cambria Math" w:cs="Arial"/>
                <w:szCs w:val="20"/>
              </w:rPr>
              <m:t>thermal</m:t>
            </m:r>
          </m:sub>
        </m:sSub>
      </m:oMath>
      <w:r w:rsidR="00B70C04" w:rsidRPr="000D6E34">
        <w:rPr>
          <w:rFonts w:cs="Arial"/>
          <w:szCs w:val="20"/>
        </w:rPr>
        <w:t xml:space="preserve"> signals that these features carry their information concentrated in tail events — precisely the terminal-phase conditions that are most prognostically relevant. However, the extreme tail behaviour also represents a numerical stability risk in Phase 4 XGBoost and neural network training.</w:t>
      </w:r>
    </w:p>
    <w:bookmarkEnd w:id="12"/>
    <w:p w14:paraId="1020C5EA" w14:textId="7F186E5C" w:rsidR="00A807E4" w:rsidRPr="005B0FA3" w:rsidRDefault="0053337F" w:rsidP="00623C1B">
      <w:pPr>
        <w:pStyle w:val="Heading3"/>
        <w:spacing w:before="100" w:beforeAutospacing="1" w:after="100" w:afterAutospacing="1"/>
      </w:pPr>
      <w:r w:rsidRPr="005B0FA3">
        <w:t xml:space="preserve">5.3.3  EGT Margin Drift </w:t>
      </w:r>
      <m:oMath>
        <m:d>
          <m:dPr>
            <m:ctrlPr>
              <w:rPr>
                <w:rFonts w:ascii="Cambria Math" w:hAnsi="Cambria Math"/>
                <w:i/>
              </w:rPr>
            </m:ctrlPr>
          </m:dPr>
          <m:e>
            <m:r>
              <m:rPr>
                <m:sty m:val="bi"/>
              </m:rPr>
              <w:rPr>
                <w:rFonts w:ascii="Cambria Math" w:hAnsi="Cambria Math"/>
              </w:rPr>
              <m:t>EG</m:t>
            </m:r>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drift</m:t>
                </m:r>
              </m:sub>
            </m:sSub>
          </m:e>
        </m:d>
      </m:oMath>
    </w:p>
    <w:p w14:paraId="54555CAD" w14:textId="596B373F"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Exhaust Gas Temperature (EGT) margin is one of the primary dispatch monitoring parameters in commercial aviation maintenance practice. The EGT margin is defined as the difference between the current EGT and the certified EGT limit, and its erosion is a leading indicator of reduced engine operational life and impending shop visit </w:t>
      </w:r>
      <w:sdt>
        <w:sdtPr>
          <w:rPr>
            <w:rFonts w:cs="Arial"/>
            <w:szCs w:val="20"/>
          </w:rPr>
          <w:id w:val="1973550786"/>
          <w:citation/>
        </w:sdtPr>
        <w:sdtContent>
          <w:r w:rsidR="00014649">
            <w:rPr>
              <w:rFonts w:cs="Arial"/>
              <w:szCs w:val="20"/>
            </w:rPr>
            <w:fldChar w:fldCharType="begin"/>
          </w:r>
          <w:r w:rsidR="00014649">
            <w:rPr>
              <w:rFonts w:cs="Arial"/>
              <w:szCs w:val="20"/>
            </w:rPr>
            <w:instrText xml:space="preserve"> CITATION Vol14 \l 2057 </w:instrText>
          </w:r>
          <w:r w:rsidR="00014649">
            <w:rPr>
              <w:rFonts w:cs="Arial"/>
              <w:szCs w:val="20"/>
            </w:rPr>
            <w:fldChar w:fldCharType="separate"/>
          </w:r>
          <w:r w:rsidR="0074017E" w:rsidRPr="0074017E">
            <w:rPr>
              <w:rFonts w:cs="Arial"/>
              <w:noProof/>
              <w:szCs w:val="20"/>
            </w:rPr>
            <w:t>[8]</w:t>
          </w:r>
          <w:r w:rsidR="00014649">
            <w:rPr>
              <w:rFonts w:cs="Arial"/>
              <w:szCs w:val="20"/>
            </w:rPr>
            <w:fldChar w:fldCharType="end"/>
          </w:r>
        </w:sdtContent>
      </w:sdt>
      <w:r w:rsidRPr="000D6E34">
        <w:rPr>
          <w:rFonts w:cs="Arial"/>
          <w:szCs w:val="20"/>
        </w:rPr>
        <w:t>. The FusionCore proxy computes:</w:t>
      </w:r>
    </w:p>
    <w:p w14:paraId="1ADCECBD" w14:textId="3A4A2EA1" w:rsidR="00A807E4" w:rsidRPr="00C8789F" w:rsidRDefault="00C8789F" w:rsidP="00623C1B">
      <w:pPr>
        <w:spacing w:before="100" w:beforeAutospacing="1" w:after="100" w:afterAutospacing="1"/>
        <w:jc w:val="center"/>
        <w:rPr>
          <w:rFonts w:cs="Arial"/>
          <w:szCs w:val="20"/>
        </w:rPr>
      </w:pPr>
      <m:oMathPara>
        <m:oMath>
          <m:r>
            <w:rPr>
              <w:rFonts w:ascii="Cambria Math" w:hAnsi="Cambria Math" w:cs="Arial"/>
              <w:color w:val="0D1B2A"/>
              <w:szCs w:val="20"/>
            </w:rPr>
            <m:t>EG</m:t>
          </m:r>
          <m:sSub>
            <m:sSubPr>
              <m:ctrlPr>
                <w:rPr>
                  <w:rFonts w:ascii="Cambria Math" w:hAnsi="Cambria Math" w:cs="Arial"/>
                  <w:i/>
                  <w:color w:val="0D1B2A"/>
                  <w:szCs w:val="20"/>
                </w:rPr>
              </m:ctrlPr>
            </m:sSubPr>
            <m:e>
              <m:r>
                <w:rPr>
                  <w:rFonts w:ascii="Cambria Math" w:hAnsi="Cambria Math" w:cs="Arial"/>
                  <w:color w:val="0D1B2A"/>
                  <w:szCs w:val="20"/>
                </w:rPr>
                <m:t>T</m:t>
              </m:r>
            </m:e>
            <m:sub>
              <m:r>
                <w:rPr>
                  <w:rFonts w:ascii="Cambria Math" w:hAnsi="Cambria Math" w:cs="Arial"/>
                  <w:color w:val="0D1B2A"/>
                  <w:szCs w:val="20"/>
                </w:rPr>
                <m:t>drift</m:t>
              </m:r>
            </m:sub>
          </m:sSub>
          <m:r>
            <w:rPr>
              <w:rFonts w:ascii="Cambria Math" w:hAnsi="Cambria Math" w:cs="Arial"/>
              <w:color w:val="0D1B2A"/>
              <w:szCs w:val="20"/>
            </w:rPr>
            <m:t>=</m:t>
          </m:r>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s4</m:t>
              </m:r>
            </m:sub>
          </m:sSub>
          <m:r>
            <w:rPr>
              <w:rFonts w:ascii="Cambria Math" w:hAnsi="Cambria Math" w:cs="Arial"/>
              <w:color w:val="0D1B2A"/>
              <w:szCs w:val="20"/>
            </w:rPr>
            <m:t>-</m:t>
          </m:r>
          <m:sSub>
            <m:sSubPr>
              <m:ctrlPr>
                <w:rPr>
                  <w:rFonts w:ascii="Cambria Math" w:hAnsi="Cambria Math" w:cs="Arial"/>
                  <w:i/>
                  <w:color w:val="0D1B2A"/>
                  <w:szCs w:val="20"/>
                </w:rPr>
              </m:ctrlPr>
            </m:sSubPr>
            <m:e>
              <m:r>
                <m:rPr>
                  <m:sty m:val="p"/>
                </m:rPr>
                <w:rPr>
                  <w:rFonts w:ascii="Cambria Math" w:hAnsi="Cambria Math" w:cs="Arial"/>
                  <w:color w:val="0D1B2A"/>
                  <w:szCs w:val="20"/>
                </w:rPr>
                <m:t>μ</m:t>
              </m:r>
            </m:e>
            <m:sub>
              <m:r>
                <w:rPr>
                  <w:rFonts w:ascii="Cambria Math" w:hAnsi="Cambria Math" w:cs="Arial"/>
                  <w:color w:val="0D1B2A"/>
                  <w:szCs w:val="20"/>
                </w:rPr>
                <m:t>baseline</m:t>
              </m:r>
            </m:sub>
          </m:sSub>
        </m:oMath>
      </m:oMathPara>
    </w:p>
    <w:p w14:paraId="2872DA7D" w14:textId="57F1D67E" w:rsidR="00A807E4" w:rsidRPr="000D6E34" w:rsidRDefault="00000000" w:rsidP="00623C1B">
      <w:pPr>
        <w:spacing w:before="100" w:beforeAutospacing="1" w:after="100" w:afterAutospacing="1"/>
        <w:jc w:val="center"/>
        <w:rPr>
          <w:rFonts w:cs="Arial"/>
          <w:szCs w:val="20"/>
        </w:rPr>
      </w:pPr>
      <m:oMathPara>
        <m:oMath>
          <m:sSub>
            <m:sSubPr>
              <m:ctrlPr>
                <w:rPr>
                  <w:rFonts w:ascii="Cambria Math" w:hAnsi="Cambria Math" w:cs="Arial"/>
                  <w:i/>
                  <w:color w:val="0D1B2A"/>
                  <w:szCs w:val="20"/>
                </w:rPr>
              </m:ctrlPr>
            </m:sSubPr>
            <m:e>
              <m:r>
                <m:rPr>
                  <m:sty m:val="p"/>
                </m:rPr>
                <w:rPr>
                  <w:rFonts w:ascii="Cambria Math" w:hAnsi="Cambria Math" w:cs="Arial"/>
                  <w:color w:val="0D1B2A"/>
                  <w:szCs w:val="20"/>
                </w:rPr>
                <m:t>μ</m:t>
              </m:r>
              <m:ctrlPr>
                <w:rPr>
                  <w:rFonts w:ascii="Cambria Math" w:hAnsi="Cambria Math" w:cs="Arial"/>
                  <w:color w:val="0D1B2A"/>
                  <w:szCs w:val="20"/>
                </w:rPr>
              </m:ctrlPr>
            </m:e>
            <m:sub>
              <m:r>
                <w:rPr>
                  <w:rFonts w:ascii="Cambria Math" w:hAnsi="Cambria Math" w:cs="Arial"/>
                  <w:color w:val="0D1B2A"/>
                  <w:szCs w:val="20"/>
                </w:rPr>
                <m:t>baseline</m:t>
              </m:r>
            </m:sub>
          </m:sSub>
          <m:r>
            <w:rPr>
              <w:rFonts w:ascii="Cambria Math" w:hAnsi="Cambria Math" w:cs="Arial"/>
              <w:color w:val="0D1B2A"/>
              <w:szCs w:val="20"/>
            </w:rPr>
            <m:t>=mean</m:t>
          </m:r>
          <m:d>
            <m:dPr>
              <m:ctrlPr>
                <w:rPr>
                  <w:rFonts w:ascii="Cambria Math" w:hAnsi="Cambria Math" w:cs="Arial"/>
                  <w:i/>
                  <w:color w:val="0D1B2A"/>
                  <w:szCs w:val="20"/>
                </w:rPr>
              </m:ctrlPr>
            </m:dPr>
            <m:e>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s4</m:t>
                  </m:r>
                </m:sub>
              </m:sSub>
            </m:e>
          </m:d>
          <m:r>
            <m:rPr>
              <m:sty m:val="p"/>
            </m:rPr>
            <w:rPr>
              <w:rFonts w:ascii="Cambria Math" w:hAnsi="Cambria Math" w:cs="Arial"/>
              <w:color w:val="0D1B2A"/>
              <w:szCs w:val="20"/>
            </w:rPr>
            <m:t> </m:t>
          </m:r>
          <m:r>
            <m:rPr>
              <m:nor/>
            </m:rPr>
            <w:rPr>
              <w:rFonts w:ascii="Cambria Math" w:hAnsi="Cambria Math" w:cs="Arial"/>
              <w:color w:val="0D1B2A"/>
              <w:szCs w:val="20"/>
            </w:rPr>
            <m:t xml:space="preserve">over Internal Train </m:t>
          </m:r>
          <m:r>
            <w:rPr>
              <w:rFonts w:ascii="Cambria Math" w:hAnsi="Cambria Math" w:cs="Arial"/>
              <w:color w:val="0D1B2A"/>
              <w:szCs w:val="20"/>
            </w:rPr>
            <m:t>=-0.0000</m:t>
          </m:r>
        </m:oMath>
      </m:oMathPara>
    </w:p>
    <w:p w14:paraId="57C43FD2" w14:textId="70E5E60C"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Since </w:t>
      </w:r>
      <m:oMath>
        <m:sSub>
          <m:sSubPr>
            <m:ctrlPr>
              <w:rPr>
                <w:rFonts w:ascii="Cambria Math" w:hAnsi="Cambria Math" w:cs="Arial"/>
                <w:i/>
                <w:szCs w:val="20"/>
              </w:rPr>
            </m:ctrlPr>
          </m:sSubPr>
          <m:e>
            <m:r>
              <w:rPr>
                <w:rFonts w:ascii="Cambria Math" w:hAnsi="Cambria Math" w:cs="Arial"/>
                <w:szCs w:val="20"/>
              </w:rPr>
              <m:t>z</m:t>
            </m:r>
          </m:e>
          <m:sub>
            <m:r>
              <w:rPr>
                <w:rFonts w:ascii="Cambria Math" w:hAnsi="Cambria Math" w:cs="Arial"/>
                <w:szCs w:val="20"/>
              </w:rPr>
              <m:t>s4</m:t>
            </m:r>
          </m:sub>
        </m:sSub>
      </m:oMath>
      <w:r w:rsidRPr="000D6E34">
        <w:rPr>
          <w:rFonts w:cs="Arial"/>
          <w:szCs w:val="20"/>
        </w:rPr>
        <w:t xml:space="preserve"> is zero-mean by construction of the Phase 2 z-normalisation, </w:t>
      </w:r>
      <m:oMath>
        <m:sSub>
          <m:sSubPr>
            <m:ctrlPr>
              <w:rPr>
                <w:rFonts w:ascii="Cambria Math" w:hAnsi="Cambria Math" w:cs="Arial"/>
                <w:i/>
                <w:szCs w:val="20"/>
              </w:rPr>
            </m:ctrlPr>
          </m:sSubPr>
          <m:e>
            <m:r>
              <m:rPr>
                <m:sty m:val="p"/>
              </m:rPr>
              <w:rPr>
                <w:rFonts w:ascii="Cambria Math" w:hAnsi="Cambria Math" w:cs="Arial"/>
                <w:szCs w:val="20"/>
              </w:rPr>
              <m:t>μ</m:t>
            </m:r>
            <m:ctrlPr>
              <w:rPr>
                <w:rFonts w:ascii="Cambria Math" w:hAnsi="Cambria Math" w:cs="Arial"/>
                <w:szCs w:val="20"/>
              </w:rPr>
            </m:ctrlPr>
          </m:e>
          <m:sub>
            <m:r>
              <w:rPr>
                <w:rFonts w:ascii="Cambria Math" w:hAnsi="Cambria Math" w:cs="Arial"/>
                <w:szCs w:val="20"/>
              </w:rPr>
              <m:t>baseline</m:t>
            </m:r>
          </m:sub>
        </m:sSub>
        <m:r>
          <m:rPr>
            <m:sty m:val="p"/>
          </m:rPr>
          <w:rPr>
            <w:rFonts w:ascii="Cambria Math" w:hAnsi="Cambria Math" w:cs="Arial"/>
            <w:szCs w:val="20"/>
          </w:rPr>
          <m:t>≈</m:t>
        </m:r>
        <m:r>
          <w:rPr>
            <w:rFonts w:ascii="Cambria Math" w:hAnsi="Cambria Math" w:cs="Arial"/>
            <w:szCs w:val="20"/>
          </w:rPr>
          <m:t>0</m:t>
        </m:r>
      </m:oMath>
      <w:r w:rsidRPr="000D6E34">
        <w:rPr>
          <w:rFonts w:cs="Arial"/>
          <w:szCs w:val="20"/>
        </w:rPr>
        <w:t xml:space="preserve"> and </w:t>
      </w:r>
      <m:oMath>
        <m:r>
          <w:rPr>
            <w:rFonts w:ascii="Cambria Math" w:hAnsi="Cambria Math" w:cs="Arial"/>
            <w:szCs w:val="20"/>
          </w:rPr>
          <m:t>EG</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drift</m:t>
            </m:r>
          </m:sub>
        </m:sSub>
        <m:r>
          <w:rPr>
            <w:rFonts w:ascii="Cambria Math" w:hAnsi="Cambria Math" w:cs="Arial"/>
            <w:szCs w:val="20"/>
          </w:rPr>
          <m:t> </m:t>
        </m:r>
        <m:r>
          <m:rPr>
            <m:sty m:val="p"/>
          </m:rPr>
          <w:rPr>
            <w:rFonts w:ascii="Cambria Math" w:hAnsi="Cambria Math" w:cs="Arial"/>
            <w:szCs w:val="20"/>
          </w:rPr>
          <m:t>≈</m:t>
        </m:r>
        <m:r>
          <w:rPr>
            <w:rFonts w:ascii="Cambria Math" w:hAnsi="Cambria Math" w:cs="Arial"/>
            <w:szCs w:val="20"/>
          </w:rPr>
          <m:t> </m:t>
        </m:r>
        <m:sSub>
          <m:sSubPr>
            <m:ctrlPr>
              <w:rPr>
                <w:rFonts w:ascii="Cambria Math" w:hAnsi="Cambria Math" w:cs="Arial"/>
                <w:i/>
                <w:szCs w:val="20"/>
              </w:rPr>
            </m:ctrlPr>
          </m:sSubPr>
          <m:e>
            <m:r>
              <w:rPr>
                <w:rFonts w:ascii="Cambria Math" w:hAnsi="Cambria Math" w:cs="Arial"/>
                <w:szCs w:val="20"/>
              </w:rPr>
              <m:t>z</m:t>
            </m:r>
          </m:e>
          <m:sub>
            <m:r>
              <w:rPr>
                <w:rFonts w:ascii="Cambria Math" w:hAnsi="Cambria Math" w:cs="Arial"/>
                <w:szCs w:val="20"/>
              </w:rPr>
              <m:t>24</m:t>
            </m:r>
          </m:sub>
        </m:sSub>
      </m:oMath>
      <w:r w:rsidR="00C8789F">
        <w:rPr>
          <w:rFonts w:cs="Arial"/>
          <w:szCs w:val="20"/>
        </w:rPr>
        <w:t xml:space="preserve"> </w:t>
      </w:r>
      <w:r w:rsidRPr="000D6E34">
        <w:rPr>
          <w:rFonts w:cs="Arial"/>
          <w:szCs w:val="20"/>
        </w:rPr>
        <w:t xml:space="preserve">in practice. The explicit drift computation provides a physically interpretable quantity: positive </w:t>
      </w:r>
      <m:oMath>
        <m:r>
          <w:rPr>
            <w:rFonts w:ascii="Cambria Math" w:hAnsi="Cambria Math" w:cs="Arial"/>
            <w:szCs w:val="20"/>
          </w:rPr>
          <m:t>EG</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drift</m:t>
            </m:r>
          </m:sub>
        </m:sSub>
      </m:oMath>
      <w:r w:rsidRPr="000D6E34">
        <w:rPr>
          <w:rFonts w:cs="Arial"/>
          <w:szCs w:val="20"/>
        </w:rPr>
        <w:t xml:space="preserve"> indicates that the current EGT deviates upward from the population baseline, consistent with declining combustor or turbine efficiency. Unlike CPR and </w:t>
      </w:r>
      <m:oMath>
        <m:sSub>
          <m:sSubPr>
            <m:ctrlPr>
              <w:rPr>
                <w:rFonts w:ascii="Cambria Math" w:hAnsi="Cambria Math" w:cs="Arial"/>
                <w:i/>
                <w:szCs w:val="20"/>
              </w:rPr>
            </m:ctrlPr>
          </m:sSubPr>
          <m:e>
            <m:r>
              <w:rPr>
                <w:rFonts w:ascii="Cambria Math" w:hAnsi="Cambria Math" w:cs="Arial"/>
                <w:szCs w:val="20"/>
              </w:rPr>
              <m:t>E</m:t>
            </m:r>
          </m:e>
          <m:sub>
            <m:r>
              <w:rPr>
                <w:rFonts w:ascii="Cambria Math" w:hAnsi="Cambria Math" w:cs="Arial"/>
                <w:szCs w:val="20"/>
              </w:rPr>
              <m:t>thermal</m:t>
            </m:r>
          </m:sub>
        </m:sSub>
      </m:oMath>
      <w:r w:rsidRPr="000D6E34">
        <w:rPr>
          <w:rFonts w:cs="Arial"/>
          <w:szCs w:val="20"/>
        </w:rPr>
        <w:t xml:space="preserve">, </w:t>
      </w:r>
      <m:oMath>
        <m:r>
          <w:rPr>
            <w:rFonts w:ascii="Cambria Math" w:hAnsi="Cambria Math" w:cs="Arial"/>
            <w:szCs w:val="20"/>
          </w:rPr>
          <m:t>EG</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drift</m:t>
            </m:r>
          </m:sub>
        </m:sSub>
      </m:oMath>
      <w:r w:rsidRPr="000D6E34">
        <w:rPr>
          <w:rFonts w:cs="Arial"/>
          <w:szCs w:val="20"/>
        </w:rPr>
        <w:t xml:space="preserve"> has a well-behaved distribution</w:t>
      </w:r>
      <w:r w:rsidR="001D71E3">
        <w:rPr>
          <w:rFonts w:cs="Arial"/>
          <w:szCs w:val="20"/>
        </w:rPr>
        <w:t xml:space="preserve">, as illustrated in Figure </w:t>
      </w:r>
      <w:r w:rsidR="00B53A9B">
        <w:rPr>
          <w:rFonts w:cs="Arial"/>
          <w:szCs w:val="20"/>
        </w:rPr>
        <w:t>9</w:t>
      </w:r>
      <w:r w:rsidR="001D71E3">
        <w:rPr>
          <w:rFonts w:cs="Arial"/>
          <w:szCs w:val="20"/>
        </w:rPr>
        <w:t xml:space="preserve"> </w:t>
      </w:r>
      <w:r w:rsidRPr="000D6E34">
        <w:rPr>
          <w:rFonts w:cs="Arial"/>
          <w:szCs w:val="20"/>
        </w:rPr>
        <w:t>(skew = 0.470, excess kurtosis = −0.102, std = 0.999), rendering it directly suitable for any downstream learner without transformation.</w:t>
      </w:r>
    </w:p>
    <w:p w14:paraId="164E4844" w14:textId="77777777" w:rsidR="009B23CF" w:rsidRDefault="009B23CF">
      <w:pPr>
        <w:rPr>
          <w:rFonts w:cs="Arial"/>
          <w:b/>
          <w:bCs/>
          <w:i/>
          <w:iCs/>
          <w:color w:val="1B3A5C"/>
          <w:szCs w:val="20"/>
        </w:rPr>
      </w:pPr>
      <w:r>
        <w:rPr>
          <w:rFonts w:cs="Arial"/>
          <w:b/>
          <w:bCs/>
          <w:i/>
          <w:iCs/>
          <w:color w:val="1B3A5C"/>
          <w:szCs w:val="20"/>
        </w:rPr>
        <w:br w:type="page"/>
      </w:r>
    </w:p>
    <w:p w14:paraId="5A324D32" w14:textId="79037FE4" w:rsidR="00A807E4" w:rsidRPr="000D6E34" w:rsidRDefault="00000000" w:rsidP="00623C1B">
      <w:pPr>
        <w:spacing w:before="100" w:beforeAutospacing="1" w:after="100" w:afterAutospacing="1"/>
        <w:rPr>
          <w:rFonts w:cs="Arial"/>
          <w:i/>
          <w:iCs/>
          <w:szCs w:val="20"/>
        </w:rPr>
      </w:pPr>
      <w:r w:rsidRPr="000D6E34">
        <w:rPr>
          <w:rFonts w:cs="Arial"/>
          <w:b/>
          <w:bCs/>
          <w:i/>
          <w:iCs/>
          <w:color w:val="1B3A5C"/>
          <w:szCs w:val="20"/>
        </w:rPr>
        <w:lastRenderedPageBreak/>
        <w:t xml:space="preserve">Table </w:t>
      </w:r>
      <w:r w:rsidR="002A3148">
        <w:rPr>
          <w:rFonts w:cs="Arial"/>
          <w:b/>
          <w:bCs/>
          <w:i/>
          <w:iCs/>
          <w:color w:val="1B3A5C"/>
          <w:szCs w:val="20"/>
        </w:rPr>
        <w:t>15</w:t>
      </w:r>
      <w:r w:rsidR="00BD4886">
        <w:rPr>
          <w:rFonts w:cs="Arial"/>
          <w:b/>
          <w:bCs/>
          <w:i/>
          <w:iCs/>
          <w:color w:val="1B3A5C"/>
          <w:szCs w:val="20"/>
        </w:rPr>
        <w:t>.</w:t>
      </w:r>
      <w:r w:rsidRPr="000D6E34">
        <w:rPr>
          <w:rFonts w:cs="Arial"/>
          <w:b/>
          <w:bCs/>
          <w:i/>
          <w:iCs/>
          <w:color w:val="1B3A5C"/>
          <w:szCs w:val="20"/>
        </w:rPr>
        <w:t xml:space="preserve"> Virtual Sensor Distribution Diagnostics (Internal Train)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3"/>
        <w:gridCol w:w="1063"/>
        <w:gridCol w:w="896"/>
        <w:gridCol w:w="991"/>
        <w:gridCol w:w="1111"/>
        <w:gridCol w:w="1667"/>
        <w:gridCol w:w="2126"/>
      </w:tblGrid>
      <w:tr w:rsidR="00C8282E" w:rsidRPr="005B0FA3" w14:paraId="2D51267D" w14:textId="77777777" w:rsidTr="00C8282E">
        <w:trPr>
          <w:tblHeader/>
        </w:trPr>
        <w:tc>
          <w:tcPr>
            <w:tcW w:w="121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56C85400"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Virtual Sensor</w:t>
            </w:r>
          </w:p>
        </w:tc>
        <w:tc>
          <w:tcPr>
            <w:tcW w:w="106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E4B5FDC"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Formula</w:t>
            </w:r>
          </w:p>
        </w:tc>
        <w:tc>
          <w:tcPr>
            <w:tcW w:w="89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CA96F4A"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Mean</w:t>
            </w:r>
          </w:p>
        </w:tc>
        <w:tc>
          <w:tcPr>
            <w:tcW w:w="99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B1F20BB"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Std Dev</w:t>
            </w:r>
          </w:p>
        </w:tc>
        <w:tc>
          <w:tcPr>
            <w:tcW w:w="111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4377E46"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Skewness</w:t>
            </w:r>
          </w:p>
        </w:tc>
        <w:tc>
          <w:tcPr>
            <w:tcW w:w="166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FF4232F"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Excess Kurtosis</w:t>
            </w:r>
          </w:p>
        </w:tc>
        <w:tc>
          <w:tcPr>
            <w:tcW w:w="2126"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03F6C787"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Distribution Status</w:t>
            </w:r>
          </w:p>
        </w:tc>
      </w:tr>
      <w:tr w:rsidR="00C8282E" w14:paraId="3F498B56" w14:textId="77777777" w:rsidTr="00C8282E">
        <w:tc>
          <w:tcPr>
            <w:tcW w:w="1213" w:type="dxa"/>
            <w:shd w:val="clear" w:color="auto" w:fill="FFFFFF"/>
            <w:tcMar>
              <w:top w:w="80" w:type="dxa"/>
              <w:left w:w="120" w:type="dxa"/>
              <w:bottom w:w="80" w:type="dxa"/>
              <w:right w:w="120" w:type="dxa"/>
            </w:tcMar>
            <w:vAlign w:val="center"/>
          </w:tcPr>
          <w:p w14:paraId="1D3E55D7" w14:textId="77777777" w:rsidR="00A807E4" w:rsidRPr="00C8282E" w:rsidRDefault="00000000" w:rsidP="00623C1B">
            <w:pPr>
              <w:spacing w:before="100" w:beforeAutospacing="1" w:after="100" w:afterAutospacing="1"/>
              <w:rPr>
                <w:rFonts w:cs="Arial"/>
              </w:rPr>
            </w:pPr>
            <w:r w:rsidRPr="00C8282E">
              <w:rPr>
                <w:rFonts w:cs="Arial"/>
                <w:sz w:val="18"/>
                <w:szCs w:val="18"/>
              </w:rPr>
              <w:t>CPR</w:t>
            </w:r>
          </w:p>
        </w:tc>
        <w:tc>
          <w:tcPr>
            <w:tcW w:w="1063" w:type="dxa"/>
            <w:shd w:val="clear" w:color="auto" w:fill="FFFFFF"/>
            <w:tcMar>
              <w:top w:w="80" w:type="dxa"/>
              <w:left w:w="120" w:type="dxa"/>
              <w:bottom w:w="80" w:type="dxa"/>
              <w:right w:w="120" w:type="dxa"/>
            </w:tcMar>
            <w:vAlign w:val="center"/>
          </w:tcPr>
          <w:p w14:paraId="7B6FD711" w14:textId="7849A187" w:rsidR="00A807E4" w:rsidRPr="005B0FA3" w:rsidRDefault="00000000" w:rsidP="00623C1B">
            <w:pPr>
              <w:spacing w:before="100" w:beforeAutospacing="1" w:after="100" w:afterAutospacing="1"/>
              <w:rPr>
                <w:rFonts w:cs="Arial"/>
              </w:rPr>
            </w:pPr>
            <m:oMathPara>
              <m:oMath>
                <m:f>
                  <m:fPr>
                    <m:ctrlPr>
                      <w:rPr>
                        <w:rFonts w:ascii="Cambria Math" w:hAnsi="Cambria Math" w:cs="Arial"/>
                        <w:sz w:val="18"/>
                        <w:szCs w:val="18"/>
                      </w:rPr>
                    </m:ctrlPr>
                  </m:fPr>
                  <m:num>
                    <m:r>
                      <w:rPr>
                        <w:rFonts w:ascii="Cambria Math" w:hAnsi="Cambria Math" w:cs="Arial"/>
                        <w:sz w:val="18"/>
                        <w:szCs w:val="18"/>
                      </w:rPr>
                      <m:t>s7</m:t>
                    </m:r>
                    <m:ctrlPr>
                      <w:rPr>
                        <w:rFonts w:ascii="Cambria Math" w:hAnsi="Cambria Math" w:cs="Arial"/>
                        <w:i/>
                        <w:sz w:val="18"/>
                        <w:szCs w:val="18"/>
                      </w:rPr>
                    </m:ctrlPr>
                  </m:num>
                  <m:den>
                    <m:r>
                      <w:rPr>
                        <w:rFonts w:ascii="Cambria Math" w:hAnsi="Cambria Math" w:cs="Arial"/>
                        <w:sz w:val="18"/>
                        <w:szCs w:val="18"/>
                      </w:rPr>
                      <m:t>s3</m:t>
                    </m:r>
                    <m:ctrlPr>
                      <w:rPr>
                        <w:rFonts w:ascii="Cambria Math" w:hAnsi="Cambria Math" w:cs="Arial"/>
                        <w:i/>
                        <w:sz w:val="18"/>
                        <w:szCs w:val="18"/>
                      </w:rPr>
                    </m:ctrlPr>
                  </m:den>
                </m:f>
              </m:oMath>
            </m:oMathPara>
          </w:p>
        </w:tc>
        <w:tc>
          <w:tcPr>
            <w:tcW w:w="896" w:type="dxa"/>
            <w:shd w:val="clear" w:color="auto" w:fill="FFFFFF"/>
            <w:tcMar>
              <w:top w:w="80" w:type="dxa"/>
              <w:left w:w="120" w:type="dxa"/>
              <w:bottom w:w="80" w:type="dxa"/>
              <w:right w:w="120" w:type="dxa"/>
            </w:tcMar>
            <w:vAlign w:val="center"/>
          </w:tcPr>
          <w:p w14:paraId="0C9AAFB3" w14:textId="77777777" w:rsidR="00A807E4" w:rsidRPr="005B0FA3" w:rsidRDefault="00000000" w:rsidP="00623C1B">
            <w:pPr>
              <w:spacing w:before="100" w:beforeAutospacing="1" w:after="100" w:afterAutospacing="1"/>
              <w:rPr>
                <w:rFonts w:cs="Arial"/>
              </w:rPr>
            </w:pPr>
            <w:r w:rsidRPr="005B0FA3">
              <w:rPr>
                <w:rFonts w:cs="Arial"/>
                <w:sz w:val="18"/>
                <w:szCs w:val="18"/>
              </w:rPr>
              <w:t>0.0647</w:t>
            </w:r>
          </w:p>
        </w:tc>
        <w:tc>
          <w:tcPr>
            <w:tcW w:w="991" w:type="dxa"/>
            <w:shd w:val="clear" w:color="auto" w:fill="FFFFFF"/>
            <w:tcMar>
              <w:top w:w="80" w:type="dxa"/>
              <w:left w:w="120" w:type="dxa"/>
              <w:bottom w:w="80" w:type="dxa"/>
              <w:right w:w="120" w:type="dxa"/>
            </w:tcMar>
            <w:vAlign w:val="center"/>
          </w:tcPr>
          <w:p w14:paraId="2553178F" w14:textId="77777777" w:rsidR="00A807E4" w:rsidRPr="005B0FA3" w:rsidRDefault="00000000" w:rsidP="00623C1B">
            <w:pPr>
              <w:spacing w:before="100" w:beforeAutospacing="1" w:after="100" w:afterAutospacing="1"/>
              <w:rPr>
                <w:rFonts w:cs="Arial"/>
              </w:rPr>
            </w:pPr>
            <w:r w:rsidRPr="005B0FA3">
              <w:rPr>
                <w:rFonts w:cs="Arial"/>
                <w:sz w:val="18"/>
                <w:szCs w:val="18"/>
              </w:rPr>
              <w:t>66.9545</w:t>
            </w:r>
          </w:p>
        </w:tc>
        <w:tc>
          <w:tcPr>
            <w:tcW w:w="1111" w:type="dxa"/>
            <w:shd w:val="clear" w:color="auto" w:fill="FFFFFF"/>
            <w:tcMar>
              <w:top w:w="80" w:type="dxa"/>
              <w:left w:w="120" w:type="dxa"/>
              <w:bottom w:w="80" w:type="dxa"/>
              <w:right w:w="120" w:type="dxa"/>
            </w:tcMar>
            <w:vAlign w:val="center"/>
          </w:tcPr>
          <w:p w14:paraId="7FBB7EE5" w14:textId="77777777" w:rsidR="00A807E4" w:rsidRPr="005B0FA3" w:rsidRDefault="00000000" w:rsidP="00623C1B">
            <w:pPr>
              <w:spacing w:before="100" w:beforeAutospacing="1" w:after="100" w:afterAutospacing="1"/>
              <w:rPr>
                <w:rFonts w:cs="Arial"/>
              </w:rPr>
            </w:pPr>
            <w:r w:rsidRPr="005B0FA3">
              <w:rPr>
                <w:rFonts w:cs="Arial"/>
                <w:sz w:val="18"/>
                <w:szCs w:val="18"/>
              </w:rPr>
              <w:t>41.2032</w:t>
            </w:r>
          </w:p>
        </w:tc>
        <w:tc>
          <w:tcPr>
            <w:tcW w:w="1667" w:type="dxa"/>
            <w:shd w:val="clear" w:color="auto" w:fill="FFFFFF"/>
            <w:tcMar>
              <w:top w:w="80" w:type="dxa"/>
              <w:left w:w="120" w:type="dxa"/>
              <w:bottom w:w="80" w:type="dxa"/>
              <w:right w:w="120" w:type="dxa"/>
            </w:tcMar>
            <w:vAlign w:val="center"/>
          </w:tcPr>
          <w:p w14:paraId="57000F00" w14:textId="77777777" w:rsidR="00A807E4" w:rsidRPr="005B0FA3" w:rsidRDefault="00000000" w:rsidP="00623C1B">
            <w:pPr>
              <w:spacing w:before="100" w:beforeAutospacing="1" w:after="100" w:afterAutospacing="1"/>
              <w:rPr>
                <w:rFonts w:cs="Arial"/>
              </w:rPr>
            </w:pPr>
            <w:r w:rsidRPr="005B0FA3">
              <w:rPr>
                <w:rFonts w:cs="Arial"/>
                <w:sz w:val="18"/>
                <w:szCs w:val="18"/>
              </w:rPr>
              <w:t>8,403.77</w:t>
            </w:r>
          </w:p>
        </w:tc>
        <w:tc>
          <w:tcPr>
            <w:tcW w:w="2126" w:type="dxa"/>
            <w:shd w:val="clear" w:color="auto" w:fill="FFFFFF"/>
            <w:tcMar>
              <w:top w:w="80" w:type="dxa"/>
              <w:left w:w="120" w:type="dxa"/>
              <w:bottom w:w="80" w:type="dxa"/>
              <w:right w:w="120" w:type="dxa"/>
            </w:tcMar>
            <w:vAlign w:val="center"/>
          </w:tcPr>
          <w:p w14:paraId="384C5DEC" w14:textId="4B19CB81" w:rsidR="00A807E4" w:rsidRPr="005B0FA3" w:rsidRDefault="00000000" w:rsidP="00623C1B">
            <w:pPr>
              <w:spacing w:before="100" w:beforeAutospacing="1" w:after="100" w:afterAutospacing="1"/>
              <w:rPr>
                <w:rFonts w:cs="Arial"/>
              </w:rPr>
            </w:pPr>
            <w:r w:rsidRPr="005B0FA3">
              <w:rPr>
                <w:rFonts w:cs="Arial"/>
                <w:sz w:val="18"/>
                <w:szCs w:val="18"/>
              </w:rPr>
              <w:t xml:space="preserve">Heavy-tailed — monitor for Phase </w:t>
            </w:r>
            <w:r w:rsidR="00A42DEE">
              <w:rPr>
                <w:rFonts w:cs="Arial"/>
                <w:sz w:val="18"/>
                <w:szCs w:val="18"/>
              </w:rPr>
              <w:t>4</w:t>
            </w:r>
          </w:p>
        </w:tc>
      </w:tr>
      <w:tr w:rsidR="00C8282E" w14:paraId="73D545D4" w14:textId="77777777" w:rsidTr="00C8282E">
        <w:tc>
          <w:tcPr>
            <w:tcW w:w="1213" w:type="dxa"/>
            <w:shd w:val="clear" w:color="auto" w:fill="F0F4F8"/>
            <w:tcMar>
              <w:top w:w="80" w:type="dxa"/>
              <w:left w:w="120" w:type="dxa"/>
              <w:bottom w:w="80" w:type="dxa"/>
              <w:right w:w="120" w:type="dxa"/>
            </w:tcMar>
            <w:vAlign w:val="center"/>
          </w:tcPr>
          <w:p w14:paraId="1C96EBC2" w14:textId="6D262707" w:rsidR="00A807E4" w:rsidRPr="00C8282E" w:rsidRDefault="00000000" w:rsidP="00623C1B">
            <w:pPr>
              <w:spacing w:before="100" w:beforeAutospacing="1" w:after="100" w:afterAutospacing="1"/>
              <w:rPr>
                <w:rFonts w:ascii="Courier New" w:hAnsi="Courier New" w:cs="Courier New"/>
              </w:rPr>
            </w:pPr>
            <m:oMathPara>
              <m:oMathParaPr>
                <m:jc m:val="left"/>
              </m:oMathParaPr>
              <m:oMath>
                <m:sSub>
                  <m:sSubPr>
                    <m:ctrlPr>
                      <w:rPr>
                        <w:rFonts w:ascii="Cambria Math" w:hAnsi="Cambria Math" w:cs="Courier New"/>
                        <w:i/>
                        <w:sz w:val="18"/>
                        <w:szCs w:val="18"/>
                      </w:rPr>
                    </m:ctrlPr>
                  </m:sSubPr>
                  <m:e>
                    <m:r>
                      <w:rPr>
                        <w:rFonts w:ascii="Cambria Math" w:hAnsi="Cambria Math" w:cs="Courier New"/>
                        <w:sz w:val="18"/>
                        <w:szCs w:val="18"/>
                      </w:rPr>
                      <m:t>E</m:t>
                    </m:r>
                  </m:e>
                  <m:sub>
                    <m:r>
                      <w:rPr>
                        <w:rFonts w:ascii="Cambria Math" w:hAnsi="Cambria Math" w:cs="Courier New"/>
                        <w:sz w:val="18"/>
                        <w:szCs w:val="18"/>
                      </w:rPr>
                      <m:t>thermal</m:t>
                    </m:r>
                  </m:sub>
                </m:sSub>
              </m:oMath>
            </m:oMathPara>
          </w:p>
        </w:tc>
        <w:tc>
          <w:tcPr>
            <w:tcW w:w="1063" w:type="dxa"/>
            <w:shd w:val="clear" w:color="auto" w:fill="F0F4F8"/>
            <w:tcMar>
              <w:top w:w="80" w:type="dxa"/>
              <w:left w:w="120" w:type="dxa"/>
              <w:bottom w:w="80" w:type="dxa"/>
              <w:right w:w="120" w:type="dxa"/>
            </w:tcMar>
            <w:vAlign w:val="center"/>
          </w:tcPr>
          <w:p w14:paraId="64DF2207" w14:textId="15516059" w:rsidR="00A807E4" w:rsidRPr="005B0FA3" w:rsidRDefault="00000000" w:rsidP="00623C1B">
            <w:pPr>
              <w:spacing w:before="100" w:beforeAutospacing="1" w:after="100" w:afterAutospacing="1"/>
              <w:rPr>
                <w:rFonts w:cs="Arial"/>
              </w:rPr>
            </w:pPr>
            <m:oMathPara>
              <m:oMath>
                <m:f>
                  <m:fPr>
                    <m:ctrlPr>
                      <w:rPr>
                        <w:rFonts w:ascii="Cambria Math" w:hAnsi="Cambria Math" w:cs="Arial"/>
                        <w:sz w:val="18"/>
                        <w:szCs w:val="18"/>
                      </w:rPr>
                    </m:ctrlPr>
                  </m:fPr>
                  <m:num>
                    <m:r>
                      <w:rPr>
                        <w:rFonts w:ascii="Cambria Math" w:hAnsi="Cambria Math" w:cs="Arial"/>
                        <w:sz w:val="18"/>
                        <w:szCs w:val="18"/>
                      </w:rPr>
                      <m:t>s12×s11</m:t>
                    </m:r>
                    <m:ctrlPr>
                      <w:rPr>
                        <w:rFonts w:ascii="Cambria Math" w:hAnsi="Cambria Math" w:cs="Arial"/>
                        <w:i/>
                        <w:sz w:val="18"/>
                        <w:szCs w:val="18"/>
                      </w:rPr>
                    </m:ctrlPr>
                  </m:num>
                  <m:den>
                    <m:r>
                      <w:rPr>
                        <w:rFonts w:ascii="Cambria Math" w:hAnsi="Cambria Math" w:cs="Arial"/>
                        <w:sz w:val="18"/>
                        <w:szCs w:val="18"/>
                      </w:rPr>
                      <m:t>s9</m:t>
                    </m:r>
                    <m:ctrlPr>
                      <w:rPr>
                        <w:rFonts w:ascii="Cambria Math" w:hAnsi="Cambria Math" w:cs="Arial"/>
                        <w:i/>
                        <w:sz w:val="18"/>
                        <w:szCs w:val="18"/>
                      </w:rPr>
                    </m:ctrlPr>
                  </m:den>
                </m:f>
              </m:oMath>
            </m:oMathPara>
          </w:p>
        </w:tc>
        <w:tc>
          <w:tcPr>
            <w:tcW w:w="896" w:type="dxa"/>
            <w:shd w:val="clear" w:color="auto" w:fill="F0F4F8"/>
            <w:tcMar>
              <w:top w:w="80" w:type="dxa"/>
              <w:left w:w="120" w:type="dxa"/>
              <w:bottom w:w="80" w:type="dxa"/>
              <w:right w:w="120" w:type="dxa"/>
            </w:tcMar>
            <w:vAlign w:val="center"/>
          </w:tcPr>
          <w:p w14:paraId="5F295B5B" w14:textId="77777777" w:rsidR="00A807E4" w:rsidRPr="005B0FA3" w:rsidRDefault="00000000" w:rsidP="00623C1B">
            <w:pPr>
              <w:spacing w:before="100" w:beforeAutospacing="1" w:after="100" w:afterAutospacing="1"/>
              <w:rPr>
                <w:rFonts w:cs="Arial"/>
              </w:rPr>
            </w:pPr>
            <w:r w:rsidRPr="005B0FA3">
              <w:rPr>
                <w:rFonts w:cs="Arial"/>
                <w:sz w:val="18"/>
                <w:szCs w:val="18"/>
              </w:rPr>
              <w:t>3.0477</w:t>
            </w:r>
          </w:p>
        </w:tc>
        <w:tc>
          <w:tcPr>
            <w:tcW w:w="991" w:type="dxa"/>
            <w:shd w:val="clear" w:color="auto" w:fill="F0F4F8"/>
            <w:tcMar>
              <w:top w:w="80" w:type="dxa"/>
              <w:left w:w="120" w:type="dxa"/>
              <w:bottom w:w="80" w:type="dxa"/>
              <w:right w:w="120" w:type="dxa"/>
            </w:tcMar>
            <w:vAlign w:val="center"/>
          </w:tcPr>
          <w:p w14:paraId="50A292B7" w14:textId="77777777" w:rsidR="00A807E4" w:rsidRPr="005B0FA3" w:rsidRDefault="00000000" w:rsidP="00623C1B">
            <w:pPr>
              <w:spacing w:before="100" w:beforeAutospacing="1" w:after="100" w:afterAutospacing="1"/>
              <w:rPr>
                <w:rFonts w:cs="Arial"/>
              </w:rPr>
            </w:pPr>
            <w:r w:rsidRPr="005B0FA3">
              <w:rPr>
                <w:rFonts w:cs="Arial"/>
                <w:sz w:val="18"/>
                <w:szCs w:val="18"/>
              </w:rPr>
              <w:t>764.0897</w:t>
            </w:r>
          </w:p>
        </w:tc>
        <w:tc>
          <w:tcPr>
            <w:tcW w:w="1111" w:type="dxa"/>
            <w:shd w:val="clear" w:color="auto" w:fill="F0F4F8"/>
            <w:tcMar>
              <w:top w:w="80" w:type="dxa"/>
              <w:left w:w="120" w:type="dxa"/>
              <w:bottom w:w="80" w:type="dxa"/>
              <w:right w:w="120" w:type="dxa"/>
            </w:tcMar>
            <w:vAlign w:val="center"/>
          </w:tcPr>
          <w:p w14:paraId="07E35C76" w14:textId="77777777" w:rsidR="00A807E4" w:rsidRPr="005B0FA3" w:rsidRDefault="00000000" w:rsidP="00623C1B">
            <w:pPr>
              <w:spacing w:before="100" w:beforeAutospacing="1" w:after="100" w:afterAutospacing="1"/>
              <w:rPr>
                <w:rFonts w:cs="Arial"/>
              </w:rPr>
            </w:pPr>
            <w:r w:rsidRPr="005B0FA3">
              <w:rPr>
                <w:rFonts w:cs="Arial"/>
                <w:sz w:val="18"/>
                <w:szCs w:val="18"/>
              </w:rPr>
              <w:t>171.8163</w:t>
            </w:r>
          </w:p>
        </w:tc>
        <w:tc>
          <w:tcPr>
            <w:tcW w:w="1667" w:type="dxa"/>
            <w:shd w:val="clear" w:color="auto" w:fill="F0F4F8"/>
            <w:tcMar>
              <w:top w:w="80" w:type="dxa"/>
              <w:left w:w="120" w:type="dxa"/>
              <w:bottom w:w="80" w:type="dxa"/>
              <w:right w:w="120" w:type="dxa"/>
            </w:tcMar>
            <w:vAlign w:val="center"/>
          </w:tcPr>
          <w:p w14:paraId="385ED683" w14:textId="77777777" w:rsidR="00A807E4" w:rsidRPr="005B0FA3" w:rsidRDefault="00000000" w:rsidP="00623C1B">
            <w:pPr>
              <w:spacing w:before="100" w:beforeAutospacing="1" w:after="100" w:afterAutospacing="1"/>
              <w:rPr>
                <w:rFonts w:cs="Arial"/>
              </w:rPr>
            </w:pPr>
            <w:r w:rsidRPr="005B0FA3">
              <w:rPr>
                <w:rFonts w:cs="Arial"/>
                <w:sz w:val="18"/>
                <w:szCs w:val="18"/>
              </w:rPr>
              <w:t>39,215.48</w:t>
            </w:r>
          </w:p>
        </w:tc>
        <w:tc>
          <w:tcPr>
            <w:tcW w:w="2126" w:type="dxa"/>
            <w:shd w:val="clear" w:color="auto" w:fill="F0F4F8"/>
            <w:tcMar>
              <w:top w:w="80" w:type="dxa"/>
              <w:left w:w="120" w:type="dxa"/>
              <w:bottom w:w="80" w:type="dxa"/>
              <w:right w:w="120" w:type="dxa"/>
            </w:tcMar>
            <w:vAlign w:val="center"/>
          </w:tcPr>
          <w:p w14:paraId="2958298C" w14:textId="77777777" w:rsidR="00A807E4" w:rsidRPr="005B0FA3" w:rsidRDefault="00000000" w:rsidP="00623C1B">
            <w:pPr>
              <w:spacing w:before="100" w:beforeAutospacing="1" w:after="100" w:afterAutospacing="1"/>
              <w:rPr>
                <w:rFonts w:cs="Arial"/>
              </w:rPr>
            </w:pPr>
            <w:r w:rsidRPr="005B0FA3">
              <w:rPr>
                <w:rFonts w:cs="Arial"/>
                <w:sz w:val="18"/>
                <w:szCs w:val="18"/>
              </w:rPr>
              <w:t>Extreme heavy-tail — transformation required for NNs</w:t>
            </w:r>
          </w:p>
        </w:tc>
      </w:tr>
      <w:tr w:rsidR="00C8282E" w14:paraId="7F1529DE" w14:textId="77777777" w:rsidTr="00C8282E">
        <w:tc>
          <w:tcPr>
            <w:tcW w:w="1213" w:type="dxa"/>
            <w:shd w:val="clear" w:color="auto" w:fill="FFFFFF"/>
            <w:tcMar>
              <w:top w:w="80" w:type="dxa"/>
              <w:left w:w="120" w:type="dxa"/>
              <w:bottom w:w="80" w:type="dxa"/>
              <w:right w:w="120" w:type="dxa"/>
            </w:tcMar>
            <w:vAlign w:val="center"/>
          </w:tcPr>
          <w:p w14:paraId="1B42296C" w14:textId="77777777" w:rsidR="00A807E4" w:rsidRPr="00C8789F" w:rsidRDefault="00000000" w:rsidP="00623C1B">
            <w:pPr>
              <w:spacing w:before="100" w:beforeAutospacing="1" w:after="100" w:afterAutospacing="1"/>
              <w:rPr>
                <w:rFonts w:ascii="Courier New" w:hAnsi="Courier New" w:cs="Courier New"/>
              </w:rPr>
            </w:pPr>
            <w:r w:rsidRPr="00C8789F">
              <w:rPr>
                <w:rFonts w:ascii="Courier New" w:hAnsi="Courier New" w:cs="Courier New"/>
                <w:sz w:val="18"/>
                <w:szCs w:val="18"/>
              </w:rPr>
              <w:t>EGT_drift</w:t>
            </w:r>
          </w:p>
        </w:tc>
        <w:tc>
          <w:tcPr>
            <w:tcW w:w="1063" w:type="dxa"/>
            <w:shd w:val="clear" w:color="auto" w:fill="FFFFFF"/>
            <w:tcMar>
              <w:top w:w="80" w:type="dxa"/>
              <w:left w:w="120" w:type="dxa"/>
              <w:bottom w:w="80" w:type="dxa"/>
              <w:right w:w="120" w:type="dxa"/>
            </w:tcMar>
            <w:vAlign w:val="center"/>
          </w:tcPr>
          <w:p w14:paraId="543BDFC3" w14:textId="578D1664" w:rsidR="00A807E4" w:rsidRPr="005B0FA3" w:rsidRDefault="00C8789F" w:rsidP="00623C1B">
            <w:pPr>
              <w:spacing w:before="100" w:beforeAutospacing="1" w:after="100" w:afterAutospacing="1"/>
              <w:rPr>
                <w:rFonts w:cs="Arial"/>
              </w:rPr>
            </w:pPr>
            <m:oMathPara>
              <m:oMath>
                <m:r>
                  <w:rPr>
                    <w:rFonts w:ascii="Cambria Math" w:hAnsi="Cambria Math" w:cs="Arial"/>
                    <w:sz w:val="18"/>
                    <w:szCs w:val="18"/>
                  </w:rPr>
                  <m:t>s4-</m:t>
                </m:r>
                <m:sSub>
                  <m:sSubPr>
                    <m:ctrlPr>
                      <w:rPr>
                        <w:rFonts w:ascii="Cambria Math" w:hAnsi="Cambria Math" w:cs="Arial"/>
                        <w:i/>
                        <w:sz w:val="18"/>
                        <w:szCs w:val="18"/>
                      </w:rPr>
                    </m:ctrlPr>
                  </m:sSubPr>
                  <m:e>
                    <m:r>
                      <m:rPr>
                        <m:sty m:val="p"/>
                      </m:rPr>
                      <w:rPr>
                        <w:rFonts w:ascii="Cambria Math" w:hAnsi="Cambria Math" w:cs="Arial"/>
                        <w:sz w:val="18"/>
                        <w:szCs w:val="18"/>
                      </w:rPr>
                      <m:t>μ</m:t>
                    </m:r>
                  </m:e>
                  <m:sub>
                    <m:r>
                      <w:rPr>
                        <w:rFonts w:ascii="Cambria Math" w:hAnsi="Cambria Math" w:cs="Arial"/>
                        <w:sz w:val="18"/>
                        <w:szCs w:val="18"/>
                      </w:rPr>
                      <m:t>baseline</m:t>
                    </m:r>
                  </m:sub>
                </m:sSub>
              </m:oMath>
            </m:oMathPara>
          </w:p>
        </w:tc>
        <w:tc>
          <w:tcPr>
            <w:tcW w:w="896" w:type="dxa"/>
            <w:shd w:val="clear" w:color="auto" w:fill="FFFFFF"/>
            <w:tcMar>
              <w:top w:w="80" w:type="dxa"/>
              <w:left w:w="120" w:type="dxa"/>
              <w:bottom w:w="80" w:type="dxa"/>
              <w:right w:w="120" w:type="dxa"/>
            </w:tcMar>
            <w:vAlign w:val="center"/>
          </w:tcPr>
          <w:p w14:paraId="18041947" w14:textId="77777777" w:rsidR="00A807E4" w:rsidRPr="005B0FA3" w:rsidRDefault="00000000" w:rsidP="00623C1B">
            <w:pPr>
              <w:spacing w:before="100" w:beforeAutospacing="1" w:after="100" w:afterAutospacing="1"/>
              <w:rPr>
                <w:rFonts w:cs="Arial"/>
              </w:rPr>
            </w:pPr>
            <w:r w:rsidRPr="005B0FA3">
              <w:rPr>
                <w:rFonts w:cs="Arial"/>
                <w:sz w:val="18"/>
                <w:szCs w:val="18"/>
              </w:rPr>
              <w:t>−0.0000</w:t>
            </w:r>
          </w:p>
        </w:tc>
        <w:tc>
          <w:tcPr>
            <w:tcW w:w="991" w:type="dxa"/>
            <w:shd w:val="clear" w:color="auto" w:fill="FFFFFF"/>
            <w:tcMar>
              <w:top w:w="80" w:type="dxa"/>
              <w:left w:w="120" w:type="dxa"/>
              <w:bottom w:w="80" w:type="dxa"/>
              <w:right w:w="120" w:type="dxa"/>
            </w:tcMar>
            <w:vAlign w:val="center"/>
          </w:tcPr>
          <w:p w14:paraId="704A7FAC" w14:textId="77777777" w:rsidR="00A807E4" w:rsidRPr="005B0FA3" w:rsidRDefault="00000000" w:rsidP="00623C1B">
            <w:pPr>
              <w:spacing w:before="100" w:beforeAutospacing="1" w:after="100" w:afterAutospacing="1"/>
              <w:rPr>
                <w:rFonts w:cs="Arial"/>
              </w:rPr>
            </w:pPr>
            <w:r w:rsidRPr="005B0FA3">
              <w:rPr>
                <w:rFonts w:cs="Arial"/>
                <w:sz w:val="18"/>
                <w:szCs w:val="18"/>
              </w:rPr>
              <w:t>0.9999</w:t>
            </w:r>
          </w:p>
        </w:tc>
        <w:tc>
          <w:tcPr>
            <w:tcW w:w="1111" w:type="dxa"/>
            <w:shd w:val="clear" w:color="auto" w:fill="FFFFFF"/>
            <w:tcMar>
              <w:top w:w="80" w:type="dxa"/>
              <w:left w:w="120" w:type="dxa"/>
              <w:bottom w:w="80" w:type="dxa"/>
              <w:right w:w="120" w:type="dxa"/>
            </w:tcMar>
            <w:vAlign w:val="center"/>
          </w:tcPr>
          <w:p w14:paraId="7510E33D" w14:textId="77777777" w:rsidR="00A807E4" w:rsidRPr="005B0FA3" w:rsidRDefault="00000000" w:rsidP="00623C1B">
            <w:pPr>
              <w:spacing w:before="100" w:beforeAutospacing="1" w:after="100" w:afterAutospacing="1"/>
              <w:rPr>
                <w:rFonts w:cs="Arial"/>
              </w:rPr>
            </w:pPr>
            <w:r w:rsidRPr="005B0FA3">
              <w:rPr>
                <w:rFonts w:cs="Arial"/>
                <w:sz w:val="18"/>
                <w:szCs w:val="18"/>
              </w:rPr>
              <w:t>0.4700</w:t>
            </w:r>
          </w:p>
        </w:tc>
        <w:tc>
          <w:tcPr>
            <w:tcW w:w="1667" w:type="dxa"/>
            <w:shd w:val="clear" w:color="auto" w:fill="FFFFFF"/>
            <w:tcMar>
              <w:top w:w="80" w:type="dxa"/>
              <w:left w:w="120" w:type="dxa"/>
              <w:bottom w:w="80" w:type="dxa"/>
              <w:right w:w="120" w:type="dxa"/>
            </w:tcMar>
            <w:vAlign w:val="center"/>
          </w:tcPr>
          <w:p w14:paraId="23EAA1CF" w14:textId="77777777" w:rsidR="00A807E4" w:rsidRPr="005B0FA3" w:rsidRDefault="00000000" w:rsidP="00623C1B">
            <w:pPr>
              <w:spacing w:before="100" w:beforeAutospacing="1" w:after="100" w:afterAutospacing="1"/>
              <w:rPr>
                <w:rFonts w:cs="Arial"/>
              </w:rPr>
            </w:pPr>
            <w:r w:rsidRPr="005B0FA3">
              <w:rPr>
                <w:rFonts w:cs="Arial"/>
                <w:sz w:val="18"/>
                <w:szCs w:val="18"/>
              </w:rPr>
              <w:t>−0.1019</w:t>
            </w:r>
          </w:p>
        </w:tc>
        <w:tc>
          <w:tcPr>
            <w:tcW w:w="2126" w:type="dxa"/>
            <w:shd w:val="clear" w:color="auto" w:fill="FFFFFF"/>
            <w:tcMar>
              <w:top w:w="80" w:type="dxa"/>
              <w:left w:w="120" w:type="dxa"/>
              <w:bottom w:w="80" w:type="dxa"/>
              <w:right w:w="120" w:type="dxa"/>
            </w:tcMar>
            <w:vAlign w:val="center"/>
          </w:tcPr>
          <w:p w14:paraId="7B4E4568" w14:textId="77777777" w:rsidR="00A807E4" w:rsidRPr="005B0FA3" w:rsidRDefault="00000000" w:rsidP="00623C1B">
            <w:pPr>
              <w:spacing w:before="100" w:beforeAutospacing="1" w:after="100" w:afterAutospacing="1"/>
              <w:rPr>
                <w:rFonts w:cs="Arial"/>
              </w:rPr>
            </w:pPr>
            <w:r w:rsidRPr="005B0FA3">
              <w:rPr>
                <w:rFonts w:cs="Arial"/>
                <w:sz w:val="18"/>
                <w:szCs w:val="18"/>
              </w:rPr>
              <w:t>Well-behaved — no transformation required</w:t>
            </w:r>
          </w:p>
        </w:tc>
      </w:tr>
    </w:tbl>
    <w:p w14:paraId="74F2379F" w14:textId="512985B4" w:rsidR="00014649" w:rsidRPr="007A5DFA" w:rsidRDefault="001D71E3" w:rsidP="007A5DFA">
      <w:pPr>
        <w:spacing w:before="100" w:beforeAutospacing="1" w:after="100" w:afterAutospacing="1"/>
        <w:rPr>
          <w:rFonts w:cs="Arial"/>
          <w:i/>
          <w:iCs/>
          <w:szCs w:val="20"/>
        </w:rPr>
      </w:pPr>
      <w:r>
        <w:rPr>
          <w:rFonts w:cs="Arial"/>
          <w:b/>
          <w:bCs/>
          <w:i/>
          <w:iCs/>
          <w:color w:val="1B3A5C"/>
          <w:szCs w:val="20"/>
        </w:rPr>
        <w:t xml:space="preserve">Figure </w:t>
      </w:r>
      <w:r w:rsidR="002A3148">
        <w:rPr>
          <w:rFonts w:cs="Arial"/>
          <w:b/>
          <w:bCs/>
          <w:i/>
          <w:iCs/>
          <w:color w:val="1B3A5C"/>
          <w:szCs w:val="20"/>
        </w:rPr>
        <w:t>9</w:t>
      </w:r>
      <w:r>
        <w:rPr>
          <w:rFonts w:cs="Arial"/>
          <w:b/>
          <w:bCs/>
          <w:i/>
          <w:iCs/>
          <w:color w:val="1B3A5C"/>
          <w:szCs w:val="20"/>
        </w:rPr>
        <w:t xml:space="preserve">. </w:t>
      </w:r>
      <w:r w:rsidR="00C754B4">
        <w:rPr>
          <w:rFonts w:cs="Arial"/>
          <w:b/>
          <w:bCs/>
          <w:i/>
          <w:iCs/>
          <w:color w:val="1B3A5C"/>
          <w:szCs w:val="20"/>
        </w:rPr>
        <w:t xml:space="preserve">Virtual Sensor Distributions: </w:t>
      </w:r>
      <m:oMath>
        <m:r>
          <m:rPr>
            <m:sty m:val="bi"/>
          </m:rPr>
          <w:rPr>
            <w:rFonts w:ascii="Cambria Math" w:hAnsi="Cambria Math" w:cs="Arial"/>
            <w:color w:val="1B3A5C"/>
            <w:szCs w:val="20"/>
          </w:rPr>
          <m:t>CPR,</m:t>
        </m:r>
        <m:sSub>
          <m:sSubPr>
            <m:ctrlPr>
              <w:rPr>
                <w:rFonts w:ascii="Cambria Math" w:hAnsi="Cambria Math" w:cs="Arial"/>
                <w:b/>
                <w:bCs/>
                <w:i/>
                <w:iCs/>
                <w:color w:val="1B3A5C"/>
                <w:szCs w:val="20"/>
              </w:rPr>
            </m:ctrlPr>
          </m:sSubPr>
          <m:e>
            <m:r>
              <m:rPr>
                <m:sty m:val="bi"/>
              </m:rPr>
              <w:rPr>
                <w:rFonts w:ascii="Cambria Math" w:hAnsi="Cambria Math" w:cs="Arial"/>
                <w:color w:val="1B3A5C"/>
                <w:szCs w:val="20"/>
              </w:rPr>
              <m:t>E</m:t>
            </m:r>
          </m:e>
          <m:sub>
            <m:r>
              <m:rPr>
                <m:sty m:val="bi"/>
              </m:rPr>
              <w:rPr>
                <w:rFonts w:ascii="Cambria Math" w:hAnsi="Cambria Math" w:cs="Arial"/>
                <w:color w:val="1B3A5C"/>
                <w:szCs w:val="20"/>
              </w:rPr>
              <m:t>thermal</m:t>
            </m:r>
          </m:sub>
        </m:sSub>
        <m:r>
          <m:rPr>
            <m:sty m:val="bi"/>
          </m:rPr>
          <w:rPr>
            <w:rFonts w:ascii="Cambria Math" w:hAnsi="Cambria Math" w:cs="Arial"/>
            <w:color w:val="1B3A5C"/>
            <w:szCs w:val="20"/>
          </w:rPr>
          <m:t>,EG</m:t>
        </m:r>
        <m:sSub>
          <m:sSubPr>
            <m:ctrlPr>
              <w:rPr>
                <w:rFonts w:ascii="Cambria Math" w:hAnsi="Cambria Math" w:cs="Arial"/>
                <w:b/>
                <w:bCs/>
                <w:i/>
                <w:iCs/>
                <w:color w:val="1B3A5C"/>
                <w:szCs w:val="20"/>
              </w:rPr>
            </m:ctrlPr>
          </m:sSubPr>
          <m:e>
            <m:r>
              <m:rPr>
                <m:sty m:val="bi"/>
              </m:rPr>
              <w:rPr>
                <w:rFonts w:ascii="Cambria Math" w:hAnsi="Cambria Math" w:cs="Arial"/>
                <w:color w:val="1B3A5C"/>
                <w:szCs w:val="20"/>
              </w:rPr>
              <m:t>T</m:t>
            </m:r>
          </m:e>
          <m:sub>
            <m:r>
              <m:rPr>
                <m:sty m:val="bi"/>
              </m:rPr>
              <w:rPr>
                <w:rFonts w:ascii="Cambria Math" w:hAnsi="Cambria Math" w:cs="Arial"/>
                <w:color w:val="1B3A5C"/>
                <w:szCs w:val="20"/>
              </w:rPr>
              <m:t>drift</m:t>
            </m:r>
          </m:sub>
        </m:sSub>
      </m:oMath>
      <w:r w:rsidR="00C754B4">
        <w:rPr>
          <w:rFonts w:cs="Arial"/>
          <w:b/>
          <w:bCs/>
          <w:i/>
          <w:iCs/>
          <w:color w:val="1B3A5C"/>
          <w:szCs w:val="20"/>
        </w:rPr>
        <w:t xml:space="preserve"> (Internal Train)</w:t>
      </w:r>
      <w:r w:rsidR="00014649" w:rsidRPr="00C754B4">
        <w:rPr>
          <w:noProof/>
          <w:szCs w:val="20"/>
        </w:rPr>
        <w:drawing>
          <wp:inline distT="0" distB="0" distL="0" distR="0" wp14:anchorId="36B50A34" wp14:editId="7F39A26D">
            <wp:extent cx="5759450" cy="1590040"/>
            <wp:effectExtent l="0" t="0" r="6350" b="0"/>
            <wp:docPr id="79071053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0535" name="Picture 1" descr="A graph of a functio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1590040"/>
                    </a:xfrm>
                    <a:prstGeom prst="rect">
                      <a:avLst/>
                    </a:prstGeom>
                    <a:noFill/>
                    <a:ln>
                      <a:noFill/>
                    </a:ln>
                  </pic:spPr>
                </pic:pic>
              </a:graphicData>
            </a:graphic>
          </wp:inline>
        </w:drawing>
      </w:r>
    </w:p>
    <w:p w14:paraId="13F9398B" w14:textId="7245F0A4" w:rsidR="00C754B4" w:rsidRDefault="00C754B4" w:rsidP="00C754B4">
      <w:pPr>
        <w:jc w:val="both"/>
      </w:pPr>
      <w:r>
        <w:t xml:space="preserve">Figure </w:t>
      </w:r>
      <w:r w:rsidR="002A3148">
        <w:t>9</w:t>
      </w:r>
      <w:r>
        <w:t xml:space="preserve">: The three panels reveal a fundamental asymmetry in the behaviour of the virtual sensors that has direct implications for their utility as model features. CPR and </w:t>
      </w:r>
      <m:oMath>
        <m:sSub>
          <m:sSubPr>
            <m:ctrlPr>
              <w:rPr>
                <w:rFonts w:ascii="Cambria Math" w:hAnsi="Cambria Math"/>
              </w:rPr>
            </m:ctrlPr>
          </m:sSubPr>
          <m:e>
            <m:r>
              <w:rPr>
                <w:rFonts w:ascii="Cambria Math" w:hAnsi="Cambria Math"/>
              </w:rPr>
              <m:t>E</m:t>
            </m:r>
          </m:e>
          <m:sub>
            <m:r>
              <m:rPr>
                <m:nor/>
              </m:rPr>
              <m:t>thermal</m:t>
            </m:r>
          </m:sub>
        </m:sSub>
      </m:oMath>
      <w:r>
        <w:t xml:space="preserve"> both exhibit pathological distributions: extremely concentrated mass at zero with long, sparse tails extending to values of approximately 10,000 and 150,000 respectively. These are not physically meaningful degradation signals — they are the distributional signature of near-zero denominator instability in z-normalised space. </w:t>
      </w:r>
      <w:r w:rsidR="0074017E">
        <w:t>For CPR, the degenerate distribution arises from the s3 (T30) denominator approaching zero in z-space: when T30 is near its regime mean, the ratio P30/T30 becomes numerically unstable, producing the concentrated spike at zero with a heavy positive tail visible in the panel. This is the residual instability of the revised specification (s7/s3) after the original s5 denominator was rejected due to regime-dead status.</w:t>
      </w:r>
      <w:r w:rsidR="0074017E">
        <w:t xml:space="preserve"> </w:t>
      </w:r>
      <w:r>
        <w:t xml:space="preserve">The </w:t>
      </w:r>
      <m:oMath>
        <m:sSub>
          <m:sSubPr>
            <m:ctrlPr>
              <w:rPr>
                <w:rFonts w:ascii="Cambria Math" w:hAnsi="Cambria Math"/>
              </w:rPr>
            </m:ctrlPr>
          </m:sSubPr>
          <m:e>
            <m:r>
              <w:rPr>
                <w:rFonts w:ascii="Cambria Math" w:hAnsi="Cambria Math"/>
              </w:rPr>
              <m:t>E</m:t>
            </m:r>
          </m:e>
          <m:sub>
            <m:r>
              <m:rPr>
                <m:nor/>
              </m:rPr>
              <m:t>thermal</m:t>
            </m:r>
          </m:sub>
        </m:sSub>
      </m:oMath>
      <w:r w:rsidR="007A5DFA">
        <w:t xml:space="preserve"> </w:t>
      </w:r>
      <w:r>
        <w:t xml:space="preserve">panel shows the same pathology arising from near-zero </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007A5DFA">
        <w:t xml:space="preserve"> </w:t>
      </w:r>
      <w:r>
        <w:t xml:space="preserve">z-score values in the denominator. Both features require the specification revisions discussed in this section before they can serve as reliable model inputs. </w:t>
      </w:r>
      <m:oMath>
        <m:r>
          <w:rPr>
            <w:rFonts w:ascii="Cambria Math" w:hAnsi="Cambria Math"/>
          </w:rPr>
          <m:t>EG</m:t>
        </m:r>
        <m:sSub>
          <m:sSubPr>
            <m:ctrlPr>
              <w:rPr>
                <w:rFonts w:ascii="Cambria Math" w:hAnsi="Cambria Math"/>
                <w:i/>
              </w:rPr>
            </m:ctrlPr>
          </m:sSubPr>
          <m:e>
            <m:r>
              <w:rPr>
                <w:rFonts w:ascii="Cambria Math" w:hAnsi="Cambria Math"/>
              </w:rPr>
              <m:t>T</m:t>
            </m:r>
          </m:e>
          <m:sub>
            <m:r>
              <w:rPr>
                <w:rFonts w:ascii="Cambria Math" w:hAnsi="Cambria Math"/>
              </w:rPr>
              <m:t>drift</m:t>
            </m:r>
          </m:sub>
        </m:sSub>
      </m:oMath>
      <w:r>
        <w:t xml:space="preserve">, by contrast, exhibits a well-behaved approximately Gaussian distribution centred at </w:t>
      </w:r>
      <m:oMath>
        <m:r>
          <w:rPr>
            <w:rFonts w:ascii="Cambria Math" w:hAnsi="Cambria Math"/>
          </w:rPr>
          <m:t>μ≈0</m:t>
        </m:r>
      </m:oMath>
      <w:r w:rsidR="007A5DFA">
        <w:t xml:space="preserve"> </w:t>
      </w:r>
      <w:r>
        <w:t xml:space="preserve">with a standard deviation of approximately 1.0 — consistent with a properly constructed z-space deviation feature and confirming that this virtual sensor is non-degenerate and ready for Phase 4 ingestion without modification. The contrast between the three panels makes the denominator degeneracy problem visually unambiguous and constitutes the diagnostic justification for the CPR and </w:t>
      </w:r>
      <m:oMath>
        <m:sSub>
          <m:sSubPr>
            <m:ctrlPr>
              <w:rPr>
                <w:rFonts w:ascii="Cambria Math" w:hAnsi="Cambria Math"/>
              </w:rPr>
            </m:ctrlPr>
          </m:sSubPr>
          <m:e>
            <m:r>
              <w:rPr>
                <w:rFonts w:ascii="Cambria Math" w:hAnsi="Cambria Math"/>
              </w:rPr>
              <m:t>E</m:t>
            </m:r>
          </m:e>
          <m:sub>
            <m:r>
              <m:rPr>
                <m:nor/>
              </m:rPr>
              <m:t>thermal</m:t>
            </m:r>
          </m:sub>
        </m:sSub>
      </m:oMath>
      <w:r w:rsidR="007A5DFA">
        <w:t xml:space="preserve"> </w:t>
      </w:r>
      <w:r>
        <w:t>specification revisions documented in Sections 5.3.1 and 5.3.2.</w:t>
      </w:r>
    </w:p>
    <w:p w14:paraId="66D43A8F" w14:textId="10AD0B11" w:rsidR="00A807E4" w:rsidRPr="005B0FA3" w:rsidRDefault="00EC5944" w:rsidP="00623C1B">
      <w:pPr>
        <w:pStyle w:val="Heading2"/>
        <w:spacing w:before="100" w:beforeAutospacing="1" w:after="100" w:afterAutospacing="1"/>
      </w:pPr>
      <w:r w:rsidRPr="005B0FA3">
        <w:t>5.4  Step 4 — Cumulative Fatigue Index — Miner's Rule Proxy (3 Features</w:t>
      </w:r>
      <w:r w:rsidR="001D71E3">
        <w:t>—Cell 2</w:t>
      </w:r>
      <w:r w:rsidR="002A3148">
        <w:t>5</w:t>
      </w:r>
      <w:r w:rsidRPr="005B0FA3">
        <w:t>)</w:t>
      </w:r>
    </w:p>
    <w:p w14:paraId="76D7676C" w14:textId="6C13CF8D" w:rsidR="00A807E4" w:rsidRPr="000D6E34" w:rsidRDefault="00000000" w:rsidP="00623C1B">
      <w:pPr>
        <w:spacing w:before="100" w:beforeAutospacing="1" w:after="100" w:afterAutospacing="1"/>
        <w:jc w:val="both"/>
        <w:rPr>
          <w:rFonts w:cs="Arial"/>
          <w:szCs w:val="20"/>
        </w:rPr>
      </w:pPr>
      <w:r w:rsidRPr="000D6E34">
        <w:rPr>
          <w:rFonts w:cs="Arial"/>
          <w:szCs w:val="20"/>
        </w:rPr>
        <w:t>The cumulative fatigue index is the most physically grounded feature in the pipeline, formalising the concept of damage accumulation first articulated in the context of material fatigue by Miner (1945)</w:t>
      </w:r>
      <w:sdt>
        <w:sdtPr>
          <w:rPr>
            <w:rFonts w:cs="Arial"/>
            <w:szCs w:val="20"/>
          </w:rPr>
          <w:id w:val="116031388"/>
          <w:citation/>
        </w:sdtPr>
        <w:sdtContent>
          <w:r w:rsidR="001D71E3">
            <w:rPr>
              <w:rFonts w:cs="Arial"/>
              <w:szCs w:val="20"/>
            </w:rPr>
            <w:fldChar w:fldCharType="begin"/>
          </w:r>
          <w:r w:rsidR="001D71E3">
            <w:rPr>
              <w:rFonts w:cs="Arial"/>
              <w:szCs w:val="20"/>
            </w:rPr>
            <w:instrText xml:space="preserve"> CITATION Min45 \l 2057 </w:instrText>
          </w:r>
          <w:r w:rsidR="001D71E3">
            <w:rPr>
              <w:rFonts w:cs="Arial"/>
              <w:szCs w:val="20"/>
            </w:rPr>
            <w:fldChar w:fldCharType="separate"/>
          </w:r>
          <w:r w:rsidR="0074017E">
            <w:rPr>
              <w:rFonts w:cs="Arial"/>
              <w:noProof/>
              <w:szCs w:val="20"/>
            </w:rPr>
            <w:t xml:space="preserve"> </w:t>
          </w:r>
          <w:r w:rsidR="0074017E" w:rsidRPr="0074017E">
            <w:rPr>
              <w:rFonts w:cs="Arial"/>
              <w:noProof/>
              <w:szCs w:val="20"/>
            </w:rPr>
            <w:t>[2]</w:t>
          </w:r>
          <w:r w:rsidR="001D71E3">
            <w:rPr>
              <w:rFonts w:cs="Arial"/>
              <w:szCs w:val="20"/>
            </w:rPr>
            <w:fldChar w:fldCharType="end"/>
          </w:r>
        </w:sdtContent>
      </w:sdt>
      <w:r w:rsidRPr="000D6E34">
        <w:rPr>
          <w:rFonts w:cs="Arial"/>
          <w:szCs w:val="20"/>
        </w:rPr>
        <w:t xml:space="preserve">. Miner's Rule states that the cumulative damage </w:t>
      </w:r>
      <m:oMath>
        <m:r>
          <w:rPr>
            <w:rFonts w:ascii="Cambria Math" w:hAnsi="Cambria Math" w:cs="Arial"/>
            <w:szCs w:val="20"/>
          </w:rPr>
          <m:t>D</m:t>
        </m:r>
      </m:oMath>
      <w:r w:rsidRPr="000D6E34">
        <w:rPr>
          <w:rFonts w:cs="Arial"/>
          <w:szCs w:val="20"/>
        </w:rPr>
        <w:t xml:space="preserve"> at any point in a loading history is the sum of the cycle ratios </w:t>
      </w:r>
      <m:oMath>
        <m:f>
          <m:fPr>
            <m:ctrlPr>
              <w:rPr>
                <w:rFonts w:ascii="Cambria Math" w:hAnsi="Cambria Math" w:cs="Arial"/>
                <w:szCs w:val="20"/>
              </w:rPr>
            </m:ctrlPr>
          </m:fPr>
          <m:num>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i</m:t>
                </m:r>
              </m:sub>
            </m:sSub>
            <m:ctrlPr>
              <w:rPr>
                <w:rFonts w:ascii="Cambria Math" w:hAnsi="Cambria Math" w:cs="Arial"/>
                <w:i/>
                <w:szCs w:val="20"/>
              </w:rPr>
            </m:ctrlPr>
          </m:num>
          <m:den>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f</m:t>
                </m:r>
              </m:sub>
            </m:sSub>
            <m:ctrlPr>
              <w:rPr>
                <w:rFonts w:ascii="Cambria Math" w:hAnsi="Cambria Math" w:cs="Arial"/>
                <w:i/>
                <w:szCs w:val="20"/>
              </w:rPr>
            </m:ctrlPr>
          </m:den>
        </m:f>
      </m:oMath>
      <w:r w:rsidR="00C8789F">
        <w:rPr>
          <w:rFonts w:cs="Arial"/>
          <w:szCs w:val="20"/>
        </w:rPr>
        <w:t xml:space="preserve"> </w:t>
      </w:r>
      <w:r w:rsidRPr="000D6E34">
        <w:rPr>
          <w:rFonts w:cs="Arial"/>
          <w:szCs w:val="20"/>
        </w:rPr>
        <w:t>,</w:t>
      </w:r>
      <w:r w:rsidR="001D71E3">
        <w:rPr>
          <w:rFonts w:cs="Arial"/>
          <w:szCs w:val="20"/>
        </w:rPr>
        <w:t xml:space="preserve"> </w:t>
      </w:r>
      <w:r w:rsidRPr="000D6E34">
        <w:rPr>
          <w:rFonts w:cs="Arial"/>
          <w:szCs w:val="20"/>
        </w:rPr>
        <w:t xml:space="preserve">for each stress amplitude level </w:t>
      </w:r>
      <m:oMath>
        <m:r>
          <w:rPr>
            <w:rFonts w:ascii="Cambria Math" w:hAnsi="Cambria Math" w:cs="Arial"/>
            <w:szCs w:val="20"/>
          </w:rPr>
          <m:t>i</m:t>
        </m:r>
      </m:oMath>
      <w:r w:rsidRPr="000D6E34">
        <w:rPr>
          <w:rFonts w:cs="Arial"/>
          <w:szCs w:val="20"/>
        </w:rPr>
        <w:t xml:space="preserve">, where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i</m:t>
            </m:r>
          </m:sub>
        </m:sSub>
      </m:oMath>
      <w:r w:rsidRPr="000D6E34">
        <w:rPr>
          <w:rFonts w:cs="Arial"/>
          <w:szCs w:val="20"/>
        </w:rPr>
        <w:t xml:space="preserve"> is the number of cycles applied at amplitude </w:t>
      </w:r>
      <m:oMath>
        <m:r>
          <w:rPr>
            <w:rFonts w:ascii="Cambria Math" w:hAnsi="Cambria Math" w:cs="Arial"/>
            <w:szCs w:val="20"/>
          </w:rPr>
          <m:t>i</m:t>
        </m:r>
      </m:oMath>
      <w:r w:rsidRPr="000D6E34">
        <w:rPr>
          <w:rFonts w:cs="Arial"/>
          <w:szCs w:val="20"/>
        </w:rPr>
        <w:t xml:space="preserve"> and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f</m:t>
            </m:r>
          </m:sub>
        </m:sSub>
      </m:oMath>
      <w:r w:rsidRPr="000D6E34">
        <w:rPr>
          <w:rFonts w:cs="Arial"/>
          <w:szCs w:val="20"/>
        </w:rPr>
        <w:t>, is the fatigue life at that amplitude. The damage reaches unity at failure.</w:t>
      </w:r>
    </w:p>
    <w:p w14:paraId="40A79485" w14:textId="77777777" w:rsidR="00A807E4" w:rsidRPr="000D6E34" w:rsidRDefault="00000000" w:rsidP="00623C1B">
      <w:pPr>
        <w:spacing w:before="100" w:beforeAutospacing="1" w:after="100" w:afterAutospacing="1"/>
        <w:jc w:val="both"/>
        <w:rPr>
          <w:rFonts w:cs="Arial"/>
          <w:szCs w:val="20"/>
        </w:rPr>
      </w:pPr>
      <w:r w:rsidRPr="000D6E34">
        <w:rPr>
          <w:rFonts w:cs="Arial"/>
          <w:szCs w:val="20"/>
        </w:rPr>
        <w:t>The FusionCore implementation adapts this principle to turbofan condition monitoring using the z-space sensor signal as the damage proxy:</w:t>
      </w:r>
    </w:p>
    <w:p w14:paraId="3846D173" w14:textId="5F23D06B" w:rsidR="00A807E4" w:rsidRPr="001A13D1" w:rsidRDefault="001A13D1" w:rsidP="00623C1B">
      <w:pPr>
        <w:spacing w:before="100" w:beforeAutospacing="1" w:after="100" w:afterAutospacing="1"/>
        <w:jc w:val="center"/>
        <w:rPr>
          <w:rFonts w:cs="Arial"/>
          <w:szCs w:val="20"/>
        </w:rPr>
      </w:pPr>
      <m:oMathPara>
        <m:oMath>
          <m:r>
            <w:rPr>
              <w:rFonts w:ascii="Cambria Math" w:hAnsi="Cambria Math" w:cs="Arial"/>
              <w:color w:val="0D1B2A"/>
              <w:szCs w:val="20"/>
            </w:rPr>
            <w:lastRenderedPageBreak/>
            <m:t>D</m:t>
          </m:r>
          <m:d>
            <m:dPr>
              <m:ctrlPr>
                <w:rPr>
                  <w:rFonts w:ascii="Cambria Math" w:hAnsi="Cambria Math" w:cs="Arial"/>
                  <w:i/>
                  <w:color w:val="0D1B2A"/>
                  <w:szCs w:val="20"/>
                </w:rPr>
              </m:ctrlPr>
            </m:dPr>
            <m:e>
              <m:r>
                <w:rPr>
                  <w:rFonts w:ascii="Cambria Math" w:hAnsi="Cambria Math" w:cs="Arial"/>
                  <w:color w:val="0D1B2A"/>
                  <w:szCs w:val="20"/>
                </w:rPr>
                <m:t>t</m:t>
              </m:r>
            </m:e>
          </m:d>
          <m:r>
            <w:rPr>
              <w:rFonts w:ascii="Cambria Math" w:hAnsi="Cambria Math" w:cs="Arial"/>
              <w:color w:val="0D1B2A"/>
              <w:szCs w:val="20"/>
            </w:rPr>
            <m:t>=</m:t>
          </m:r>
          <m:nary>
            <m:naryPr>
              <m:chr m:val="∑"/>
              <m:ctrlPr>
                <w:rPr>
                  <w:rFonts w:ascii="Cambria Math" w:hAnsi="Cambria Math" w:cs="Arial"/>
                  <w:color w:val="0D1B2A"/>
                  <w:szCs w:val="20"/>
                </w:rPr>
              </m:ctrlPr>
            </m:naryPr>
            <m:sub>
              <m:r>
                <w:rPr>
                  <w:rFonts w:ascii="Cambria Math" w:hAnsi="Cambria Math" w:cs="Arial"/>
                  <w:color w:val="0D1B2A"/>
                  <w:szCs w:val="20"/>
                </w:rPr>
                <m:t>i=1</m:t>
              </m:r>
              <m:ctrlPr>
                <w:rPr>
                  <w:rFonts w:ascii="Cambria Math" w:hAnsi="Cambria Math" w:cs="Arial"/>
                  <w:i/>
                  <w:color w:val="0D1B2A"/>
                  <w:szCs w:val="20"/>
                </w:rPr>
              </m:ctrlPr>
            </m:sub>
            <m:sup>
              <m:r>
                <w:rPr>
                  <w:rFonts w:ascii="Cambria Math" w:hAnsi="Cambria Math" w:cs="Arial"/>
                  <w:color w:val="0D1B2A"/>
                  <w:szCs w:val="20"/>
                </w:rPr>
                <m:t>t</m:t>
              </m:r>
              <m:ctrlPr>
                <w:rPr>
                  <w:rFonts w:ascii="Cambria Math" w:hAnsi="Cambria Math" w:cs="Arial"/>
                  <w:i/>
                  <w:color w:val="0D1B2A"/>
                  <w:szCs w:val="20"/>
                </w:rPr>
              </m:ctrlPr>
            </m:sup>
            <m:e>
              <m:func>
                <m:funcPr>
                  <m:ctrlPr>
                    <w:rPr>
                      <w:rFonts w:ascii="Cambria Math" w:hAnsi="Cambria Math" w:cs="Arial"/>
                      <w:color w:val="0D1B2A"/>
                      <w:szCs w:val="20"/>
                    </w:rPr>
                  </m:ctrlPr>
                </m:funcPr>
                <m:fName>
                  <m:r>
                    <m:rPr>
                      <m:sty m:val="p"/>
                    </m:rPr>
                    <w:rPr>
                      <w:rFonts w:ascii="Cambria Math" w:hAnsi="Cambria Math" w:cs="Arial"/>
                      <w:color w:val="0D1B2A"/>
                      <w:szCs w:val="20"/>
                    </w:rPr>
                    <m:t>max</m:t>
                  </m:r>
                </m:fName>
                <m:e>
                  <m:d>
                    <m:dPr>
                      <m:ctrlPr>
                        <w:rPr>
                          <w:rFonts w:ascii="Cambria Math" w:hAnsi="Cambria Math" w:cs="Arial"/>
                          <w:i/>
                          <w:color w:val="0D1B2A"/>
                          <w:szCs w:val="20"/>
                        </w:rPr>
                      </m:ctrlPr>
                    </m:dPr>
                    <m:e>
                      <m:r>
                        <w:rPr>
                          <w:rFonts w:ascii="Cambria Math" w:hAnsi="Cambria Math" w:cs="Arial"/>
                          <w:color w:val="0D1B2A"/>
                          <w:szCs w:val="20"/>
                        </w:rPr>
                        <m:t>0,</m:t>
                      </m:r>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m:t>
                          </m:r>
                        </m:sub>
                      </m:sSub>
                      <m:d>
                        <m:dPr>
                          <m:ctrlPr>
                            <w:rPr>
                              <w:rFonts w:ascii="Cambria Math" w:hAnsi="Cambria Math" w:cs="Arial"/>
                              <w:i/>
                              <w:color w:val="0D1B2A"/>
                              <w:szCs w:val="20"/>
                            </w:rPr>
                          </m:ctrlPr>
                        </m:dPr>
                        <m:e>
                          <m:r>
                            <w:rPr>
                              <w:rFonts w:ascii="Cambria Math" w:hAnsi="Cambria Math" w:cs="Arial"/>
                              <w:color w:val="0D1B2A"/>
                              <w:szCs w:val="20"/>
                            </w:rPr>
                            <m:t>i</m:t>
                          </m:r>
                        </m:e>
                      </m:d>
                    </m:e>
                  </m:d>
                </m:e>
              </m:func>
              <m:ctrlPr>
                <w:rPr>
                  <w:rFonts w:ascii="Cambria Math" w:hAnsi="Cambria Math" w:cs="Arial"/>
                  <w:i/>
                  <w:color w:val="0D1B2A"/>
                  <w:szCs w:val="20"/>
                </w:rPr>
              </m:ctrlPr>
            </m:e>
          </m:nary>
        </m:oMath>
      </m:oMathPara>
    </w:p>
    <w:p w14:paraId="0FDDFFC6" w14:textId="1B886181" w:rsidR="00A807E4" w:rsidRPr="000D6E34" w:rsidRDefault="00000000" w:rsidP="001A13D1">
      <w:pPr>
        <w:spacing w:before="100" w:beforeAutospacing="1" w:after="100" w:afterAutospacing="1"/>
        <w:rPr>
          <w:rFonts w:cs="Arial"/>
          <w:szCs w:val="20"/>
        </w:rPr>
      </w:pPr>
      <w:r w:rsidRPr="000D6E34">
        <w:rPr>
          <w:rFonts w:cs="Arial"/>
          <w:color w:val="0D1B2A"/>
          <w:szCs w:val="20"/>
        </w:rPr>
        <w:t xml:space="preserve">where </w:t>
      </w:r>
      <m:oMath>
        <m:sSub>
          <m:sSubPr>
            <m:ctrlPr>
              <w:rPr>
                <w:rFonts w:ascii="Cambria Math" w:hAnsi="Cambria Math" w:cs="Arial"/>
                <w:i/>
                <w:color w:val="0D1B2A"/>
                <w:szCs w:val="20"/>
              </w:rPr>
            </m:ctrlPr>
          </m:sSubPr>
          <m:e>
            <m:r>
              <w:rPr>
                <w:rFonts w:ascii="Cambria Math" w:hAnsi="Cambria Math" w:cs="Arial"/>
                <w:color w:val="0D1B2A"/>
                <w:szCs w:val="20"/>
              </w:rPr>
              <m:t>z</m:t>
            </m:r>
          </m:e>
          <m:sub>
            <m:r>
              <w:rPr>
                <w:rFonts w:ascii="Cambria Math" w:hAnsi="Cambria Math" w:cs="Arial"/>
                <w:color w:val="0D1B2A"/>
                <w:szCs w:val="20"/>
              </w:rPr>
              <m:t>s</m:t>
            </m:r>
          </m:sub>
        </m:sSub>
        <m:d>
          <m:dPr>
            <m:ctrlPr>
              <w:rPr>
                <w:rFonts w:ascii="Cambria Math" w:hAnsi="Cambria Math" w:cs="Arial"/>
                <w:i/>
                <w:color w:val="0D1B2A"/>
                <w:szCs w:val="20"/>
              </w:rPr>
            </m:ctrlPr>
          </m:dPr>
          <m:e>
            <m:r>
              <w:rPr>
                <w:rFonts w:ascii="Cambria Math" w:hAnsi="Cambria Math" w:cs="Arial"/>
                <w:color w:val="0D1B2A"/>
                <w:szCs w:val="20"/>
              </w:rPr>
              <m:t>i</m:t>
            </m:r>
          </m:e>
        </m:d>
      </m:oMath>
      <w:r w:rsidRPr="000D6E34">
        <w:rPr>
          <w:rFonts w:cs="Arial"/>
          <w:color w:val="0D1B2A"/>
          <w:szCs w:val="20"/>
        </w:rPr>
        <w:t xml:space="preserve"> is the regime-normalised z-score of sensor </w:t>
      </w:r>
      <m:oMath>
        <m:r>
          <w:rPr>
            <w:rFonts w:ascii="Cambria Math" w:hAnsi="Cambria Math" w:cs="Arial"/>
            <w:color w:val="0D1B2A"/>
            <w:szCs w:val="20"/>
          </w:rPr>
          <m:t>s</m:t>
        </m:r>
      </m:oMath>
      <w:r w:rsidRPr="000D6E34">
        <w:rPr>
          <w:rFonts w:cs="Arial"/>
          <w:color w:val="0D1B2A"/>
          <w:szCs w:val="20"/>
        </w:rPr>
        <w:t xml:space="preserve"> at cycle </w:t>
      </w:r>
      <m:oMath>
        <m:r>
          <w:rPr>
            <w:rFonts w:ascii="Cambria Math" w:hAnsi="Cambria Math" w:cs="Arial"/>
            <w:color w:val="0D1B2A"/>
            <w:szCs w:val="20"/>
          </w:rPr>
          <m:t>i</m:t>
        </m:r>
      </m:oMath>
    </w:p>
    <w:p w14:paraId="5E818915" w14:textId="708DAC32"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Only positive deviations </w:t>
      </w:r>
      <m:oMath>
        <m:r>
          <w:rPr>
            <w:rFonts w:ascii="Cambria Math" w:hAnsi="Cambria Math" w:cs="Arial"/>
            <w:szCs w:val="20"/>
          </w:rPr>
          <m:t>(z &gt; 0)</m:t>
        </m:r>
      </m:oMath>
      <w:r w:rsidRPr="000D6E34">
        <w:rPr>
          <w:rFonts w:cs="Arial"/>
          <w:szCs w:val="20"/>
        </w:rPr>
        <w:t xml:space="preserve"> are accumulated, consistent with the physical interpretation that damage accrues only when the sensor measurement exceeds the regime healthy baseline (e.g., EGT higher than the nominal value, pressure higher than the nominal, core speed higher than the nominal). This is an asymmetric damage accumulation model, analogous to the positive-half rectification used in rainflow cycle counting for fatigue assessment</w:t>
      </w:r>
      <w:sdt>
        <w:sdtPr>
          <w:rPr>
            <w:rFonts w:cs="Arial"/>
            <w:szCs w:val="20"/>
          </w:rPr>
          <w:id w:val="-549373436"/>
          <w:citation/>
        </w:sdtPr>
        <w:sdtContent>
          <w:r w:rsidR="00A05C02">
            <w:rPr>
              <w:rFonts w:cs="Arial"/>
              <w:szCs w:val="20"/>
            </w:rPr>
            <w:fldChar w:fldCharType="begin"/>
          </w:r>
          <w:r w:rsidR="00A05C02">
            <w:rPr>
              <w:rFonts w:cs="Arial"/>
              <w:szCs w:val="20"/>
            </w:rPr>
            <w:instrText xml:space="preserve"> CITATION AST17 \l 2057 </w:instrText>
          </w:r>
          <w:r w:rsidR="00A05C02">
            <w:rPr>
              <w:rFonts w:cs="Arial"/>
              <w:szCs w:val="20"/>
            </w:rPr>
            <w:fldChar w:fldCharType="separate"/>
          </w:r>
          <w:r w:rsidR="0074017E">
            <w:rPr>
              <w:rFonts w:cs="Arial"/>
              <w:noProof/>
              <w:szCs w:val="20"/>
            </w:rPr>
            <w:t xml:space="preserve"> </w:t>
          </w:r>
          <w:r w:rsidR="0074017E" w:rsidRPr="0074017E">
            <w:rPr>
              <w:rFonts w:cs="Arial"/>
              <w:noProof/>
              <w:szCs w:val="20"/>
            </w:rPr>
            <w:t>[18]</w:t>
          </w:r>
          <w:r w:rsidR="00A05C02">
            <w:rPr>
              <w:rFonts w:cs="Arial"/>
              <w:szCs w:val="20"/>
            </w:rPr>
            <w:fldChar w:fldCharType="end"/>
          </w:r>
        </w:sdtContent>
      </w:sdt>
      <w:r w:rsidRPr="000D6E34">
        <w:rPr>
          <w:rFonts w:cs="Arial"/>
          <w:szCs w:val="20"/>
        </w:rPr>
        <w:t>.</w:t>
      </w:r>
    </w:p>
    <w:p w14:paraId="2A74D0FC" w14:textId="19178F23" w:rsidR="00A807E4" w:rsidRPr="000D6E34" w:rsidRDefault="00000000" w:rsidP="00623C1B">
      <w:pPr>
        <w:spacing w:before="100" w:beforeAutospacing="1" w:after="100" w:afterAutospacing="1"/>
        <w:jc w:val="both"/>
        <w:rPr>
          <w:rFonts w:cs="Arial"/>
          <w:szCs w:val="20"/>
        </w:rPr>
      </w:pPr>
      <w:r w:rsidRPr="000D6E34">
        <w:rPr>
          <w:rFonts w:cs="Arial"/>
          <w:szCs w:val="20"/>
        </w:rPr>
        <w:t>The three cumulative fatigue channels are computed for s4 (T50/EGT), s9 (Nc/Core Speed), and s7 (P30/HPC Pressure) — the same sensors constituting the multivariate health index. The results are presented in Table 1</w:t>
      </w:r>
      <w:r w:rsidR="00B53A9B">
        <w:rPr>
          <w:rFonts w:cs="Arial"/>
          <w:szCs w:val="20"/>
        </w:rPr>
        <w:t>6</w:t>
      </w:r>
      <w:r w:rsidRPr="000D6E34">
        <w:rPr>
          <w:rFonts w:cs="Arial"/>
          <w:szCs w:val="20"/>
        </w:rPr>
        <w:t>.</w:t>
      </w:r>
    </w:p>
    <w:p w14:paraId="3E067AD5" w14:textId="1FB2CAA1" w:rsidR="00A807E4" w:rsidRPr="000D6E34" w:rsidRDefault="00000000" w:rsidP="00623C1B">
      <w:pPr>
        <w:spacing w:before="100" w:beforeAutospacing="1" w:after="100" w:afterAutospacing="1"/>
        <w:rPr>
          <w:rFonts w:cs="Arial"/>
          <w:i/>
          <w:iCs/>
          <w:szCs w:val="20"/>
        </w:rPr>
      </w:pPr>
      <w:r w:rsidRPr="000D6E34">
        <w:rPr>
          <w:rFonts w:cs="Arial"/>
          <w:b/>
          <w:bCs/>
          <w:i/>
          <w:iCs/>
          <w:color w:val="1B3A5C"/>
          <w:szCs w:val="20"/>
        </w:rPr>
        <w:t>Table 1</w:t>
      </w:r>
      <w:r w:rsidR="002A3148">
        <w:rPr>
          <w:rFonts w:cs="Arial"/>
          <w:b/>
          <w:bCs/>
          <w:i/>
          <w:iCs/>
          <w:color w:val="1B3A5C"/>
          <w:szCs w:val="20"/>
        </w:rPr>
        <w:t>6</w:t>
      </w:r>
      <w:r w:rsidR="00BD4886">
        <w:rPr>
          <w:rFonts w:cs="Arial"/>
          <w:b/>
          <w:bCs/>
          <w:i/>
          <w:iCs/>
          <w:color w:val="1B3A5C"/>
          <w:szCs w:val="20"/>
        </w:rPr>
        <w:t>.</w:t>
      </w:r>
      <w:r w:rsidRPr="000D6E34">
        <w:rPr>
          <w:rFonts w:cs="Arial"/>
          <w:b/>
          <w:bCs/>
          <w:i/>
          <w:iCs/>
          <w:color w:val="1B3A5C"/>
          <w:szCs w:val="20"/>
        </w:rPr>
        <w:t xml:space="preserve"> Cumulative Fatigue Index Summary Statistics (Internal Train and Validation)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1435"/>
        <w:gridCol w:w="1517"/>
        <w:gridCol w:w="1275"/>
        <w:gridCol w:w="1843"/>
        <w:gridCol w:w="2126"/>
      </w:tblGrid>
      <w:tr w:rsidR="00A807E4" w:rsidRPr="005B0FA3" w14:paraId="2553E6AA" w14:textId="77777777" w:rsidTr="00EC5944">
        <w:trPr>
          <w:tblHeader/>
        </w:trPr>
        <w:tc>
          <w:tcPr>
            <w:tcW w:w="87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19A323CF"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Sensor</w:t>
            </w:r>
          </w:p>
        </w:tc>
        <w:tc>
          <w:tcPr>
            <w:tcW w:w="143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2A17B4A"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Physical Quantity</w:t>
            </w:r>
          </w:p>
        </w:tc>
        <w:tc>
          <w:tcPr>
            <w:tcW w:w="15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8039D7A"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Train Maximum D(T)</w:t>
            </w:r>
          </w:p>
        </w:tc>
        <w:tc>
          <w:tcPr>
            <w:tcW w:w="127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DBD11C3"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Train Mean D(terminal)</w:t>
            </w:r>
          </w:p>
        </w:tc>
        <w:tc>
          <w:tcPr>
            <w:tcW w:w="184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95F2168"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Val Maximum D(T)</w:t>
            </w:r>
          </w:p>
        </w:tc>
        <w:tc>
          <w:tcPr>
            <w:tcW w:w="2126"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61917C21"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Val Mean D(terminal)</w:t>
            </w:r>
          </w:p>
        </w:tc>
      </w:tr>
      <w:tr w:rsidR="004C002F" w14:paraId="57C8386D" w14:textId="77777777" w:rsidTr="00EC5944">
        <w:tc>
          <w:tcPr>
            <w:tcW w:w="871" w:type="dxa"/>
            <w:shd w:val="clear" w:color="auto" w:fill="FFFFFF"/>
            <w:tcMar>
              <w:top w:w="80" w:type="dxa"/>
              <w:left w:w="120" w:type="dxa"/>
              <w:bottom w:w="80" w:type="dxa"/>
              <w:right w:w="120" w:type="dxa"/>
            </w:tcMar>
            <w:vAlign w:val="center"/>
          </w:tcPr>
          <w:p w14:paraId="1EC4D815" w14:textId="77777777" w:rsidR="00A807E4" w:rsidRPr="005B0FA3" w:rsidRDefault="00000000" w:rsidP="00623C1B">
            <w:pPr>
              <w:spacing w:before="100" w:beforeAutospacing="1" w:after="100" w:afterAutospacing="1"/>
              <w:rPr>
                <w:rFonts w:cs="Arial"/>
              </w:rPr>
            </w:pPr>
            <w:r w:rsidRPr="005B0FA3">
              <w:rPr>
                <w:rFonts w:cs="Arial"/>
                <w:sz w:val="18"/>
                <w:szCs w:val="18"/>
              </w:rPr>
              <w:t>s4</w:t>
            </w:r>
          </w:p>
        </w:tc>
        <w:tc>
          <w:tcPr>
            <w:tcW w:w="1435" w:type="dxa"/>
            <w:shd w:val="clear" w:color="auto" w:fill="FFFFFF"/>
            <w:tcMar>
              <w:top w:w="80" w:type="dxa"/>
              <w:left w:w="120" w:type="dxa"/>
              <w:bottom w:w="80" w:type="dxa"/>
              <w:right w:w="120" w:type="dxa"/>
            </w:tcMar>
            <w:vAlign w:val="center"/>
          </w:tcPr>
          <w:p w14:paraId="00A26CAF" w14:textId="77777777" w:rsidR="00A807E4" w:rsidRPr="005B0FA3" w:rsidRDefault="00000000" w:rsidP="00623C1B">
            <w:pPr>
              <w:spacing w:before="100" w:beforeAutospacing="1" w:after="100" w:afterAutospacing="1"/>
              <w:rPr>
                <w:rFonts w:cs="Arial"/>
              </w:rPr>
            </w:pPr>
            <w:r w:rsidRPr="005B0FA3">
              <w:rPr>
                <w:rFonts w:cs="Arial"/>
                <w:sz w:val="18"/>
                <w:szCs w:val="18"/>
              </w:rPr>
              <w:t>T50 — LPT Outlet / EGT</w:t>
            </w:r>
          </w:p>
        </w:tc>
        <w:tc>
          <w:tcPr>
            <w:tcW w:w="1517" w:type="dxa"/>
            <w:shd w:val="clear" w:color="auto" w:fill="FFFFFF"/>
            <w:tcMar>
              <w:top w:w="80" w:type="dxa"/>
              <w:left w:w="120" w:type="dxa"/>
              <w:bottom w:w="80" w:type="dxa"/>
              <w:right w:w="120" w:type="dxa"/>
            </w:tcMar>
            <w:vAlign w:val="center"/>
          </w:tcPr>
          <w:p w14:paraId="72301AE3" w14:textId="77777777" w:rsidR="00A807E4" w:rsidRPr="005B0FA3" w:rsidRDefault="00000000" w:rsidP="00623C1B">
            <w:pPr>
              <w:spacing w:before="100" w:beforeAutospacing="1" w:after="100" w:afterAutospacing="1"/>
              <w:rPr>
                <w:rFonts w:cs="Arial"/>
              </w:rPr>
            </w:pPr>
            <w:r w:rsidRPr="005B0FA3">
              <w:rPr>
                <w:rFonts w:cs="Arial"/>
                <w:sz w:val="18"/>
                <w:szCs w:val="18"/>
              </w:rPr>
              <w:t>303.50</w:t>
            </w:r>
          </w:p>
        </w:tc>
        <w:tc>
          <w:tcPr>
            <w:tcW w:w="1275" w:type="dxa"/>
            <w:shd w:val="clear" w:color="auto" w:fill="FFFFFF"/>
            <w:tcMar>
              <w:top w:w="80" w:type="dxa"/>
              <w:left w:w="120" w:type="dxa"/>
              <w:bottom w:w="80" w:type="dxa"/>
              <w:right w:w="120" w:type="dxa"/>
            </w:tcMar>
            <w:vAlign w:val="center"/>
          </w:tcPr>
          <w:p w14:paraId="3A8461D7" w14:textId="77777777" w:rsidR="00A807E4" w:rsidRPr="005B0FA3" w:rsidRDefault="00000000" w:rsidP="00623C1B">
            <w:pPr>
              <w:spacing w:before="100" w:beforeAutospacing="1" w:after="100" w:afterAutospacing="1"/>
              <w:rPr>
                <w:rFonts w:cs="Arial"/>
              </w:rPr>
            </w:pPr>
            <w:r w:rsidRPr="005B0FA3">
              <w:rPr>
                <w:rFonts w:cs="Arial"/>
                <w:sz w:val="18"/>
                <w:szCs w:val="18"/>
              </w:rPr>
              <w:t>81.87</w:t>
            </w:r>
          </w:p>
        </w:tc>
        <w:tc>
          <w:tcPr>
            <w:tcW w:w="1843" w:type="dxa"/>
            <w:shd w:val="clear" w:color="auto" w:fill="FFFFFF"/>
            <w:tcMar>
              <w:top w:w="80" w:type="dxa"/>
              <w:left w:w="120" w:type="dxa"/>
              <w:bottom w:w="80" w:type="dxa"/>
              <w:right w:w="120" w:type="dxa"/>
            </w:tcMar>
            <w:vAlign w:val="center"/>
          </w:tcPr>
          <w:p w14:paraId="03AA3F37" w14:textId="77777777" w:rsidR="00A807E4" w:rsidRPr="005B0FA3" w:rsidRDefault="00000000" w:rsidP="00623C1B">
            <w:pPr>
              <w:spacing w:before="100" w:beforeAutospacing="1" w:after="100" w:afterAutospacing="1"/>
              <w:rPr>
                <w:rFonts w:cs="Arial"/>
              </w:rPr>
            </w:pPr>
            <w:r w:rsidRPr="005B0FA3">
              <w:rPr>
                <w:rFonts w:cs="Arial"/>
                <w:sz w:val="18"/>
                <w:szCs w:val="18"/>
              </w:rPr>
              <w:t>298.52</w:t>
            </w:r>
          </w:p>
        </w:tc>
        <w:tc>
          <w:tcPr>
            <w:tcW w:w="2126" w:type="dxa"/>
            <w:shd w:val="clear" w:color="auto" w:fill="FFFFFF"/>
            <w:tcMar>
              <w:top w:w="80" w:type="dxa"/>
              <w:left w:w="120" w:type="dxa"/>
              <w:bottom w:w="80" w:type="dxa"/>
              <w:right w:w="120" w:type="dxa"/>
            </w:tcMar>
            <w:vAlign w:val="center"/>
          </w:tcPr>
          <w:p w14:paraId="3547C6BF" w14:textId="77777777" w:rsidR="00A807E4" w:rsidRPr="005B0FA3" w:rsidRDefault="00000000" w:rsidP="00623C1B">
            <w:pPr>
              <w:spacing w:before="100" w:beforeAutospacing="1" w:after="100" w:afterAutospacing="1"/>
              <w:rPr>
                <w:rFonts w:cs="Arial"/>
              </w:rPr>
            </w:pPr>
            <w:r w:rsidRPr="005B0FA3">
              <w:rPr>
                <w:rFonts w:cs="Arial"/>
                <w:sz w:val="18"/>
                <w:szCs w:val="18"/>
              </w:rPr>
              <w:t>84.47</w:t>
            </w:r>
          </w:p>
        </w:tc>
      </w:tr>
      <w:tr w:rsidR="004C002F" w14:paraId="50153BA9" w14:textId="77777777" w:rsidTr="00EC5944">
        <w:tc>
          <w:tcPr>
            <w:tcW w:w="871" w:type="dxa"/>
            <w:shd w:val="clear" w:color="auto" w:fill="F0F4F8"/>
            <w:tcMar>
              <w:top w:w="80" w:type="dxa"/>
              <w:left w:w="120" w:type="dxa"/>
              <w:bottom w:w="80" w:type="dxa"/>
              <w:right w:w="120" w:type="dxa"/>
            </w:tcMar>
            <w:vAlign w:val="center"/>
          </w:tcPr>
          <w:p w14:paraId="2B0A0BBF" w14:textId="77777777" w:rsidR="00A807E4" w:rsidRPr="005B0FA3" w:rsidRDefault="00000000" w:rsidP="00623C1B">
            <w:pPr>
              <w:spacing w:before="100" w:beforeAutospacing="1" w:after="100" w:afterAutospacing="1"/>
              <w:rPr>
                <w:rFonts w:cs="Arial"/>
              </w:rPr>
            </w:pPr>
            <w:r w:rsidRPr="005B0FA3">
              <w:rPr>
                <w:rFonts w:cs="Arial"/>
                <w:sz w:val="18"/>
                <w:szCs w:val="18"/>
              </w:rPr>
              <w:t>s9</w:t>
            </w:r>
          </w:p>
        </w:tc>
        <w:tc>
          <w:tcPr>
            <w:tcW w:w="1435" w:type="dxa"/>
            <w:shd w:val="clear" w:color="auto" w:fill="F0F4F8"/>
            <w:tcMar>
              <w:top w:w="80" w:type="dxa"/>
              <w:left w:w="120" w:type="dxa"/>
              <w:bottom w:w="80" w:type="dxa"/>
              <w:right w:w="120" w:type="dxa"/>
            </w:tcMar>
            <w:vAlign w:val="center"/>
          </w:tcPr>
          <w:p w14:paraId="3B7174C8" w14:textId="77777777" w:rsidR="00A807E4" w:rsidRPr="005B0FA3" w:rsidRDefault="00000000" w:rsidP="00623C1B">
            <w:pPr>
              <w:spacing w:before="100" w:beforeAutospacing="1" w:after="100" w:afterAutospacing="1"/>
              <w:rPr>
                <w:rFonts w:cs="Arial"/>
              </w:rPr>
            </w:pPr>
            <w:r w:rsidRPr="005B0FA3">
              <w:rPr>
                <w:rFonts w:cs="Arial"/>
                <w:sz w:val="18"/>
                <w:szCs w:val="18"/>
              </w:rPr>
              <w:t>Nc — Core Speed</w:t>
            </w:r>
          </w:p>
        </w:tc>
        <w:tc>
          <w:tcPr>
            <w:tcW w:w="1517" w:type="dxa"/>
            <w:shd w:val="clear" w:color="auto" w:fill="F0F4F8"/>
            <w:tcMar>
              <w:top w:w="80" w:type="dxa"/>
              <w:left w:w="120" w:type="dxa"/>
              <w:bottom w:w="80" w:type="dxa"/>
              <w:right w:w="120" w:type="dxa"/>
            </w:tcMar>
            <w:vAlign w:val="center"/>
          </w:tcPr>
          <w:p w14:paraId="0A99E0B2" w14:textId="77777777" w:rsidR="00A807E4" w:rsidRPr="005B0FA3" w:rsidRDefault="00000000" w:rsidP="00623C1B">
            <w:pPr>
              <w:spacing w:before="100" w:beforeAutospacing="1" w:after="100" w:afterAutospacing="1"/>
              <w:rPr>
                <w:rFonts w:cs="Arial"/>
              </w:rPr>
            </w:pPr>
            <w:r w:rsidRPr="005B0FA3">
              <w:rPr>
                <w:rFonts w:cs="Arial"/>
                <w:sz w:val="18"/>
                <w:szCs w:val="18"/>
              </w:rPr>
              <w:t>387.45</w:t>
            </w:r>
          </w:p>
        </w:tc>
        <w:tc>
          <w:tcPr>
            <w:tcW w:w="1275" w:type="dxa"/>
            <w:shd w:val="clear" w:color="auto" w:fill="F0F4F8"/>
            <w:tcMar>
              <w:top w:w="80" w:type="dxa"/>
              <w:left w:w="120" w:type="dxa"/>
              <w:bottom w:w="80" w:type="dxa"/>
              <w:right w:w="120" w:type="dxa"/>
            </w:tcMar>
            <w:vAlign w:val="center"/>
          </w:tcPr>
          <w:p w14:paraId="4C4DBD71" w14:textId="77777777" w:rsidR="00A807E4" w:rsidRPr="005B0FA3" w:rsidRDefault="00000000" w:rsidP="00623C1B">
            <w:pPr>
              <w:spacing w:before="100" w:beforeAutospacing="1" w:after="100" w:afterAutospacing="1"/>
              <w:rPr>
                <w:rFonts w:cs="Arial"/>
              </w:rPr>
            </w:pPr>
            <w:r w:rsidRPr="005B0FA3">
              <w:rPr>
                <w:rFonts w:cs="Arial"/>
                <w:sz w:val="18"/>
                <w:szCs w:val="18"/>
              </w:rPr>
              <w:t>69.96</w:t>
            </w:r>
          </w:p>
        </w:tc>
        <w:tc>
          <w:tcPr>
            <w:tcW w:w="1843" w:type="dxa"/>
            <w:shd w:val="clear" w:color="auto" w:fill="F0F4F8"/>
            <w:tcMar>
              <w:top w:w="80" w:type="dxa"/>
              <w:left w:w="120" w:type="dxa"/>
              <w:bottom w:w="80" w:type="dxa"/>
              <w:right w:w="120" w:type="dxa"/>
            </w:tcMar>
            <w:vAlign w:val="center"/>
          </w:tcPr>
          <w:p w14:paraId="5D697B67" w14:textId="77777777" w:rsidR="00A807E4" w:rsidRPr="005B0FA3" w:rsidRDefault="00000000" w:rsidP="00623C1B">
            <w:pPr>
              <w:spacing w:before="100" w:beforeAutospacing="1" w:after="100" w:afterAutospacing="1"/>
              <w:rPr>
                <w:rFonts w:cs="Arial"/>
              </w:rPr>
            </w:pPr>
            <w:r w:rsidRPr="005B0FA3">
              <w:rPr>
                <w:rFonts w:cs="Arial"/>
                <w:sz w:val="18"/>
                <w:szCs w:val="18"/>
              </w:rPr>
              <w:t>484.62</w:t>
            </w:r>
          </w:p>
        </w:tc>
        <w:tc>
          <w:tcPr>
            <w:tcW w:w="2126" w:type="dxa"/>
            <w:shd w:val="clear" w:color="auto" w:fill="F0F4F8"/>
            <w:tcMar>
              <w:top w:w="80" w:type="dxa"/>
              <w:left w:w="120" w:type="dxa"/>
              <w:bottom w:w="80" w:type="dxa"/>
              <w:right w:w="120" w:type="dxa"/>
            </w:tcMar>
            <w:vAlign w:val="center"/>
          </w:tcPr>
          <w:p w14:paraId="32B01914" w14:textId="77777777" w:rsidR="00A807E4" w:rsidRPr="005B0FA3" w:rsidRDefault="00000000" w:rsidP="00623C1B">
            <w:pPr>
              <w:spacing w:before="100" w:beforeAutospacing="1" w:after="100" w:afterAutospacing="1"/>
              <w:rPr>
                <w:rFonts w:cs="Arial"/>
              </w:rPr>
            </w:pPr>
            <w:r w:rsidRPr="005B0FA3">
              <w:rPr>
                <w:rFonts w:cs="Arial"/>
                <w:sz w:val="18"/>
                <w:szCs w:val="18"/>
              </w:rPr>
              <w:t>73.40</w:t>
            </w:r>
          </w:p>
        </w:tc>
      </w:tr>
      <w:tr w:rsidR="004C002F" w14:paraId="3477DFFF" w14:textId="77777777" w:rsidTr="00EC5944">
        <w:tc>
          <w:tcPr>
            <w:tcW w:w="871" w:type="dxa"/>
            <w:shd w:val="clear" w:color="auto" w:fill="FFFFFF"/>
            <w:tcMar>
              <w:top w:w="80" w:type="dxa"/>
              <w:left w:w="120" w:type="dxa"/>
              <w:bottom w:w="80" w:type="dxa"/>
              <w:right w:w="120" w:type="dxa"/>
            </w:tcMar>
            <w:vAlign w:val="center"/>
          </w:tcPr>
          <w:p w14:paraId="3BFE5ECE" w14:textId="77777777" w:rsidR="00A807E4" w:rsidRPr="005B0FA3" w:rsidRDefault="00000000" w:rsidP="00623C1B">
            <w:pPr>
              <w:spacing w:before="100" w:beforeAutospacing="1" w:after="100" w:afterAutospacing="1"/>
              <w:rPr>
                <w:rFonts w:cs="Arial"/>
              </w:rPr>
            </w:pPr>
            <w:r w:rsidRPr="005B0FA3">
              <w:rPr>
                <w:rFonts w:cs="Arial"/>
                <w:sz w:val="18"/>
                <w:szCs w:val="18"/>
              </w:rPr>
              <w:t>s7</w:t>
            </w:r>
          </w:p>
        </w:tc>
        <w:tc>
          <w:tcPr>
            <w:tcW w:w="1435" w:type="dxa"/>
            <w:shd w:val="clear" w:color="auto" w:fill="FFFFFF"/>
            <w:tcMar>
              <w:top w:w="80" w:type="dxa"/>
              <w:left w:w="120" w:type="dxa"/>
              <w:bottom w:w="80" w:type="dxa"/>
              <w:right w:w="120" w:type="dxa"/>
            </w:tcMar>
            <w:vAlign w:val="center"/>
          </w:tcPr>
          <w:p w14:paraId="2887DDB4" w14:textId="77777777" w:rsidR="00A807E4" w:rsidRPr="005B0FA3" w:rsidRDefault="00000000" w:rsidP="00623C1B">
            <w:pPr>
              <w:spacing w:before="100" w:beforeAutospacing="1" w:after="100" w:afterAutospacing="1"/>
              <w:rPr>
                <w:rFonts w:cs="Arial"/>
              </w:rPr>
            </w:pPr>
            <w:r w:rsidRPr="005B0FA3">
              <w:rPr>
                <w:rFonts w:cs="Arial"/>
                <w:sz w:val="18"/>
                <w:szCs w:val="18"/>
              </w:rPr>
              <w:t>P30 — HPC Outlet Pressure</w:t>
            </w:r>
          </w:p>
        </w:tc>
        <w:tc>
          <w:tcPr>
            <w:tcW w:w="1517" w:type="dxa"/>
            <w:shd w:val="clear" w:color="auto" w:fill="FFFFFF"/>
            <w:tcMar>
              <w:top w:w="80" w:type="dxa"/>
              <w:left w:w="120" w:type="dxa"/>
              <w:bottom w:w="80" w:type="dxa"/>
              <w:right w:w="120" w:type="dxa"/>
            </w:tcMar>
            <w:vAlign w:val="center"/>
          </w:tcPr>
          <w:p w14:paraId="7F510632" w14:textId="77777777" w:rsidR="00A807E4" w:rsidRPr="005B0FA3" w:rsidRDefault="00000000" w:rsidP="00623C1B">
            <w:pPr>
              <w:spacing w:before="100" w:beforeAutospacing="1" w:after="100" w:afterAutospacing="1"/>
              <w:rPr>
                <w:rFonts w:cs="Arial"/>
              </w:rPr>
            </w:pPr>
            <w:r w:rsidRPr="005B0FA3">
              <w:rPr>
                <w:rFonts w:cs="Arial"/>
                <w:sz w:val="18"/>
                <w:szCs w:val="18"/>
              </w:rPr>
              <w:t>507.21</w:t>
            </w:r>
          </w:p>
        </w:tc>
        <w:tc>
          <w:tcPr>
            <w:tcW w:w="1275" w:type="dxa"/>
            <w:shd w:val="clear" w:color="auto" w:fill="FFFFFF"/>
            <w:tcMar>
              <w:top w:w="80" w:type="dxa"/>
              <w:left w:w="120" w:type="dxa"/>
              <w:bottom w:w="80" w:type="dxa"/>
              <w:right w:w="120" w:type="dxa"/>
            </w:tcMar>
            <w:vAlign w:val="center"/>
          </w:tcPr>
          <w:p w14:paraId="6267BB20" w14:textId="77777777" w:rsidR="00A807E4" w:rsidRPr="005B0FA3" w:rsidRDefault="00000000" w:rsidP="00623C1B">
            <w:pPr>
              <w:spacing w:before="100" w:beforeAutospacing="1" w:after="100" w:afterAutospacing="1"/>
              <w:rPr>
                <w:rFonts w:cs="Arial"/>
              </w:rPr>
            </w:pPr>
            <w:r w:rsidRPr="005B0FA3">
              <w:rPr>
                <w:rFonts w:cs="Arial"/>
                <w:sz w:val="18"/>
                <w:szCs w:val="18"/>
              </w:rPr>
              <w:t>82.03</w:t>
            </w:r>
          </w:p>
        </w:tc>
        <w:tc>
          <w:tcPr>
            <w:tcW w:w="1843" w:type="dxa"/>
            <w:shd w:val="clear" w:color="auto" w:fill="FFFFFF"/>
            <w:tcMar>
              <w:top w:w="80" w:type="dxa"/>
              <w:left w:w="120" w:type="dxa"/>
              <w:bottom w:w="80" w:type="dxa"/>
              <w:right w:w="120" w:type="dxa"/>
            </w:tcMar>
            <w:vAlign w:val="center"/>
          </w:tcPr>
          <w:p w14:paraId="4082AA58" w14:textId="77777777" w:rsidR="00A807E4" w:rsidRPr="005B0FA3" w:rsidRDefault="00000000" w:rsidP="00623C1B">
            <w:pPr>
              <w:spacing w:before="100" w:beforeAutospacing="1" w:after="100" w:afterAutospacing="1"/>
              <w:rPr>
                <w:rFonts w:cs="Arial"/>
              </w:rPr>
            </w:pPr>
            <w:r w:rsidRPr="005B0FA3">
              <w:rPr>
                <w:rFonts w:cs="Arial"/>
                <w:sz w:val="18"/>
                <w:szCs w:val="18"/>
              </w:rPr>
              <w:t>530.98</w:t>
            </w:r>
          </w:p>
        </w:tc>
        <w:tc>
          <w:tcPr>
            <w:tcW w:w="2126" w:type="dxa"/>
            <w:shd w:val="clear" w:color="auto" w:fill="FFFFFF"/>
            <w:tcMar>
              <w:top w:w="80" w:type="dxa"/>
              <w:left w:w="120" w:type="dxa"/>
              <w:bottom w:w="80" w:type="dxa"/>
              <w:right w:w="120" w:type="dxa"/>
            </w:tcMar>
            <w:vAlign w:val="center"/>
          </w:tcPr>
          <w:p w14:paraId="6FCDC523" w14:textId="77777777" w:rsidR="00A807E4" w:rsidRPr="005B0FA3" w:rsidRDefault="00000000" w:rsidP="00623C1B">
            <w:pPr>
              <w:spacing w:before="100" w:beforeAutospacing="1" w:after="100" w:afterAutospacing="1"/>
              <w:rPr>
                <w:rFonts w:cs="Arial"/>
              </w:rPr>
            </w:pPr>
            <w:r w:rsidRPr="005B0FA3">
              <w:rPr>
                <w:rFonts w:cs="Arial"/>
                <w:sz w:val="18"/>
                <w:szCs w:val="18"/>
              </w:rPr>
              <w:t>76.09</w:t>
            </w:r>
          </w:p>
        </w:tc>
      </w:tr>
    </w:tbl>
    <w:p w14:paraId="4B8DB1EF" w14:textId="41BDB019" w:rsidR="00A05C02" w:rsidRPr="00A05C02" w:rsidRDefault="00A05C02" w:rsidP="00A05C02">
      <w:pPr>
        <w:spacing w:before="100" w:beforeAutospacing="1" w:after="100" w:afterAutospacing="1"/>
        <w:rPr>
          <w:rFonts w:cs="Arial"/>
          <w:i/>
          <w:iCs/>
          <w:szCs w:val="20"/>
        </w:rPr>
      </w:pPr>
      <w:r>
        <w:rPr>
          <w:rFonts w:cs="Arial"/>
          <w:b/>
          <w:bCs/>
          <w:i/>
          <w:iCs/>
          <w:color w:val="1B3A5C"/>
          <w:szCs w:val="20"/>
        </w:rPr>
        <w:t xml:space="preserve">Figure </w:t>
      </w:r>
      <w:r w:rsidR="002A3148">
        <w:rPr>
          <w:rFonts w:cs="Arial"/>
          <w:b/>
          <w:bCs/>
          <w:i/>
          <w:iCs/>
          <w:color w:val="1B3A5C"/>
          <w:szCs w:val="20"/>
        </w:rPr>
        <w:t>10</w:t>
      </w:r>
      <w:r>
        <w:rPr>
          <w:rFonts w:cs="Arial"/>
          <w:b/>
          <w:bCs/>
          <w:i/>
          <w:iCs/>
          <w:color w:val="1B3A5C"/>
          <w:szCs w:val="20"/>
        </w:rPr>
        <w:t>. Cumulative Fatigue Index for Engine 118 in FD004</w:t>
      </w:r>
    </w:p>
    <w:p w14:paraId="20A5BECC" w14:textId="61582B4A" w:rsidR="00A05C02" w:rsidRDefault="00A05C02" w:rsidP="000D6E34">
      <w:pPr>
        <w:spacing w:before="100" w:beforeAutospacing="1" w:after="100" w:afterAutospacing="1"/>
        <w:jc w:val="both"/>
        <w:rPr>
          <w:rFonts w:cs="Arial"/>
          <w:szCs w:val="20"/>
        </w:rPr>
      </w:pPr>
      <w:r>
        <w:rPr>
          <w:noProof/>
        </w:rPr>
        <w:drawing>
          <wp:inline distT="0" distB="0" distL="0" distR="0" wp14:anchorId="395EE97E" wp14:editId="2F8CDED5">
            <wp:extent cx="5759450" cy="1876425"/>
            <wp:effectExtent l="0" t="0" r="6350" b="3175"/>
            <wp:docPr id="896738498" name="Picture 3" descr="A graph showing the growth of a motor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8498" name="Picture 3" descr="A graph showing the growth of a motor eng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1876425"/>
                    </a:xfrm>
                    <a:prstGeom prst="rect">
                      <a:avLst/>
                    </a:prstGeom>
                    <a:noFill/>
                    <a:ln>
                      <a:noFill/>
                    </a:ln>
                  </pic:spPr>
                </pic:pic>
              </a:graphicData>
            </a:graphic>
          </wp:inline>
        </w:drawing>
      </w:r>
    </w:p>
    <w:p w14:paraId="1E1385BF" w14:textId="5D9A4C75" w:rsidR="00A807E4" w:rsidRPr="000D6E34" w:rsidRDefault="00000000" w:rsidP="000D6E34">
      <w:pPr>
        <w:spacing w:before="100" w:beforeAutospacing="1" w:after="100" w:afterAutospacing="1"/>
        <w:jc w:val="both"/>
        <w:rPr>
          <w:rFonts w:cs="Arial"/>
          <w:szCs w:val="20"/>
        </w:rPr>
      </w:pPr>
      <w:r w:rsidRPr="000D6E34">
        <w:rPr>
          <w:rFonts w:cs="Arial"/>
          <w:szCs w:val="20"/>
        </w:rPr>
        <w:t xml:space="preserve">The terminal mean </w:t>
      </w:r>
      <m:oMath>
        <m:r>
          <w:rPr>
            <w:rFonts w:ascii="Cambria Math" w:hAnsi="Cambria Math" w:cs="Arial"/>
            <w:szCs w:val="20"/>
          </w:rPr>
          <m:t>D</m:t>
        </m:r>
      </m:oMath>
      <w:r w:rsidRPr="000D6E34">
        <w:rPr>
          <w:rFonts w:cs="Arial"/>
          <w:szCs w:val="20"/>
        </w:rPr>
        <w:t xml:space="preserve"> values (computed at </w:t>
      </w:r>
      <m:oMath>
        <m:r>
          <w:rPr>
            <w:rFonts w:ascii="Cambria Math" w:hAnsi="Cambria Math" w:cs="Arial"/>
            <w:szCs w:val="20"/>
          </w:rPr>
          <m:t>RUL &lt; 10</m:t>
        </m:r>
      </m:oMath>
      <w:r w:rsidRPr="000D6E34">
        <w:rPr>
          <w:rFonts w:cs="Arial"/>
          <w:szCs w:val="20"/>
        </w:rPr>
        <w:t>) reflect the accumulated positive deviation across the full engine life. s7 (P30) accumulates the most damage at terminal (</w:t>
      </w:r>
      <m:oMath>
        <m:r>
          <w:rPr>
            <w:rFonts w:ascii="Cambria Math" w:hAnsi="Cambria Math" w:cs="Arial"/>
            <w:szCs w:val="20"/>
          </w:rPr>
          <m:t>D = 507.21</m:t>
        </m:r>
      </m:oMath>
      <w:r w:rsidRPr="000D6E34">
        <w:rPr>
          <w:rFonts w:cs="Arial"/>
          <w:szCs w:val="20"/>
        </w:rPr>
        <w:t xml:space="preserve"> train maximum), consistent with HPC pressure rising above baseline as the compressor works harder to compensate for efficiency losses — a positive pressure deviation that accumulates throughout the degradation trajectory. All three cumulative fatigue curves </w:t>
      </w:r>
      <w:r w:rsidR="00A05C02">
        <w:rPr>
          <w:rFonts w:cs="Arial"/>
          <w:szCs w:val="20"/>
        </w:rPr>
        <w:t xml:space="preserve">(Figure </w:t>
      </w:r>
      <w:r w:rsidR="002A3148">
        <w:rPr>
          <w:rFonts w:cs="Arial"/>
          <w:szCs w:val="20"/>
        </w:rPr>
        <w:t>10</w:t>
      </w:r>
      <w:r w:rsidR="00A05C02">
        <w:rPr>
          <w:rFonts w:cs="Arial"/>
          <w:szCs w:val="20"/>
        </w:rPr>
        <w:t xml:space="preserve">) </w:t>
      </w:r>
      <w:r w:rsidRPr="000D6E34">
        <w:rPr>
          <w:rFonts w:cs="Arial"/>
          <w:szCs w:val="20"/>
        </w:rPr>
        <w:t xml:space="preserve">were verified to be strictly non-decreasing (monotonically non-decreasing within IEEE 754 machine-precision tolerance of </w:t>
      </w:r>
      <m:oMath>
        <m:r>
          <w:rPr>
            <w:rFonts w:ascii="Cambria Math" w:hAnsi="Cambria Math" w:cs="Arial"/>
            <w:szCs w:val="20"/>
          </w:rPr>
          <m:t>-</m:t>
        </m:r>
        <m:sSup>
          <m:sSupPr>
            <m:ctrlPr>
              <w:rPr>
                <w:rFonts w:ascii="Cambria Math" w:hAnsi="Cambria Math" w:cs="Arial"/>
                <w:i/>
                <w:szCs w:val="20"/>
              </w:rPr>
            </m:ctrlPr>
          </m:sSupPr>
          <m:e>
            <m:r>
              <w:rPr>
                <w:rFonts w:ascii="Cambria Math" w:hAnsi="Cambria Math" w:cs="Arial"/>
                <w:szCs w:val="20"/>
              </w:rPr>
              <m:t>10</m:t>
            </m:r>
          </m:e>
          <m:sup>
            <m:r>
              <w:rPr>
                <w:rFonts w:ascii="Cambria Math" w:hAnsi="Cambria Math" w:cs="Arial"/>
                <w:szCs w:val="20"/>
              </w:rPr>
              <m:t>-10</m:t>
            </m:r>
          </m:sup>
        </m:sSup>
      </m:oMath>
      <w:r w:rsidRPr="000D6E34">
        <w:rPr>
          <w:rFonts w:cs="Arial"/>
          <w:szCs w:val="20"/>
        </w:rPr>
        <w:t>), satisfying the physical requirement that damage cannot heal. Monotonicity was verified for all five representat</w:t>
      </w:r>
      <w:r w:rsidR="001A13D1">
        <w:rPr>
          <w:rFonts w:cs="Arial"/>
          <w:szCs w:val="20"/>
        </w:rPr>
        <w:t>ive</w:t>
      </w:r>
      <w:r w:rsidRPr="000D6E34">
        <w:rPr>
          <w:rFonts w:cs="Arial"/>
          <w:szCs w:val="20"/>
        </w:rPr>
        <w:t xml:space="preserve"> engines selected by maximum trajectory length.</w:t>
      </w:r>
    </w:p>
    <w:p w14:paraId="5DB5DF93" w14:textId="77777777" w:rsidR="009B23CF" w:rsidRDefault="009B23CF">
      <w:pPr>
        <w:rPr>
          <w:rFonts w:cs="Arial"/>
          <w:b/>
          <w:bCs/>
          <w:i/>
          <w:iCs/>
          <w:color w:val="1B3A5C"/>
          <w:szCs w:val="20"/>
        </w:rPr>
      </w:pPr>
      <w:r>
        <w:rPr>
          <w:rFonts w:cs="Arial"/>
          <w:b/>
          <w:bCs/>
          <w:i/>
          <w:iCs/>
          <w:color w:val="1B3A5C"/>
          <w:szCs w:val="20"/>
        </w:rPr>
        <w:br w:type="page"/>
      </w:r>
    </w:p>
    <w:p w14:paraId="31FA1016" w14:textId="54370489" w:rsidR="00820DEF" w:rsidRPr="00A05C02" w:rsidRDefault="00820DEF" w:rsidP="00820DEF">
      <w:pPr>
        <w:spacing w:before="100" w:beforeAutospacing="1" w:after="100" w:afterAutospacing="1"/>
        <w:rPr>
          <w:rFonts w:cs="Arial"/>
          <w:i/>
          <w:iCs/>
          <w:szCs w:val="20"/>
        </w:rPr>
      </w:pPr>
      <w:r>
        <w:rPr>
          <w:rFonts w:cs="Arial"/>
          <w:b/>
          <w:bCs/>
          <w:i/>
          <w:iCs/>
          <w:color w:val="1B3A5C"/>
          <w:szCs w:val="20"/>
        </w:rPr>
        <w:lastRenderedPageBreak/>
        <w:t xml:space="preserve">Figure </w:t>
      </w:r>
      <w:r w:rsidR="002A3148">
        <w:rPr>
          <w:rFonts w:cs="Arial"/>
          <w:b/>
          <w:bCs/>
          <w:i/>
          <w:iCs/>
          <w:color w:val="1B3A5C"/>
          <w:szCs w:val="20"/>
        </w:rPr>
        <w:t>11</w:t>
      </w:r>
      <w:r>
        <w:rPr>
          <w:rFonts w:cs="Arial"/>
          <w:b/>
          <w:bCs/>
          <w:i/>
          <w:iCs/>
          <w:color w:val="1B3A5C"/>
          <w:szCs w:val="20"/>
        </w:rPr>
        <w:t>. Cumulative Fatigue Index $D(t)$: Representative Engines Across s4, s7, and s9 (Internal Train)</w:t>
      </w:r>
    </w:p>
    <w:p w14:paraId="1CD10B2A" w14:textId="4D5EF092" w:rsidR="00820DEF" w:rsidRDefault="00820DEF" w:rsidP="00820DEF">
      <w:r>
        <w:rPr>
          <w:noProof/>
        </w:rPr>
        <w:drawing>
          <wp:inline distT="0" distB="0" distL="0" distR="0" wp14:anchorId="48DEA891" wp14:editId="16876096">
            <wp:extent cx="5759450" cy="1590040"/>
            <wp:effectExtent l="0" t="0" r="6350" b="0"/>
            <wp:docPr id="1194396967"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96967" name="Picture 4" descr="A graph with different colored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1590040"/>
                    </a:xfrm>
                    <a:prstGeom prst="rect">
                      <a:avLst/>
                    </a:prstGeom>
                    <a:noFill/>
                    <a:ln>
                      <a:noFill/>
                    </a:ln>
                  </pic:spPr>
                </pic:pic>
              </a:graphicData>
            </a:graphic>
          </wp:inline>
        </w:drawing>
      </w:r>
    </w:p>
    <w:p w14:paraId="6CC1C9F1" w14:textId="3002F61E" w:rsidR="00820DEF" w:rsidRDefault="00820DEF" w:rsidP="00820DEF">
      <w:pPr>
        <w:jc w:val="both"/>
      </w:pPr>
      <w:r>
        <w:t xml:space="preserve">Figure </w:t>
      </w:r>
      <w:r w:rsidR="00522852">
        <w:t>11</w:t>
      </w:r>
      <w:r>
        <w:t xml:space="preserve">: All five engine trajectories across all three sensors exhibit the same two-phase structure: an extended flat accumulation period from cycle 0 to approximately cycle 350–400, during which sensor readings oscillate at or below their regime means and </w:t>
      </w:r>
      <m:oMath>
        <m:r>
          <w:rPr>
            <w:rFonts w:ascii="Cambria Math" w:hAnsi="Cambria Math"/>
          </w:rPr>
          <m:t>D(t)</m:t>
        </m:r>
      </m:oMath>
      <w:r>
        <w:t xml:space="preserve"> remains negligibly small, followed by a sharply accelerating convex upturn in the terminal phase as positive z-score exceedances become both more frequent and more severe. The flat early-life period confirms that Phase 2 z-normalisation has correctly centred the healthy operating baseline, whilst the terminal acceleration is physically consistent with the non-linear compounding of blade erosion, tip clearance growth, and seal leakage as the engine approaches end of life. s7 (P30) reaches the highest absolute </w:t>
      </w:r>
      <m:oMath>
        <m:r>
          <w:rPr>
            <w:rFonts w:ascii="Cambria Math" w:hAnsi="Cambria Math"/>
          </w:rPr>
          <m:t>D(t)</m:t>
        </m:r>
      </m:oMath>
      <w:r w:rsidR="000479A7">
        <w:t xml:space="preserve"> </w:t>
      </w:r>
      <w:r>
        <w:t xml:space="preserve">values across all engines, reflecting the direct mechanical sensitivity of HPC outlet pressure to compressor efficiency loss. The strict monotonicity of all trajectories — verified at Feature Engineering Gate 6 — confirms that </w:t>
      </w:r>
      <m:oMath>
        <m:r>
          <w:rPr>
            <w:rFonts w:ascii="Cambria Math" w:hAnsi="Cambria Math"/>
          </w:rPr>
          <m:t>D(t)</m:t>
        </m:r>
      </m:oMath>
      <w:r w:rsidR="000479A7">
        <w:t xml:space="preserve"> </w:t>
      </w:r>
      <w:r>
        <w:t>satisfies the physical non-decreasing constraint required of a credible Miner's Rule damage accumulation proxy, and the path-dependent nature of the index ensures that two engines presenting identical instantaneous sensor readings, but different degradation histories remain distinguishable in the Phase 4 feature space.</w:t>
      </w:r>
    </w:p>
    <w:p w14:paraId="6DFEB52B" w14:textId="3CD264D3" w:rsidR="00A807E4" w:rsidRPr="005B0FA3" w:rsidRDefault="00000000" w:rsidP="00623C1B">
      <w:pPr>
        <w:pStyle w:val="Heading1"/>
        <w:spacing w:before="100" w:beforeAutospacing="1" w:after="100" w:afterAutospacing="1"/>
      </w:pPr>
      <w:r w:rsidRPr="005B0FA3">
        <w:t>6. Gate Verification Summary</w:t>
      </w:r>
      <w:r w:rsidR="00820DEF">
        <w:t xml:space="preserve"> (Cell 2</w:t>
      </w:r>
      <w:r w:rsidR="002A3148">
        <w:t>9</w:t>
      </w:r>
      <w:r w:rsidR="00820DEF">
        <w:t xml:space="preserve"> – Cell 3</w:t>
      </w:r>
      <w:r w:rsidR="002A3148">
        <w:t>4</w:t>
      </w:r>
      <w:r w:rsidR="00820DEF">
        <w:t>)</w:t>
      </w:r>
    </w:p>
    <w:p w14:paraId="5F792915" w14:textId="6A4EF5F0" w:rsidR="00A807E4" w:rsidRPr="000D6E34" w:rsidRDefault="00000000" w:rsidP="00623C1B">
      <w:pPr>
        <w:spacing w:before="100" w:beforeAutospacing="1" w:after="100" w:afterAutospacing="1"/>
        <w:jc w:val="both"/>
        <w:rPr>
          <w:rFonts w:cs="Arial"/>
          <w:szCs w:val="20"/>
        </w:rPr>
      </w:pPr>
      <w:r w:rsidRPr="000D6E34">
        <w:rPr>
          <w:rFonts w:cs="Arial"/>
          <w:szCs w:val="20"/>
        </w:rPr>
        <w:t>Six gate conditions were specified for Phase 3 and verified programmatically. All six passed. The gate conditions and their rationale are presented in Table 1</w:t>
      </w:r>
      <w:r w:rsidR="002A3148">
        <w:rPr>
          <w:rFonts w:cs="Arial"/>
          <w:szCs w:val="20"/>
        </w:rPr>
        <w:t>7</w:t>
      </w:r>
      <w:r w:rsidRPr="000D6E34">
        <w:rPr>
          <w:rFonts w:cs="Arial"/>
          <w:szCs w:val="20"/>
        </w:rPr>
        <w:t>.</w:t>
      </w:r>
    </w:p>
    <w:p w14:paraId="513155A0" w14:textId="3FE2B1B2" w:rsidR="00A807E4" w:rsidRPr="000D6E34" w:rsidRDefault="00000000" w:rsidP="00623C1B">
      <w:pPr>
        <w:spacing w:before="100" w:beforeAutospacing="1" w:after="100" w:afterAutospacing="1"/>
        <w:rPr>
          <w:rFonts w:cs="Arial"/>
          <w:i/>
          <w:iCs/>
          <w:szCs w:val="20"/>
        </w:rPr>
      </w:pPr>
      <w:r w:rsidRPr="000D6E34">
        <w:rPr>
          <w:rFonts w:cs="Arial"/>
          <w:b/>
          <w:bCs/>
          <w:i/>
          <w:iCs/>
          <w:color w:val="1B3A5C"/>
          <w:szCs w:val="20"/>
        </w:rPr>
        <w:t>Table 1</w:t>
      </w:r>
      <w:r w:rsidR="002A3148">
        <w:rPr>
          <w:rFonts w:cs="Arial"/>
          <w:b/>
          <w:bCs/>
          <w:i/>
          <w:iCs/>
          <w:color w:val="1B3A5C"/>
          <w:szCs w:val="20"/>
        </w:rPr>
        <w:t>7</w:t>
      </w:r>
      <w:r w:rsidR="00BD4886">
        <w:rPr>
          <w:rFonts w:cs="Arial"/>
          <w:b/>
          <w:bCs/>
          <w:i/>
          <w:iCs/>
          <w:color w:val="1B3A5C"/>
          <w:szCs w:val="20"/>
        </w:rPr>
        <w:t>.</w:t>
      </w:r>
      <w:r w:rsidRPr="000D6E34">
        <w:rPr>
          <w:rFonts w:cs="Arial"/>
          <w:b/>
          <w:bCs/>
          <w:i/>
          <w:iCs/>
          <w:color w:val="1B3A5C"/>
          <w:szCs w:val="20"/>
        </w:rPr>
        <w:t xml:space="preserve"> Phase 3 Gate Verification Summary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654"/>
        <w:gridCol w:w="1800"/>
        <w:gridCol w:w="2800"/>
        <w:gridCol w:w="960"/>
      </w:tblGrid>
      <w:tr w:rsidR="00A807E4" w:rsidRPr="005B0FA3" w14:paraId="6063BE54" w14:textId="77777777" w:rsidTr="007A5DFA">
        <w:trPr>
          <w:tblHeader/>
        </w:trPr>
        <w:tc>
          <w:tcPr>
            <w:tcW w:w="846"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CAEC140"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Gate</w:t>
            </w:r>
          </w:p>
        </w:tc>
        <w:tc>
          <w:tcPr>
            <w:tcW w:w="265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738A432"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Condition</w:t>
            </w:r>
          </w:p>
        </w:tc>
        <w:tc>
          <w:tcPr>
            <w:tcW w:w="18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2FFD3E1"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Expected</w:t>
            </w:r>
          </w:p>
        </w:tc>
        <w:tc>
          <w:tcPr>
            <w:tcW w:w="28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B701DAD"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Actual</w:t>
            </w:r>
          </w:p>
        </w:tc>
        <w:tc>
          <w:tcPr>
            <w:tcW w:w="96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72F65DE"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Result</w:t>
            </w:r>
          </w:p>
        </w:tc>
      </w:tr>
      <w:tr w:rsidR="004C002F" w14:paraId="225A31AD" w14:textId="77777777" w:rsidTr="007A5DFA">
        <w:tc>
          <w:tcPr>
            <w:tcW w:w="846" w:type="dxa"/>
            <w:shd w:val="clear" w:color="auto" w:fill="FFFFFF"/>
            <w:tcMar>
              <w:top w:w="80" w:type="dxa"/>
              <w:left w:w="120" w:type="dxa"/>
              <w:bottom w:w="80" w:type="dxa"/>
              <w:right w:w="120" w:type="dxa"/>
            </w:tcMar>
            <w:vAlign w:val="center"/>
          </w:tcPr>
          <w:p w14:paraId="6D897DB2" w14:textId="77777777" w:rsidR="00A807E4" w:rsidRPr="005B0FA3" w:rsidRDefault="00000000" w:rsidP="00623C1B">
            <w:pPr>
              <w:spacing w:before="100" w:beforeAutospacing="1" w:after="100" w:afterAutospacing="1"/>
              <w:rPr>
                <w:rFonts w:cs="Arial"/>
              </w:rPr>
            </w:pPr>
            <w:r w:rsidRPr="005B0FA3">
              <w:rPr>
                <w:rFonts w:cs="Arial"/>
                <w:sz w:val="18"/>
                <w:szCs w:val="18"/>
              </w:rPr>
              <w:t>Gate 1</w:t>
            </w:r>
          </w:p>
        </w:tc>
        <w:tc>
          <w:tcPr>
            <w:tcW w:w="2654" w:type="dxa"/>
            <w:shd w:val="clear" w:color="auto" w:fill="FFFFFF"/>
            <w:tcMar>
              <w:top w:w="80" w:type="dxa"/>
              <w:left w:w="120" w:type="dxa"/>
              <w:bottom w:w="80" w:type="dxa"/>
              <w:right w:w="120" w:type="dxa"/>
            </w:tcMar>
            <w:vAlign w:val="center"/>
          </w:tcPr>
          <w:p w14:paraId="4EA8060E" w14:textId="51673FA1" w:rsidR="00A807E4" w:rsidRPr="005B0FA3" w:rsidRDefault="00000000" w:rsidP="00623C1B">
            <w:pPr>
              <w:spacing w:before="100" w:beforeAutospacing="1" w:after="100" w:afterAutospacing="1"/>
              <w:rPr>
                <w:rFonts w:cs="Arial"/>
              </w:rPr>
            </w:pPr>
            <w:r w:rsidRPr="005B0FA3">
              <w:rPr>
                <w:rFonts w:cs="Arial"/>
                <w:sz w:val="18"/>
                <w:szCs w:val="18"/>
              </w:rPr>
              <w:t xml:space="preserve">Active sensor count (variance </w:t>
            </w:r>
            <m:oMath>
              <m:r>
                <w:rPr>
                  <w:rFonts w:ascii="Cambria Math" w:hAnsi="Cambria Math" w:cs="Arial"/>
                  <w:sz w:val="18"/>
                  <w:szCs w:val="18"/>
                </w:rPr>
                <m:t>&gt;</m:t>
              </m:r>
              <m:sSup>
                <m:sSupPr>
                  <m:ctrlPr>
                    <w:rPr>
                      <w:rFonts w:ascii="Cambria Math" w:hAnsi="Cambria Math" w:cs="Arial"/>
                      <w:i/>
                      <w:sz w:val="18"/>
                      <w:szCs w:val="18"/>
                    </w:rPr>
                  </m:ctrlPr>
                </m:sSupPr>
                <m:e>
                  <m:r>
                    <w:rPr>
                      <w:rFonts w:ascii="Cambria Math" w:hAnsi="Cambria Math" w:cs="Arial"/>
                      <w:sz w:val="18"/>
                      <w:szCs w:val="18"/>
                    </w:rPr>
                    <m:t>10</m:t>
                  </m:r>
                </m:e>
                <m:sup>
                  <m:r>
                    <w:rPr>
                      <w:rFonts w:ascii="Cambria Math" w:hAnsi="Cambria Math" w:cs="Arial"/>
                      <w:sz w:val="18"/>
                      <w:szCs w:val="18"/>
                    </w:rPr>
                    <m:t>-5</m:t>
                  </m:r>
                </m:sup>
              </m:sSup>
            </m:oMath>
            <w:r w:rsidRPr="005B0FA3">
              <w:rPr>
                <w:rFonts w:cs="Arial"/>
                <w:sz w:val="18"/>
                <w:szCs w:val="18"/>
              </w:rPr>
              <w:t>)</w:t>
            </w:r>
          </w:p>
        </w:tc>
        <w:tc>
          <w:tcPr>
            <w:tcW w:w="1800" w:type="dxa"/>
            <w:shd w:val="clear" w:color="auto" w:fill="FFFFFF"/>
            <w:tcMar>
              <w:top w:w="80" w:type="dxa"/>
              <w:left w:w="120" w:type="dxa"/>
              <w:bottom w:w="80" w:type="dxa"/>
              <w:right w:w="120" w:type="dxa"/>
            </w:tcMar>
            <w:vAlign w:val="center"/>
          </w:tcPr>
          <w:p w14:paraId="1EFD329C" w14:textId="77777777" w:rsidR="00A807E4" w:rsidRPr="005B0FA3" w:rsidRDefault="00000000" w:rsidP="00623C1B">
            <w:pPr>
              <w:spacing w:before="100" w:beforeAutospacing="1" w:after="100" w:afterAutospacing="1"/>
              <w:rPr>
                <w:rFonts w:cs="Arial"/>
              </w:rPr>
            </w:pPr>
            <w:r w:rsidRPr="005B0FA3">
              <w:rPr>
                <w:rFonts w:cs="Arial"/>
                <w:sz w:val="18"/>
                <w:szCs w:val="18"/>
              </w:rPr>
              <w:t>17</w:t>
            </w:r>
          </w:p>
        </w:tc>
        <w:tc>
          <w:tcPr>
            <w:tcW w:w="2800" w:type="dxa"/>
            <w:shd w:val="clear" w:color="auto" w:fill="FFFFFF"/>
            <w:tcMar>
              <w:top w:w="80" w:type="dxa"/>
              <w:left w:w="120" w:type="dxa"/>
              <w:bottom w:w="80" w:type="dxa"/>
              <w:right w:w="120" w:type="dxa"/>
            </w:tcMar>
            <w:vAlign w:val="center"/>
          </w:tcPr>
          <w:p w14:paraId="728B573F" w14:textId="77777777" w:rsidR="00A807E4" w:rsidRPr="005B0FA3" w:rsidRDefault="00000000" w:rsidP="00623C1B">
            <w:pPr>
              <w:spacing w:before="100" w:beforeAutospacing="1" w:after="100" w:afterAutospacing="1"/>
              <w:rPr>
                <w:rFonts w:cs="Arial"/>
              </w:rPr>
            </w:pPr>
            <w:r w:rsidRPr="005B0FA3">
              <w:rPr>
                <w:rFonts w:cs="Arial"/>
                <w:sz w:val="18"/>
                <w:szCs w:val="18"/>
              </w:rPr>
              <w:t>17 (s1, s5, s18, s19 dead)</w:t>
            </w:r>
          </w:p>
        </w:tc>
        <w:tc>
          <w:tcPr>
            <w:tcW w:w="960" w:type="dxa"/>
            <w:shd w:val="clear" w:color="auto" w:fill="FFFFFF"/>
            <w:tcMar>
              <w:top w:w="80" w:type="dxa"/>
              <w:left w:w="120" w:type="dxa"/>
              <w:bottom w:w="80" w:type="dxa"/>
              <w:right w:w="120" w:type="dxa"/>
            </w:tcMar>
            <w:vAlign w:val="center"/>
          </w:tcPr>
          <w:p w14:paraId="669EFE26" w14:textId="77777777" w:rsidR="00A807E4" w:rsidRPr="00820DEF" w:rsidRDefault="00000000" w:rsidP="00820DEF">
            <w:pPr>
              <w:spacing w:before="100" w:beforeAutospacing="1" w:after="100" w:afterAutospacing="1"/>
              <w:jc w:val="center"/>
              <w:rPr>
                <w:rFonts w:cs="Arial"/>
                <w:b/>
                <w:bCs/>
                <w:color w:val="1A7A3A"/>
              </w:rPr>
            </w:pPr>
            <w:r w:rsidRPr="00820DEF">
              <w:rPr>
                <w:rFonts w:cs="Arial"/>
                <w:b/>
                <w:bCs/>
                <w:color w:val="1A7A3A"/>
                <w:sz w:val="18"/>
                <w:szCs w:val="18"/>
              </w:rPr>
              <w:t>PASS</w:t>
            </w:r>
          </w:p>
        </w:tc>
      </w:tr>
      <w:tr w:rsidR="004C002F" w14:paraId="56BE62B2" w14:textId="77777777" w:rsidTr="007A5DFA">
        <w:tc>
          <w:tcPr>
            <w:tcW w:w="846" w:type="dxa"/>
            <w:shd w:val="clear" w:color="auto" w:fill="F0F4F8"/>
            <w:tcMar>
              <w:top w:w="80" w:type="dxa"/>
              <w:left w:w="120" w:type="dxa"/>
              <w:bottom w:w="80" w:type="dxa"/>
              <w:right w:w="120" w:type="dxa"/>
            </w:tcMar>
            <w:vAlign w:val="center"/>
          </w:tcPr>
          <w:p w14:paraId="2DA4F624" w14:textId="77777777" w:rsidR="00A807E4" w:rsidRPr="005B0FA3" w:rsidRDefault="00000000" w:rsidP="00623C1B">
            <w:pPr>
              <w:spacing w:before="100" w:beforeAutospacing="1" w:after="100" w:afterAutospacing="1"/>
              <w:rPr>
                <w:rFonts w:cs="Arial"/>
              </w:rPr>
            </w:pPr>
            <w:r w:rsidRPr="005B0FA3">
              <w:rPr>
                <w:rFonts w:cs="Arial"/>
                <w:sz w:val="18"/>
                <w:szCs w:val="18"/>
              </w:rPr>
              <w:t>Gate 2</w:t>
            </w:r>
          </w:p>
        </w:tc>
        <w:tc>
          <w:tcPr>
            <w:tcW w:w="2654" w:type="dxa"/>
            <w:shd w:val="clear" w:color="auto" w:fill="F0F4F8"/>
            <w:tcMar>
              <w:top w:w="80" w:type="dxa"/>
              <w:left w:w="120" w:type="dxa"/>
              <w:bottom w:w="80" w:type="dxa"/>
              <w:right w:w="120" w:type="dxa"/>
            </w:tcMar>
            <w:vAlign w:val="center"/>
          </w:tcPr>
          <w:p w14:paraId="2C83943A" w14:textId="77777777" w:rsidR="00A807E4" w:rsidRPr="005B0FA3" w:rsidRDefault="00000000" w:rsidP="00623C1B">
            <w:pPr>
              <w:spacing w:before="100" w:beforeAutospacing="1" w:after="100" w:afterAutospacing="1"/>
              <w:rPr>
                <w:rFonts w:cs="Arial"/>
              </w:rPr>
            </w:pPr>
            <w:r w:rsidRPr="005B0FA3">
              <w:rPr>
                <w:rFonts w:cs="Arial"/>
                <w:sz w:val="18"/>
                <w:szCs w:val="18"/>
              </w:rPr>
              <w:t>Total feature count ≥ formula minimum</w:t>
            </w:r>
          </w:p>
        </w:tc>
        <w:tc>
          <w:tcPr>
            <w:tcW w:w="1800" w:type="dxa"/>
            <w:shd w:val="clear" w:color="auto" w:fill="F0F4F8"/>
            <w:tcMar>
              <w:top w:w="80" w:type="dxa"/>
              <w:left w:w="120" w:type="dxa"/>
              <w:bottom w:w="80" w:type="dxa"/>
              <w:right w:w="120" w:type="dxa"/>
            </w:tcMar>
            <w:vAlign w:val="center"/>
          </w:tcPr>
          <w:p w14:paraId="4EDA440B" w14:textId="701CD212" w:rsidR="00A807E4" w:rsidRPr="00820DEF" w:rsidRDefault="00820DEF" w:rsidP="00623C1B">
            <w:pPr>
              <w:spacing w:before="100" w:beforeAutospacing="1" w:after="100" w:afterAutospacing="1"/>
              <w:rPr>
                <w:rFonts w:cs="Arial"/>
              </w:rPr>
            </w:pPr>
            <m:oMathPara>
              <m:oMathParaPr>
                <m:jc m:val="left"/>
              </m:oMathParaPr>
              <m:oMath>
                <m:r>
                  <w:rPr>
                    <w:rFonts w:ascii="Cambria Math" w:hAnsi="Cambria Math" w:cs="Arial"/>
                    <w:sz w:val="18"/>
                    <w:szCs w:val="18"/>
                  </w:rPr>
                  <m:t>91 ≥ 81</m:t>
                </m:r>
              </m:oMath>
            </m:oMathPara>
          </w:p>
        </w:tc>
        <w:tc>
          <w:tcPr>
            <w:tcW w:w="2800" w:type="dxa"/>
            <w:shd w:val="clear" w:color="auto" w:fill="F0F4F8"/>
            <w:tcMar>
              <w:top w:w="80" w:type="dxa"/>
              <w:left w:w="120" w:type="dxa"/>
              <w:bottom w:w="80" w:type="dxa"/>
              <w:right w:w="120" w:type="dxa"/>
            </w:tcMar>
            <w:vAlign w:val="center"/>
          </w:tcPr>
          <w:p w14:paraId="26714512" w14:textId="77777777" w:rsidR="00A807E4" w:rsidRPr="005B0FA3" w:rsidRDefault="00000000" w:rsidP="00623C1B">
            <w:pPr>
              <w:spacing w:before="100" w:beforeAutospacing="1" w:after="100" w:afterAutospacing="1"/>
              <w:rPr>
                <w:rFonts w:cs="Arial"/>
              </w:rPr>
            </w:pPr>
            <w:r w:rsidRPr="005B0FA3">
              <w:rPr>
                <w:rFonts w:cs="Arial"/>
                <w:sz w:val="18"/>
                <w:szCs w:val="18"/>
              </w:rPr>
              <w:t>91 (81 formula + 10 gap-resolution)</w:t>
            </w:r>
          </w:p>
        </w:tc>
        <w:tc>
          <w:tcPr>
            <w:tcW w:w="960" w:type="dxa"/>
            <w:shd w:val="clear" w:color="auto" w:fill="F0F4F8"/>
            <w:tcMar>
              <w:top w:w="80" w:type="dxa"/>
              <w:left w:w="120" w:type="dxa"/>
              <w:bottom w:w="80" w:type="dxa"/>
              <w:right w:w="120" w:type="dxa"/>
            </w:tcMar>
            <w:vAlign w:val="center"/>
          </w:tcPr>
          <w:p w14:paraId="62738CAB" w14:textId="77777777" w:rsidR="00A807E4" w:rsidRPr="00820DEF" w:rsidRDefault="00000000" w:rsidP="00820DEF">
            <w:pPr>
              <w:spacing w:before="100" w:beforeAutospacing="1" w:after="100" w:afterAutospacing="1"/>
              <w:jc w:val="center"/>
              <w:rPr>
                <w:rFonts w:cs="Arial"/>
                <w:b/>
                <w:bCs/>
                <w:color w:val="1A7A3A"/>
              </w:rPr>
            </w:pPr>
            <w:r w:rsidRPr="00820DEF">
              <w:rPr>
                <w:rFonts w:cs="Arial"/>
                <w:b/>
                <w:bCs/>
                <w:color w:val="1A7A3A"/>
                <w:sz w:val="18"/>
                <w:szCs w:val="18"/>
              </w:rPr>
              <w:t>PASS</w:t>
            </w:r>
          </w:p>
        </w:tc>
      </w:tr>
      <w:tr w:rsidR="004C002F" w14:paraId="20512E39" w14:textId="77777777" w:rsidTr="007A5DFA">
        <w:tc>
          <w:tcPr>
            <w:tcW w:w="846" w:type="dxa"/>
            <w:shd w:val="clear" w:color="auto" w:fill="FFFFFF"/>
            <w:tcMar>
              <w:top w:w="80" w:type="dxa"/>
              <w:left w:w="120" w:type="dxa"/>
              <w:bottom w:w="80" w:type="dxa"/>
              <w:right w:w="120" w:type="dxa"/>
            </w:tcMar>
            <w:vAlign w:val="center"/>
          </w:tcPr>
          <w:p w14:paraId="3ED47D6B" w14:textId="77777777" w:rsidR="00A807E4" w:rsidRPr="005B0FA3" w:rsidRDefault="00000000" w:rsidP="00623C1B">
            <w:pPr>
              <w:spacing w:before="100" w:beforeAutospacing="1" w:after="100" w:afterAutospacing="1"/>
              <w:rPr>
                <w:rFonts w:cs="Arial"/>
              </w:rPr>
            </w:pPr>
            <w:r w:rsidRPr="005B0FA3">
              <w:rPr>
                <w:rFonts w:cs="Arial"/>
                <w:sz w:val="18"/>
                <w:szCs w:val="18"/>
              </w:rPr>
              <w:t>Gate 3</w:t>
            </w:r>
          </w:p>
        </w:tc>
        <w:tc>
          <w:tcPr>
            <w:tcW w:w="2654" w:type="dxa"/>
            <w:shd w:val="clear" w:color="auto" w:fill="FFFFFF"/>
            <w:tcMar>
              <w:top w:w="80" w:type="dxa"/>
              <w:left w:w="120" w:type="dxa"/>
              <w:bottom w:w="80" w:type="dxa"/>
              <w:right w:w="120" w:type="dxa"/>
            </w:tcMar>
            <w:vAlign w:val="center"/>
          </w:tcPr>
          <w:p w14:paraId="78DC3946" w14:textId="77777777" w:rsidR="00A807E4" w:rsidRPr="005B0FA3" w:rsidRDefault="00000000" w:rsidP="00623C1B">
            <w:pPr>
              <w:spacing w:before="100" w:beforeAutospacing="1" w:after="100" w:afterAutospacing="1"/>
              <w:rPr>
                <w:rFonts w:cs="Arial"/>
              </w:rPr>
            </w:pPr>
            <w:r w:rsidRPr="005B0FA3">
              <w:rPr>
                <w:rFonts w:cs="Arial"/>
                <w:sz w:val="18"/>
                <w:szCs w:val="18"/>
              </w:rPr>
              <w:t>Feature matrix shape consistency (train vs val)</w:t>
            </w:r>
          </w:p>
        </w:tc>
        <w:tc>
          <w:tcPr>
            <w:tcW w:w="1800" w:type="dxa"/>
            <w:shd w:val="clear" w:color="auto" w:fill="FFFFFF"/>
            <w:tcMar>
              <w:top w:w="80" w:type="dxa"/>
              <w:left w:w="120" w:type="dxa"/>
              <w:bottom w:w="80" w:type="dxa"/>
              <w:right w:w="120" w:type="dxa"/>
            </w:tcMar>
            <w:vAlign w:val="center"/>
          </w:tcPr>
          <w:p w14:paraId="338E369B" w14:textId="7188446B" w:rsidR="00A807E4" w:rsidRPr="005B0FA3" w:rsidRDefault="00000000" w:rsidP="00623C1B">
            <w:pPr>
              <w:spacing w:before="100" w:beforeAutospacing="1" w:after="100" w:afterAutospacing="1"/>
              <w:rPr>
                <w:rFonts w:cs="Arial"/>
              </w:rPr>
            </w:pPr>
            <w:r w:rsidRPr="005B0FA3">
              <w:rPr>
                <w:rFonts w:cs="Arial"/>
                <w:sz w:val="18"/>
                <w:szCs w:val="18"/>
              </w:rPr>
              <w:t xml:space="preserve">Same column </w:t>
            </w:r>
            <w:r w:rsidR="00EC5944" w:rsidRPr="005B0FA3">
              <w:rPr>
                <w:rFonts w:cs="Arial"/>
                <w:sz w:val="18"/>
                <w:szCs w:val="18"/>
              </w:rPr>
              <w:t>count:</w:t>
            </w:r>
            <w:r w:rsidRPr="005B0FA3">
              <w:rPr>
                <w:rFonts w:cs="Arial"/>
                <w:sz w:val="18"/>
                <w:szCs w:val="18"/>
              </w:rPr>
              <w:t xml:space="preserve"> row-count matches source</w:t>
            </w:r>
          </w:p>
        </w:tc>
        <w:tc>
          <w:tcPr>
            <w:tcW w:w="2800" w:type="dxa"/>
            <w:shd w:val="clear" w:color="auto" w:fill="FFFFFF"/>
            <w:tcMar>
              <w:top w:w="80" w:type="dxa"/>
              <w:left w:w="120" w:type="dxa"/>
              <w:bottom w:w="80" w:type="dxa"/>
              <w:right w:w="120" w:type="dxa"/>
            </w:tcMar>
            <w:vAlign w:val="center"/>
          </w:tcPr>
          <w:p w14:paraId="71D19BAB" w14:textId="38690CC5" w:rsidR="00A807E4" w:rsidRPr="005B0FA3" w:rsidRDefault="00000000" w:rsidP="00623C1B">
            <w:pPr>
              <w:spacing w:before="100" w:beforeAutospacing="1" w:after="100" w:afterAutospacing="1"/>
              <w:rPr>
                <w:rFonts w:cs="Arial"/>
              </w:rPr>
            </w:pPr>
            <w:r w:rsidRPr="00F046F8">
              <w:rPr>
                <w:rFonts w:ascii="Courier New" w:hAnsi="Courier New" w:cs="Courier New"/>
                <w:sz w:val="18"/>
                <w:szCs w:val="18"/>
              </w:rPr>
              <w:t>X_train</w:t>
            </w:r>
            <w:r w:rsidRPr="005B0FA3">
              <w:rPr>
                <w:rFonts w:cs="Arial"/>
                <w:sz w:val="18"/>
                <w:szCs w:val="18"/>
              </w:rPr>
              <w:t xml:space="preserve"> (129,331 × 91), </w:t>
            </w:r>
            <w:r w:rsidR="00F046F8">
              <w:rPr>
                <w:rFonts w:cs="Arial"/>
                <w:sz w:val="18"/>
                <w:szCs w:val="18"/>
              </w:rPr>
              <w:br/>
            </w:r>
            <w:r w:rsidRPr="00F046F8">
              <w:rPr>
                <w:rFonts w:ascii="Courier New" w:hAnsi="Courier New" w:cs="Courier New"/>
                <w:sz w:val="18"/>
                <w:szCs w:val="18"/>
              </w:rPr>
              <w:t>X_val</w:t>
            </w:r>
            <w:r w:rsidRPr="005B0FA3">
              <w:rPr>
                <w:rFonts w:cs="Arial"/>
                <w:sz w:val="18"/>
                <w:szCs w:val="18"/>
              </w:rPr>
              <w:t xml:space="preserve"> (31,028 × 91)</w:t>
            </w:r>
          </w:p>
        </w:tc>
        <w:tc>
          <w:tcPr>
            <w:tcW w:w="960" w:type="dxa"/>
            <w:shd w:val="clear" w:color="auto" w:fill="FFFFFF"/>
            <w:tcMar>
              <w:top w:w="80" w:type="dxa"/>
              <w:left w:w="120" w:type="dxa"/>
              <w:bottom w:w="80" w:type="dxa"/>
              <w:right w:w="120" w:type="dxa"/>
            </w:tcMar>
            <w:vAlign w:val="center"/>
          </w:tcPr>
          <w:p w14:paraId="114DD447" w14:textId="77777777" w:rsidR="00A807E4" w:rsidRPr="00820DEF" w:rsidRDefault="00000000" w:rsidP="00820DEF">
            <w:pPr>
              <w:spacing w:before="100" w:beforeAutospacing="1" w:after="100" w:afterAutospacing="1"/>
              <w:jc w:val="center"/>
              <w:rPr>
                <w:rFonts w:cs="Arial"/>
                <w:b/>
                <w:bCs/>
                <w:color w:val="1A7A3A"/>
              </w:rPr>
            </w:pPr>
            <w:r w:rsidRPr="00820DEF">
              <w:rPr>
                <w:rFonts w:cs="Arial"/>
                <w:b/>
                <w:bCs/>
                <w:color w:val="1A7A3A"/>
                <w:sz w:val="18"/>
                <w:szCs w:val="18"/>
              </w:rPr>
              <w:t>PASS</w:t>
            </w:r>
          </w:p>
        </w:tc>
      </w:tr>
      <w:tr w:rsidR="004C002F" w14:paraId="3E418C3D" w14:textId="77777777" w:rsidTr="007A5DFA">
        <w:tc>
          <w:tcPr>
            <w:tcW w:w="846" w:type="dxa"/>
            <w:shd w:val="clear" w:color="auto" w:fill="F0F4F8"/>
            <w:tcMar>
              <w:top w:w="80" w:type="dxa"/>
              <w:left w:w="120" w:type="dxa"/>
              <w:bottom w:w="80" w:type="dxa"/>
              <w:right w:w="120" w:type="dxa"/>
            </w:tcMar>
            <w:vAlign w:val="center"/>
          </w:tcPr>
          <w:p w14:paraId="22576984" w14:textId="77777777" w:rsidR="00A807E4" w:rsidRPr="005B0FA3" w:rsidRDefault="00000000" w:rsidP="00623C1B">
            <w:pPr>
              <w:spacing w:before="100" w:beforeAutospacing="1" w:after="100" w:afterAutospacing="1"/>
              <w:rPr>
                <w:rFonts w:cs="Arial"/>
              </w:rPr>
            </w:pPr>
            <w:r w:rsidRPr="005B0FA3">
              <w:rPr>
                <w:rFonts w:cs="Arial"/>
                <w:sz w:val="18"/>
                <w:szCs w:val="18"/>
              </w:rPr>
              <w:t>Gate 4</w:t>
            </w:r>
          </w:p>
        </w:tc>
        <w:tc>
          <w:tcPr>
            <w:tcW w:w="2654" w:type="dxa"/>
            <w:shd w:val="clear" w:color="auto" w:fill="F0F4F8"/>
            <w:tcMar>
              <w:top w:w="80" w:type="dxa"/>
              <w:left w:w="120" w:type="dxa"/>
              <w:bottom w:w="80" w:type="dxa"/>
              <w:right w:w="120" w:type="dxa"/>
            </w:tcMar>
            <w:vAlign w:val="center"/>
          </w:tcPr>
          <w:p w14:paraId="0E77A707" w14:textId="77777777" w:rsidR="00A807E4" w:rsidRPr="005B0FA3" w:rsidRDefault="00000000" w:rsidP="00623C1B">
            <w:pPr>
              <w:spacing w:before="100" w:beforeAutospacing="1" w:after="100" w:afterAutospacing="1"/>
              <w:rPr>
                <w:rFonts w:cs="Arial"/>
              </w:rPr>
            </w:pPr>
            <w:r w:rsidRPr="005B0FA3">
              <w:rPr>
                <w:rFonts w:cs="Arial"/>
                <w:sz w:val="18"/>
                <w:szCs w:val="18"/>
              </w:rPr>
              <w:t>Zero NaN values in feature matrices</w:t>
            </w:r>
          </w:p>
        </w:tc>
        <w:tc>
          <w:tcPr>
            <w:tcW w:w="1800" w:type="dxa"/>
            <w:shd w:val="clear" w:color="auto" w:fill="F0F4F8"/>
            <w:tcMar>
              <w:top w:w="80" w:type="dxa"/>
              <w:left w:w="120" w:type="dxa"/>
              <w:bottom w:w="80" w:type="dxa"/>
              <w:right w:w="120" w:type="dxa"/>
            </w:tcMar>
            <w:vAlign w:val="center"/>
          </w:tcPr>
          <w:p w14:paraId="1F4F6241" w14:textId="77777777" w:rsidR="00A807E4" w:rsidRPr="005B0FA3" w:rsidRDefault="00000000" w:rsidP="00623C1B">
            <w:pPr>
              <w:spacing w:before="100" w:beforeAutospacing="1" w:after="100" w:afterAutospacing="1"/>
              <w:rPr>
                <w:rFonts w:cs="Arial"/>
              </w:rPr>
            </w:pPr>
            <w:r w:rsidRPr="005B0FA3">
              <w:rPr>
                <w:rFonts w:cs="Arial"/>
                <w:sz w:val="18"/>
                <w:szCs w:val="18"/>
              </w:rPr>
              <w:t>0 NaN (both splits)</w:t>
            </w:r>
          </w:p>
        </w:tc>
        <w:tc>
          <w:tcPr>
            <w:tcW w:w="2800" w:type="dxa"/>
            <w:shd w:val="clear" w:color="auto" w:fill="F0F4F8"/>
            <w:tcMar>
              <w:top w:w="80" w:type="dxa"/>
              <w:left w:w="120" w:type="dxa"/>
              <w:bottom w:w="80" w:type="dxa"/>
              <w:right w:w="120" w:type="dxa"/>
            </w:tcMar>
            <w:vAlign w:val="center"/>
          </w:tcPr>
          <w:p w14:paraId="43791F9F" w14:textId="77777777" w:rsidR="00A807E4" w:rsidRPr="005B0FA3" w:rsidRDefault="00000000" w:rsidP="00623C1B">
            <w:pPr>
              <w:spacing w:before="100" w:beforeAutospacing="1" w:after="100" w:afterAutospacing="1"/>
              <w:rPr>
                <w:rFonts w:cs="Arial"/>
              </w:rPr>
            </w:pPr>
            <w:r w:rsidRPr="005B0FA3">
              <w:rPr>
                <w:rFonts w:cs="Arial"/>
                <w:sz w:val="18"/>
                <w:szCs w:val="18"/>
              </w:rPr>
              <w:t>0 NaN (train), 0 NaN (val)</w:t>
            </w:r>
          </w:p>
        </w:tc>
        <w:tc>
          <w:tcPr>
            <w:tcW w:w="960" w:type="dxa"/>
            <w:shd w:val="clear" w:color="auto" w:fill="F0F4F8"/>
            <w:tcMar>
              <w:top w:w="80" w:type="dxa"/>
              <w:left w:w="120" w:type="dxa"/>
              <w:bottom w:w="80" w:type="dxa"/>
              <w:right w:w="120" w:type="dxa"/>
            </w:tcMar>
            <w:vAlign w:val="center"/>
          </w:tcPr>
          <w:p w14:paraId="18BEDF98" w14:textId="77777777" w:rsidR="00A807E4" w:rsidRPr="00820DEF" w:rsidRDefault="00000000" w:rsidP="00820DEF">
            <w:pPr>
              <w:spacing w:before="100" w:beforeAutospacing="1" w:after="100" w:afterAutospacing="1"/>
              <w:jc w:val="center"/>
              <w:rPr>
                <w:rFonts w:cs="Arial"/>
                <w:b/>
                <w:bCs/>
                <w:color w:val="1A7A3A"/>
              </w:rPr>
            </w:pPr>
            <w:r w:rsidRPr="00820DEF">
              <w:rPr>
                <w:rFonts w:cs="Arial"/>
                <w:b/>
                <w:bCs/>
                <w:color w:val="1A7A3A"/>
                <w:sz w:val="18"/>
                <w:szCs w:val="18"/>
              </w:rPr>
              <w:t>PASS</w:t>
            </w:r>
          </w:p>
        </w:tc>
      </w:tr>
      <w:tr w:rsidR="004C002F" w14:paraId="71B8EAD7" w14:textId="77777777" w:rsidTr="007A5DFA">
        <w:tc>
          <w:tcPr>
            <w:tcW w:w="846" w:type="dxa"/>
            <w:shd w:val="clear" w:color="auto" w:fill="FFFFFF"/>
            <w:tcMar>
              <w:top w:w="80" w:type="dxa"/>
              <w:left w:w="120" w:type="dxa"/>
              <w:bottom w:w="80" w:type="dxa"/>
              <w:right w:w="120" w:type="dxa"/>
            </w:tcMar>
            <w:vAlign w:val="center"/>
          </w:tcPr>
          <w:p w14:paraId="77D7429B" w14:textId="77777777" w:rsidR="00A807E4" w:rsidRPr="005B0FA3" w:rsidRDefault="00000000" w:rsidP="00623C1B">
            <w:pPr>
              <w:spacing w:before="100" w:beforeAutospacing="1" w:after="100" w:afterAutospacing="1"/>
              <w:rPr>
                <w:rFonts w:cs="Arial"/>
              </w:rPr>
            </w:pPr>
            <w:r w:rsidRPr="005B0FA3">
              <w:rPr>
                <w:rFonts w:cs="Arial"/>
                <w:sz w:val="18"/>
                <w:szCs w:val="18"/>
              </w:rPr>
              <w:t>Gate 5</w:t>
            </w:r>
          </w:p>
        </w:tc>
        <w:tc>
          <w:tcPr>
            <w:tcW w:w="2654" w:type="dxa"/>
            <w:shd w:val="clear" w:color="auto" w:fill="FFFFFF"/>
            <w:tcMar>
              <w:top w:w="80" w:type="dxa"/>
              <w:left w:w="120" w:type="dxa"/>
              <w:bottom w:w="80" w:type="dxa"/>
              <w:right w:w="120" w:type="dxa"/>
            </w:tcMar>
            <w:vAlign w:val="center"/>
          </w:tcPr>
          <w:p w14:paraId="18232095" w14:textId="3FF3D6C5" w:rsidR="00A807E4" w:rsidRPr="005B0FA3" w:rsidRDefault="00000000" w:rsidP="00623C1B">
            <w:pPr>
              <w:spacing w:before="100" w:beforeAutospacing="1" w:after="100" w:afterAutospacing="1"/>
              <w:rPr>
                <w:rFonts w:cs="Arial"/>
              </w:rPr>
            </w:pPr>
            <w:r w:rsidRPr="005B0FA3">
              <w:rPr>
                <w:rFonts w:cs="Arial"/>
                <w:sz w:val="18"/>
                <w:szCs w:val="18"/>
              </w:rPr>
              <w:t xml:space="preserve">Virtual sensor non-degenerate (std </w:t>
            </w:r>
            <m:oMath>
              <m:r>
                <w:rPr>
                  <w:rFonts w:ascii="Cambria Math" w:hAnsi="Cambria Math" w:cs="Arial"/>
                  <w:sz w:val="18"/>
                  <w:szCs w:val="18"/>
                </w:rPr>
                <m:t>&gt; 0</m:t>
              </m:r>
            </m:oMath>
            <w:r w:rsidRPr="005B0FA3">
              <w:rPr>
                <w:rFonts w:cs="Arial"/>
                <w:sz w:val="18"/>
                <w:szCs w:val="18"/>
              </w:rPr>
              <w:t>)</w:t>
            </w:r>
          </w:p>
        </w:tc>
        <w:tc>
          <w:tcPr>
            <w:tcW w:w="1800" w:type="dxa"/>
            <w:shd w:val="clear" w:color="auto" w:fill="FFFFFF"/>
            <w:tcMar>
              <w:top w:w="80" w:type="dxa"/>
              <w:left w:w="120" w:type="dxa"/>
              <w:bottom w:w="80" w:type="dxa"/>
              <w:right w:w="120" w:type="dxa"/>
            </w:tcMar>
            <w:vAlign w:val="center"/>
          </w:tcPr>
          <w:p w14:paraId="16A5B9BD" w14:textId="77777777" w:rsidR="00A807E4" w:rsidRPr="005B0FA3" w:rsidRDefault="00000000" w:rsidP="00623C1B">
            <w:pPr>
              <w:spacing w:before="100" w:beforeAutospacing="1" w:after="100" w:afterAutospacing="1"/>
              <w:rPr>
                <w:rFonts w:cs="Arial"/>
              </w:rPr>
            </w:pPr>
            <w:r w:rsidRPr="005B0FA3">
              <w:rPr>
                <w:rFonts w:cs="Arial"/>
                <w:sz w:val="18"/>
                <w:szCs w:val="18"/>
              </w:rPr>
              <w:t>All 3 non-degenerate</w:t>
            </w:r>
          </w:p>
        </w:tc>
        <w:tc>
          <w:tcPr>
            <w:tcW w:w="2800" w:type="dxa"/>
            <w:shd w:val="clear" w:color="auto" w:fill="FFFFFF"/>
            <w:tcMar>
              <w:top w:w="80" w:type="dxa"/>
              <w:left w:w="120" w:type="dxa"/>
              <w:bottom w:w="80" w:type="dxa"/>
              <w:right w:w="120" w:type="dxa"/>
            </w:tcMar>
            <w:vAlign w:val="center"/>
          </w:tcPr>
          <w:p w14:paraId="6ED357AE" w14:textId="22C2105E" w:rsidR="00A807E4" w:rsidRPr="007A5DFA" w:rsidRDefault="00820DEF" w:rsidP="00623C1B">
            <w:pPr>
              <w:spacing w:before="100" w:beforeAutospacing="1" w:after="100" w:afterAutospacing="1"/>
              <w:rPr>
                <w:rFonts w:cs="Arial"/>
                <w:sz w:val="18"/>
                <w:szCs w:val="18"/>
              </w:rPr>
            </w:pPr>
            <m:oMath>
              <m:r>
                <w:rPr>
                  <w:rFonts w:ascii="Cambria Math" w:hAnsi="Cambria Math" w:cs="Arial"/>
                  <w:sz w:val="18"/>
                  <w:szCs w:val="18"/>
                </w:rPr>
                <m:t>CPR </m:t>
              </m:r>
              <m:r>
                <m:rPr>
                  <m:sty m:val="p"/>
                </m:rPr>
                <w:rPr>
                  <w:rFonts w:ascii="Cambria Math" w:hAnsi="Cambria Math" w:cs="Arial"/>
                  <w:sz w:val="18"/>
                  <w:szCs w:val="18"/>
                </w:rPr>
                <m:t> </m:t>
              </m:r>
              <m:r>
                <w:rPr>
                  <w:rFonts w:ascii="Cambria Math" w:hAnsi="Cambria Math" w:cs="Arial"/>
                  <w:sz w:val="18"/>
                  <w:szCs w:val="18"/>
                </w:rPr>
                <m:t>std=66.95</m:t>
              </m:r>
            </m:oMath>
            <w:r w:rsidRPr="005B0FA3">
              <w:rPr>
                <w:rFonts w:cs="Arial"/>
                <w:sz w:val="18"/>
                <w:szCs w:val="18"/>
              </w:rPr>
              <w:t xml:space="preserve">, </w:t>
            </w:r>
            <w:r w:rsidR="007A5DFA">
              <w:rPr>
                <w:rFonts w:cs="Arial"/>
                <w:sz w:val="18"/>
                <w:szCs w:val="18"/>
              </w:rPr>
              <w:br/>
            </w:r>
            <m:oMath>
              <m:sSub>
                <m:sSubPr>
                  <m:ctrlPr>
                    <w:rPr>
                      <w:rFonts w:ascii="Cambria Math" w:hAnsi="Cambria Math" w:cs="Arial"/>
                      <w:i/>
                      <w:sz w:val="18"/>
                      <w:szCs w:val="18"/>
                    </w:rPr>
                  </m:ctrlPr>
                </m:sSubPr>
                <m:e>
                  <m:r>
                    <w:rPr>
                      <w:rFonts w:ascii="Cambria Math" w:hAnsi="Cambria Math" w:cs="Arial"/>
                      <w:sz w:val="18"/>
                      <w:szCs w:val="18"/>
                    </w:rPr>
                    <m:t>E</m:t>
                  </m:r>
                </m:e>
                <m:sub>
                  <m:r>
                    <w:rPr>
                      <w:rFonts w:ascii="Cambria Math" w:hAnsi="Cambria Math" w:cs="Arial"/>
                      <w:sz w:val="18"/>
                      <w:szCs w:val="18"/>
                    </w:rPr>
                    <m:t>thermal</m:t>
                  </m:r>
                </m:sub>
              </m:sSub>
              <m:r>
                <m:rPr>
                  <m:sty m:val="p"/>
                </m:rPr>
                <w:rPr>
                  <w:rFonts w:ascii="Cambria Math" w:hAnsi="Cambria Math" w:cs="Arial"/>
                  <w:sz w:val="18"/>
                  <w:szCs w:val="18"/>
                </w:rPr>
                <m:t> </m:t>
              </m:r>
              <m:r>
                <w:rPr>
                  <w:rFonts w:ascii="Cambria Math" w:hAnsi="Cambria Math" w:cs="Arial"/>
                  <w:sz w:val="18"/>
                  <w:szCs w:val="18"/>
                </w:rPr>
                <m:t>std=764.09</m:t>
              </m:r>
            </m:oMath>
            <w:r w:rsidRPr="005B0FA3">
              <w:rPr>
                <w:rFonts w:cs="Arial"/>
                <w:sz w:val="18"/>
                <w:szCs w:val="18"/>
              </w:rPr>
              <w:t xml:space="preserve">, </w:t>
            </w:r>
            <w:r w:rsidR="007A5DFA">
              <w:rPr>
                <w:rFonts w:cs="Arial"/>
                <w:sz w:val="18"/>
                <w:szCs w:val="18"/>
              </w:rPr>
              <w:br/>
            </w:r>
            <m:oMathPara>
              <m:oMathParaPr>
                <m:jc m:val="left"/>
              </m:oMathParaPr>
              <m:oMath>
                <m:r>
                  <w:rPr>
                    <w:rFonts w:ascii="Cambria Math" w:hAnsi="Cambria Math" w:cs="Arial"/>
                    <w:sz w:val="18"/>
                    <w:szCs w:val="18"/>
                  </w:rPr>
                  <m:t>EG</m:t>
                </m:r>
                <m:sSub>
                  <m:sSubPr>
                    <m:ctrlPr>
                      <w:rPr>
                        <w:rFonts w:ascii="Cambria Math" w:hAnsi="Cambria Math" w:cs="Arial"/>
                        <w:i/>
                        <w:sz w:val="18"/>
                        <w:szCs w:val="18"/>
                      </w:rPr>
                    </m:ctrlPr>
                  </m:sSubPr>
                  <m:e>
                    <m:r>
                      <w:rPr>
                        <w:rFonts w:ascii="Cambria Math" w:hAnsi="Cambria Math" w:cs="Arial"/>
                        <w:sz w:val="18"/>
                        <w:szCs w:val="18"/>
                      </w:rPr>
                      <m:t>T</m:t>
                    </m:r>
                  </m:e>
                  <m:sub>
                    <m:r>
                      <w:rPr>
                        <w:rFonts w:ascii="Cambria Math" w:hAnsi="Cambria Math" w:cs="Arial"/>
                        <w:sz w:val="18"/>
                        <w:szCs w:val="18"/>
                      </w:rPr>
                      <m:t>drift</m:t>
                    </m:r>
                  </m:sub>
                </m:sSub>
                <m:r>
                  <m:rPr>
                    <m:sty m:val="p"/>
                  </m:rPr>
                  <w:rPr>
                    <w:rFonts w:ascii="Cambria Math" w:hAnsi="Cambria Math" w:cs="Arial"/>
                    <w:sz w:val="18"/>
                    <w:szCs w:val="18"/>
                  </w:rPr>
                  <m:t> </m:t>
                </m:r>
                <m:r>
                  <w:rPr>
                    <w:rFonts w:ascii="Cambria Math" w:hAnsi="Cambria Math" w:cs="Arial"/>
                    <w:sz w:val="18"/>
                    <w:szCs w:val="18"/>
                  </w:rPr>
                  <m:t>std=1.00</m:t>
                </m:r>
              </m:oMath>
            </m:oMathPara>
          </w:p>
        </w:tc>
        <w:tc>
          <w:tcPr>
            <w:tcW w:w="960" w:type="dxa"/>
            <w:shd w:val="clear" w:color="auto" w:fill="FFFFFF"/>
            <w:tcMar>
              <w:top w:w="80" w:type="dxa"/>
              <w:left w:w="120" w:type="dxa"/>
              <w:bottom w:w="80" w:type="dxa"/>
              <w:right w:w="120" w:type="dxa"/>
            </w:tcMar>
            <w:vAlign w:val="center"/>
          </w:tcPr>
          <w:p w14:paraId="3CD7AE1D" w14:textId="77777777" w:rsidR="00A807E4" w:rsidRPr="00820DEF" w:rsidRDefault="00000000" w:rsidP="00820DEF">
            <w:pPr>
              <w:spacing w:before="100" w:beforeAutospacing="1" w:after="100" w:afterAutospacing="1"/>
              <w:jc w:val="center"/>
              <w:rPr>
                <w:rFonts w:cs="Arial"/>
                <w:b/>
                <w:bCs/>
                <w:color w:val="1A7A3A"/>
              </w:rPr>
            </w:pPr>
            <w:r w:rsidRPr="00820DEF">
              <w:rPr>
                <w:rFonts w:cs="Arial"/>
                <w:b/>
                <w:bCs/>
                <w:color w:val="1A7A3A"/>
                <w:sz w:val="18"/>
                <w:szCs w:val="18"/>
              </w:rPr>
              <w:t>PASS</w:t>
            </w:r>
          </w:p>
        </w:tc>
      </w:tr>
      <w:tr w:rsidR="004C002F" w14:paraId="121EA49C" w14:textId="77777777" w:rsidTr="007A5DFA">
        <w:tc>
          <w:tcPr>
            <w:tcW w:w="846" w:type="dxa"/>
            <w:shd w:val="clear" w:color="auto" w:fill="F0F4F8"/>
            <w:tcMar>
              <w:top w:w="80" w:type="dxa"/>
              <w:left w:w="120" w:type="dxa"/>
              <w:bottom w:w="80" w:type="dxa"/>
              <w:right w:w="120" w:type="dxa"/>
            </w:tcMar>
            <w:vAlign w:val="center"/>
          </w:tcPr>
          <w:p w14:paraId="50EFF868" w14:textId="77777777" w:rsidR="00A807E4" w:rsidRPr="005B0FA3" w:rsidRDefault="00000000" w:rsidP="00623C1B">
            <w:pPr>
              <w:spacing w:before="100" w:beforeAutospacing="1" w:after="100" w:afterAutospacing="1"/>
              <w:rPr>
                <w:rFonts w:cs="Arial"/>
              </w:rPr>
            </w:pPr>
            <w:r w:rsidRPr="005B0FA3">
              <w:rPr>
                <w:rFonts w:cs="Arial"/>
                <w:sz w:val="18"/>
                <w:szCs w:val="18"/>
              </w:rPr>
              <w:t>Gate 6</w:t>
            </w:r>
          </w:p>
        </w:tc>
        <w:tc>
          <w:tcPr>
            <w:tcW w:w="2654" w:type="dxa"/>
            <w:shd w:val="clear" w:color="auto" w:fill="F0F4F8"/>
            <w:tcMar>
              <w:top w:w="80" w:type="dxa"/>
              <w:left w:w="120" w:type="dxa"/>
              <w:bottom w:w="80" w:type="dxa"/>
              <w:right w:w="120" w:type="dxa"/>
            </w:tcMar>
            <w:vAlign w:val="center"/>
          </w:tcPr>
          <w:p w14:paraId="21199CC1" w14:textId="77777777" w:rsidR="00A807E4" w:rsidRPr="005B0FA3" w:rsidRDefault="00000000" w:rsidP="00623C1B">
            <w:pPr>
              <w:spacing w:before="100" w:beforeAutospacing="1" w:after="100" w:afterAutospacing="1"/>
              <w:rPr>
                <w:rFonts w:cs="Arial"/>
              </w:rPr>
            </w:pPr>
            <w:r w:rsidRPr="005B0FA3">
              <w:rPr>
                <w:rFonts w:cs="Arial"/>
                <w:sz w:val="18"/>
                <w:szCs w:val="18"/>
              </w:rPr>
              <w:t>Cumulative fatigue strictly non-decreasing</w:t>
            </w:r>
          </w:p>
        </w:tc>
        <w:tc>
          <w:tcPr>
            <w:tcW w:w="1800" w:type="dxa"/>
            <w:shd w:val="clear" w:color="auto" w:fill="F0F4F8"/>
            <w:tcMar>
              <w:top w:w="80" w:type="dxa"/>
              <w:left w:w="120" w:type="dxa"/>
              <w:bottom w:w="80" w:type="dxa"/>
              <w:right w:w="120" w:type="dxa"/>
            </w:tcMar>
            <w:vAlign w:val="center"/>
          </w:tcPr>
          <w:p w14:paraId="6E9F4BF6" w14:textId="77777777" w:rsidR="00A807E4" w:rsidRPr="005B0FA3" w:rsidRDefault="00000000" w:rsidP="00623C1B">
            <w:pPr>
              <w:spacing w:before="100" w:beforeAutospacing="1" w:after="100" w:afterAutospacing="1"/>
              <w:rPr>
                <w:rFonts w:cs="Arial"/>
              </w:rPr>
            </w:pPr>
            <w:r w:rsidRPr="005B0FA3">
              <w:rPr>
                <w:rFonts w:cs="Arial"/>
                <w:sz w:val="18"/>
                <w:szCs w:val="18"/>
              </w:rPr>
              <w:t>All 3 sensors, 5 representative engines</w:t>
            </w:r>
          </w:p>
        </w:tc>
        <w:tc>
          <w:tcPr>
            <w:tcW w:w="2800" w:type="dxa"/>
            <w:shd w:val="clear" w:color="auto" w:fill="F0F4F8"/>
            <w:tcMar>
              <w:top w:w="80" w:type="dxa"/>
              <w:left w:w="120" w:type="dxa"/>
              <w:bottom w:w="80" w:type="dxa"/>
              <w:right w:w="120" w:type="dxa"/>
            </w:tcMar>
            <w:vAlign w:val="center"/>
          </w:tcPr>
          <w:p w14:paraId="703210E1" w14:textId="16348CE9" w:rsidR="00A807E4" w:rsidRPr="005B0FA3" w:rsidRDefault="00000000" w:rsidP="00623C1B">
            <w:pPr>
              <w:spacing w:before="100" w:beforeAutospacing="1" w:after="100" w:afterAutospacing="1"/>
              <w:rPr>
                <w:rFonts w:cs="Arial"/>
              </w:rPr>
            </w:pPr>
            <w:r w:rsidRPr="005B0FA3">
              <w:rPr>
                <w:rFonts w:cs="Arial"/>
                <w:sz w:val="18"/>
                <w:szCs w:val="18"/>
              </w:rPr>
              <w:t>No monotonicity violations detected (tolerance -</w:t>
            </w:r>
            <w:r w:rsidR="00F046F8">
              <w:rPr>
                <w:rFonts w:cs="Arial"/>
                <w:sz w:val="18"/>
                <w:szCs w:val="18"/>
              </w:rPr>
              <w:t xml:space="preserve"> </w:t>
            </w:r>
            <m:oMath>
              <m:sSup>
                <m:sSupPr>
                  <m:ctrlPr>
                    <w:rPr>
                      <w:rFonts w:ascii="Cambria Math" w:hAnsi="Cambria Math" w:cs="Arial"/>
                      <w:i/>
                      <w:sz w:val="18"/>
                      <w:szCs w:val="18"/>
                    </w:rPr>
                  </m:ctrlPr>
                </m:sSupPr>
                <m:e>
                  <m:r>
                    <w:rPr>
                      <w:rFonts w:ascii="Cambria Math" w:hAnsi="Cambria Math" w:cs="Arial"/>
                      <w:sz w:val="18"/>
                      <w:szCs w:val="18"/>
                    </w:rPr>
                    <m:t>10</m:t>
                  </m:r>
                </m:e>
                <m:sup>
                  <m:r>
                    <w:rPr>
                      <w:rFonts w:ascii="Cambria Math" w:hAnsi="Cambria Math" w:cs="Arial"/>
                      <w:sz w:val="18"/>
                      <w:szCs w:val="18"/>
                    </w:rPr>
                    <m:t>-10</m:t>
                  </m:r>
                </m:sup>
              </m:sSup>
            </m:oMath>
            <w:r w:rsidRPr="005B0FA3">
              <w:rPr>
                <w:rFonts w:cs="Arial"/>
                <w:sz w:val="18"/>
                <w:szCs w:val="18"/>
              </w:rPr>
              <w:t>)</w:t>
            </w:r>
          </w:p>
        </w:tc>
        <w:tc>
          <w:tcPr>
            <w:tcW w:w="960" w:type="dxa"/>
            <w:shd w:val="clear" w:color="auto" w:fill="F0F4F8"/>
            <w:tcMar>
              <w:top w:w="80" w:type="dxa"/>
              <w:left w:w="120" w:type="dxa"/>
              <w:bottom w:w="80" w:type="dxa"/>
              <w:right w:w="120" w:type="dxa"/>
            </w:tcMar>
            <w:vAlign w:val="center"/>
          </w:tcPr>
          <w:p w14:paraId="4BBE72F6" w14:textId="77777777" w:rsidR="00A807E4" w:rsidRPr="00820DEF" w:rsidRDefault="00000000" w:rsidP="00820DEF">
            <w:pPr>
              <w:spacing w:before="100" w:beforeAutospacing="1" w:after="100" w:afterAutospacing="1"/>
              <w:jc w:val="center"/>
              <w:rPr>
                <w:rFonts w:cs="Arial"/>
                <w:b/>
                <w:bCs/>
                <w:color w:val="1A7A3A"/>
              </w:rPr>
            </w:pPr>
            <w:r w:rsidRPr="00820DEF">
              <w:rPr>
                <w:rFonts w:cs="Arial"/>
                <w:b/>
                <w:bCs/>
                <w:color w:val="1A7A3A"/>
                <w:sz w:val="18"/>
                <w:szCs w:val="18"/>
              </w:rPr>
              <w:t>PASS</w:t>
            </w:r>
          </w:p>
        </w:tc>
      </w:tr>
    </w:tbl>
    <w:p w14:paraId="558BDC6C" w14:textId="77777777" w:rsidR="00A807E4" w:rsidRPr="000D6E34" w:rsidRDefault="00000000" w:rsidP="00623C1B">
      <w:pPr>
        <w:pBdr>
          <w:top w:val="single" w:sz="4" w:space="4" w:color="1A7A3A"/>
          <w:bottom w:val="single" w:sz="4" w:space="4" w:color="1A7A3A"/>
        </w:pBdr>
        <w:spacing w:before="100" w:beforeAutospacing="1" w:after="100" w:afterAutospacing="1"/>
        <w:jc w:val="center"/>
        <w:rPr>
          <w:rFonts w:cs="Arial"/>
          <w:szCs w:val="20"/>
        </w:rPr>
      </w:pPr>
      <w:r w:rsidRPr="000D6E34">
        <w:rPr>
          <w:rFonts w:cs="Arial"/>
          <w:b/>
          <w:bCs/>
          <w:color w:val="1A7A3A"/>
          <w:szCs w:val="20"/>
        </w:rPr>
        <w:t xml:space="preserve">Phase 3 Gate Verification: </w:t>
      </w:r>
      <w:r w:rsidRPr="000D6E34">
        <w:rPr>
          <w:rFonts w:ascii="Segoe UI Symbol" w:hAnsi="Segoe UI Symbol" w:cs="Segoe UI Symbol"/>
          <w:b/>
          <w:bCs/>
          <w:color w:val="1A7A3A"/>
          <w:szCs w:val="20"/>
        </w:rPr>
        <w:t>✓</w:t>
      </w:r>
      <w:r w:rsidRPr="000D6E34">
        <w:rPr>
          <w:rFonts w:cs="Arial"/>
          <w:b/>
          <w:bCs/>
          <w:color w:val="1A7A3A"/>
          <w:szCs w:val="20"/>
        </w:rPr>
        <w:t xml:space="preserve"> ALL 6 GATES PASSED — Pipeline cleared for Phase 4 (Forensic Stress Test)</w:t>
      </w:r>
    </w:p>
    <w:p w14:paraId="562D548E" w14:textId="77777777" w:rsidR="00A807E4" w:rsidRPr="005B0FA3" w:rsidRDefault="00000000" w:rsidP="00623C1B">
      <w:pPr>
        <w:pStyle w:val="Heading1"/>
        <w:spacing w:before="100" w:beforeAutospacing="1" w:after="100" w:afterAutospacing="1"/>
      </w:pPr>
      <w:r w:rsidRPr="005B0FA3">
        <w:lastRenderedPageBreak/>
        <w:t>7. Feature Matrix Composition</w:t>
      </w:r>
    </w:p>
    <w:p w14:paraId="2411A055" w14:textId="7CB41DF4" w:rsidR="00A807E4" w:rsidRPr="000D6E34" w:rsidRDefault="00000000" w:rsidP="00623C1B">
      <w:pPr>
        <w:spacing w:before="100" w:beforeAutospacing="1" w:after="100" w:afterAutospacing="1"/>
        <w:jc w:val="both"/>
        <w:rPr>
          <w:rFonts w:cs="Arial"/>
          <w:szCs w:val="20"/>
        </w:rPr>
      </w:pPr>
      <w:r w:rsidRPr="000D6E34">
        <w:rPr>
          <w:rFonts w:cs="Arial"/>
          <w:szCs w:val="20"/>
        </w:rPr>
        <w:t>The complete 91-feature matrix delivered to Phase 4 is structured as follows. Table 1</w:t>
      </w:r>
      <w:r w:rsidR="00B53A9B">
        <w:rPr>
          <w:rFonts w:cs="Arial"/>
          <w:szCs w:val="20"/>
        </w:rPr>
        <w:t>8</w:t>
      </w:r>
      <w:r w:rsidRPr="000D6E34">
        <w:rPr>
          <w:rFonts w:cs="Arial"/>
          <w:szCs w:val="20"/>
        </w:rPr>
        <w:t xml:space="preserve"> provides a categorised inventory of all feature groups with counts and engineering rationale.</w:t>
      </w:r>
    </w:p>
    <w:p w14:paraId="716FC7E3" w14:textId="5D544098" w:rsidR="00A807E4" w:rsidRPr="000D6E34" w:rsidRDefault="00000000" w:rsidP="00623C1B">
      <w:pPr>
        <w:spacing w:before="100" w:beforeAutospacing="1" w:after="100" w:afterAutospacing="1"/>
        <w:rPr>
          <w:rFonts w:cs="Arial"/>
          <w:szCs w:val="20"/>
        </w:rPr>
      </w:pPr>
      <w:r w:rsidRPr="000D6E34">
        <w:rPr>
          <w:rFonts w:cs="Arial"/>
          <w:b/>
          <w:bCs/>
          <w:color w:val="1B3A5C"/>
          <w:szCs w:val="20"/>
        </w:rPr>
        <w:t>Table 1</w:t>
      </w:r>
      <w:r w:rsidR="00B53A9B">
        <w:rPr>
          <w:rFonts w:cs="Arial"/>
          <w:b/>
          <w:bCs/>
          <w:color w:val="1B3A5C"/>
          <w:szCs w:val="20"/>
        </w:rPr>
        <w:t>8</w:t>
      </w:r>
      <w:r w:rsidR="00BD4886">
        <w:rPr>
          <w:rFonts w:cs="Arial"/>
          <w:b/>
          <w:bCs/>
          <w:color w:val="1B3A5C"/>
          <w:szCs w:val="20"/>
        </w:rPr>
        <w:t xml:space="preserve">. </w:t>
      </w:r>
      <w:r w:rsidRPr="000D6E34">
        <w:rPr>
          <w:rFonts w:cs="Arial"/>
          <w:b/>
          <w:bCs/>
          <w:color w:val="1B3A5C"/>
          <w:szCs w:val="20"/>
        </w:rPr>
        <w:t>Feature Matrix X — Complete Category Inventory (91 Features)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891"/>
        <w:gridCol w:w="2238"/>
        <w:gridCol w:w="3685"/>
      </w:tblGrid>
      <w:tr w:rsidR="00A807E4" w:rsidRPr="005B0FA3" w14:paraId="7CC57393" w14:textId="77777777" w:rsidTr="000479A7">
        <w:trPr>
          <w:tblHeader/>
        </w:trPr>
        <w:tc>
          <w:tcPr>
            <w:tcW w:w="2395"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85450F0"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Category</w:t>
            </w:r>
          </w:p>
        </w:tc>
        <w:tc>
          <w:tcPr>
            <w:tcW w:w="89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5B20299"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Feature Count</w:t>
            </w:r>
          </w:p>
        </w:tc>
        <w:tc>
          <w:tcPr>
            <w:tcW w:w="223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91A6148"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Examples</w:t>
            </w:r>
          </w:p>
        </w:tc>
        <w:tc>
          <w:tcPr>
            <w:tcW w:w="368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412B564" w14:textId="77777777" w:rsidR="00A807E4" w:rsidRPr="005B0FA3" w:rsidRDefault="00000000" w:rsidP="00623C1B">
            <w:pPr>
              <w:spacing w:before="100" w:beforeAutospacing="1" w:after="100" w:afterAutospacing="1"/>
              <w:rPr>
                <w:rFonts w:cs="Arial"/>
              </w:rPr>
            </w:pPr>
            <w:r w:rsidRPr="005B0FA3">
              <w:rPr>
                <w:rFonts w:cs="Arial"/>
                <w:b/>
                <w:bCs/>
                <w:color w:val="FFFFFF"/>
                <w:sz w:val="18"/>
                <w:szCs w:val="18"/>
              </w:rPr>
              <w:t>Engineering Rationale</w:t>
            </w:r>
          </w:p>
        </w:tc>
      </w:tr>
      <w:tr w:rsidR="004C002F" w14:paraId="085F5EF0" w14:textId="77777777" w:rsidTr="000479A7">
        <w:tc>
          <w:tcPr>
            <w:tcW w:w="2395" w:type="dxa"/>
            <w:shd w:val="clear" w:color="auto" w:fill="FFFFFF"/>
            <w:tcMar>
              <w:top w:w="80" w:type="dxa"/>
              <w:left w:w="120" w:type="dxa"/>
              <w:bottom w:w="80" w:type="dxa"/>
              <w:right w:w="120" w:type="dxa"/>
            </w:tcMar>
            <w:vAlign w:val="center"/>
          </w:tcPr>
          <w:p w14:paraId="3DEFBBB9" w14:textId="77777777" w:rsidR="00A807E4" w:rsidRPr="005B0FA3" w:rsidRDefault="00000000" w:rsidP="00623C1B">
            <w:pPr>
              <w:spacing w:before="100" w:beforeAutospacing="1" w:after="100" w:afterAutospacing="1"/>
              <w:rPr>
                <w:rFonts w:cs="Arial"/>
              </w:rPr>
            </w:pPr>
            <w:r w:rsidRPr="005B0FA3">
              <w:rPr>
                <w:rFonts w:cs="Arial"/>
                <w:sz w:val="18"/>
                <w:szCs w:val="18"/>
              </w:rPr>
              <w:t>Core Manifold — Operational Settings</w:t>
            </w:r>
          </w:p>
        </w:tc>
        <w:tc>
          <w:tcPr>
            <w:tcW w:w="891" w:type="dxa"/>
            <w:shd w:val="clear" w:color="auto" w:fill="FFFFFF"/>
            <w:tcMar>
              <w:top w:w="80" w:type="dxa"/>
              <w:left w:w="120" w:type="dxa"/>
              <w:bottom w:w="80" w:type="dxa"/>
              <w:right w:w="120" w:type="dxa"/>
            </w:tcMar>
            <w:vAlign w:val="center"/>
          </w:tcPr>
          <w:p w14:paraId="310182A6" w14:textId="77777777" w:rsidR="00A807E4" w:rsidRPr="005B0FA3" w:rsidRDefault="00000000" w:rsidP="00623C1B">
            <w:pPr>
              <w:spacing w:before="100" w:beforeAutospacing="1" w:after="100" w:afterAutospacing="1"/>
              <w:rPr>
                <w:rFonts w:cs="Arial"/>
              </w:rPr>
            </w:pPr>
            <w:r w:rsidRPr="005B0FA3">
              <w:rPr>
                <w:rFonts w:cs="Arial"/>
                <w:sz w:val="18"/>
                <w:szCs w:val="18"/>
              </w:rPr>
              <w:t>3</w:t>
            </w:r>
          </w:p>
        </w:tc>
        <w:tc>
          <w:tcPr>
            <w:tcW w:w="2238" w:type="dxa"/>
            <w:shd w:val="clear" w:color="auto" w:fill="FFFFFF"/>
            <w:tcMar>
              <w:top w:w="80" w:type="dxa"/>
              <w:left w:w="120" w:type="dxa"/>
              <w:bottom w:w="80" w:type="dxa"/>
              <w:right w:w="120" w:type="dxa"/>
            </w:tcMar>
            <w:vAlign w:val="center"/>
          </w:tcPr>
          <w:p w14:paraId="21FDD700" w14:textId="77777777" w:rsidR="00A807E4" w:rsidRPr="005B0FA3" w:rsidRDefault="00000000" w:rsidP="00623C1B">
            <w:pPr>
              <w:spacing w:before="100" w:beforeAutospacing="1" w:after="100" w:afterAutospacing="1"/>
              <w:rPr>
                <w:rFonts w:cs="Arial"/>
              </w:rPr>
            </w:pPr>
            <w:r w:rsidRPr="005B0FA3">
              <w:rPr>
                <w:rFonts w:cs="Arial"/>
                <w:sz w:val="18"/>
                <w:szCs w:val="18"/>
              </w:rPr>
              <w:t>op1, op2, op3</w:t>
            </w:r>
          </w:p>
        </w:tc>
        <w:tc>
          <w:tcPr>
            <w:tcW w:w="3685" w:type="dxa"/>
            <w:shd w:val="clear" w:color="auto" w:fill="FFFFFF"/>
            <w:tcMar>
              <w:top w:w="80" w:type="dxa"/>
              <w:left w:w="120" w:type="dxa"/>
              <w:bottom w:w="80" w:type="dxa"/>
              <w:right w:w="120" w:type="dxa"/>
            </w:tcMar>
            <w:vAlign w:val="center"/>
          </w:tcPr>
          <w:p w14:paraId="222DD36C" w14:textId="77777777" w:rsidR="00A807E4" w:rsidRPr="005B0FA3" w:rsidRDefault="00000000" w:rsidP="00623C1B">
            <w:pPr>
              <w:spacing w:before="100" w:beforeAutospacing="1" w:after="100" w:afterAutospacing="1"/>
              <w:rPr>
                <w:rFonts w:cs="Arial"/>
              </w:rPr>
            </w:pPr>
            <w:r w:rsidRPr="005B0FA3">
              <w:rPr>
                <w:rFonts w:cs="Arial"/>
                <w:sz w:val="18"/>
                <w:szCs w:val="18"/>
              </w:rPr>
              <w:t>Continuous regime signal for tree splits; complement regime OHE</w:t>
            </w:r>
          </w:p>
        </w:tc>
      </w:tr>
      <w:tr w:rsidR="004C002F" w14:paraId="4FDB9803" w14:textId="77777777" w:rsidTr="000479A7">
        <w:tc>
          <w:tcPr>
            <w:tcW w:w="2395" w:type="dxa"/>
            <w:shd w:val="clear" w:color="auto" w:fill="F0F4F8"/>
            <w:tcMar>
              <w:top w:w="80" w:type="dxa"/>
              <w:left w:w="120" w:type="dxa"/>
              <w:bottom w:w="80" w:type="dxa"/>
              <w:right w:w="120" w:type="dxa"/>
            </w:tcMar>
            <w:vAlign w:val="center"/>
          </w:tcPr>
          <w:p w14:paraId="5A690972" w14:textId="77777777" w:rsidR="00A807E4" w:rsidRPr="005B0FA3" w:rsidRDefault="00000000" w:rsidP="00623C1B">
            <w:pPr>
              <w:spacing w:before="100" w:beforeAutospacing="1" w:after="100" w:afterAutospacing="1"/>
              <w:rPr>
                <w:rFonts w:cs="Arial"/>
              </w:rPr>
            </w:pPr>
            <w:r w:rsidRPr="005B0FA3">
              <w:rPr>
                <w:rFonts w:cs="Arial"/>
                <w:sz w:val="18"/>
                <w:szCs w:val="18"/>
              </w:rPr>
              <w:t>Core Manifold — Raw Sensors</w:t>
            </w:r>
          </w:p>
        </w:tc>
        <w:tc>
          <w:tcPr>
            <w:tcW w:w="891" w:type="dxa"/>
            <w:shd w:val="clear" w:color="auto" w:fill="F0F4F8"/>
            <w:tcMar>
              <w:top w:w="80" w:type="dxa"/>
              <w:left w:w="120" w:type="dxa"/>
              <w:bottom w:w="80" w:type="dxa"/>
              <w:right w:w="120" w:type="dxa"/>
            </w:tcMar>
            <w:vAlign w:val="center"/>
          </w:tcPr>
          <w:p w14:paraId="0A9C415E" w14:textId="77777777" w:rsidR="00A807E4" w:rsidRPr="005B0FA3" w:rsidRDefault="00000000" w:rsidP="00623C1B">
            <w:pPr>
              <w:spacing w:before="100" w:beforeAutospacing="1" w:after="100" w:afterAutospacing="1"/>
              <w:rPr>
                <w:rFonts w:cs="Arial"/>
              </w:rPr>
            </w:pPr>
            <w:r w:rsidRPr="005B0FA3">
              <w:rPr>
                <w:rFonts w:cs="Arial"/>
                <w:sz w:val="18"/>
                <w:szCs w:val="18"/>
              </w:rPr>
              <w:t>21</w:t>
            </w:r>
          </w:p>
        </w:tc>
        <w:tc>
          <w:tcPr>
            <w:tcW w:w="2238" w:type="dxa"/>
            <w:shd w:val="clear" w:color="auto" w:fill="F0F4F8"/>
            <w:tcMar>
              <w:top w:w="80" w:type="dxa"/>
              <w:left w:w="120" w:type="dxa"/>
              <w:bottom w:w="80" w:type="dxa"/>
              <w:right w:w="120" w:type="dxa"/>
            </w:tcMar>
            <w:vAlign w:val="center"/>
          </w:tcPr>
          <w:p w14:paraId="27847CA8" w14:textId="77777777" w:rsidR="00A807E4" w:rsidRPr="005B0FA3" w:rsidRDefault="00000000" w:rsidP="00623C1B">
            <w:pPr>
              <w:spacing w:before="100" w:beforeAutospacing="1" w:after="100" w:afterAutospacing="1"/>
              <w:rPr>
                <w:rFonts w:cs="Arial"/>
              </w:rPr>
            </w:pPr>
            <w:r w:rsidRPr="005B0FA3">
              <w:rPr>
                <w:rFonts w:cs="Arial"/>
                <w:sz w:val="18"/>
                <w:szCs w:val="18"/>
              </w:rPr>
              <w:t>s1–s21 (all)</w:t>
            </w:r>
          </w:p>
        </w:tc>
        <w:tc>
          <w:tcPr>
            <w:tcW w:w="3685" w:type="dxa"/>
            <w:shd w:val="clear" w:color="auto" w:fill="F0F4F8"/>
            <w:tcMar>
              <w:top w:w="80" w:type="dxa"/>
              <w:left w:w="120" w:type="dxa"/>
              <w:bottom w:w="80" w:type="dxa"/>
              <w:right w:w="120" w:type="dxa"/>
            </w:tcMar>
            <w:vAlign w:val="center"/>
          </w:tcPr>
          <w:p w14:paraId="20AEF3C7" w14:textId="77777777" w:rsidR="00A807E4" w:rsidRPr="005B0FA3" w:rsidRDefault="00000000" w:rsidP="00623C1B">
            <w:pPr>
              <w:spacing w:before="100" w:beforeAutospacing="1" w:after="100" w:afterAutospacing="1"/>
              <w:rPr>
                <w:rFonts w:cs="Arial"/>
              </w:rPr>
            </w:pPr>
            <w:r w:rsidRPr="005B0FA3">
              <w:rPr>
                <w:rFonts w:cs="Arial"/>
                <w:sz w:val="18"/>
                <w:szCs w:val="18"/>
              </w:rPr>
              <w:t>Full sensor retention; zero-variance channels cost-free for XGBoost</w:t>
            </w:r>
          </w:p>
        </w:tc>
      </w:tr>
      <w:tr w:rsidR="004C002F" w14:paraId="215FE21C" w14:textId="77777777" w:rsidTr="000479A7">
        <w:tc>
          <w:tcPr>
            <w:tcW w:w="2395" w:type="dxa"/>
            <w:shd w:val="clear" w:color="auto" w:fill="FFFFFF"/>
            <w:tcMar>
              <w:top w:w="80" w:type="dxa"/>
              <w:left w:w="120" w:type="dxa"/>
              <w:bottom w:w="80" w:type="dxa"/>
              <w:right w:w="120" w:type="dxa"/>
            </w:tcMar>
            <w:vAlign w:val="center"/>
          </w:tcPr>
          <w:p w14:paraId="6B745856" w14:textId="77777777" w:rsidR="00A807E4" w:rsidRPr="005B0FA3" w:rsidRDefault="00000000" w:rsidP="00623C1B">
            <w:pPr>
              <w:spacing w:before="100" w:beforeAutospacing="1" w:after="100" w:afterAutospacing="1"/>
              <w:rPr>
                <w:rFonts w:cs="Arial"/>
              </w:rPr>
            </w:pPr>
            <w:r w:rsidRPr="005B0FA3">
              <w:rPr>
                <w:rFonts w:cs="Arial"/>
                <w:sz w:val="18"/>
                <w:szCs w:val="18"/>
              </w:rPr>
              <w:t>Kinematic Velocity (delta)</w:t>
            </w:r>
          </w:p>
        </w:tc>
        <w:tc>
          <w:tcPr>
            <w:tcW w:w="891" w:type="dxa"/>
            <w:shd w:val="clear" w:color="auto" w:fill="FFFFFF"/>
            <w:tcMar>
              <w:top w:w="80" w:type="dxa"/>
              <w:left w:w="120" w:type="dxa"/>
              <w:bottom w:w="80" w:type="dxa"/>
              <w:right w:w="120" w:type="dxa"/>
            </w:tcMar>
            <w:vAlign w:val="center"/>
          </w:tcPr>
          <w:p w14:paraId="696DCDCE" w14:textId="77777777" w:rsidR="00A807E4" w:rsidRPr="005B0FA3" w:rsidRDefault="00000000" w:rsidP="00623C1B">
            <w:pPr>
              <w:spacing w:before="100" w:beforeAutospacing="1" w:after="100" w:afterAutospacing="1"/>
              <w:rPr>
                <w:rFonts w:cs="Arial"/>
              </w:rPr>
            </w:pPr>
            <w:r w:rsidRPr="005B0FA3">
              <w:rPr>
                <w:rFonts w:cs="Arial"/>
                <w:sz w:val="18"/>
                <w:szCs w:val="18"/>
              </w:rPr>
              <w:t>17</w:t>
            </w:r>
          </w:p>
        </w:tc>
        <w:tc>
          <w:tcPr>
            <w:tcW w:w="2238" w:type="dxa"/>
            <w:shd w:val="clear" w:color="auto" w:fill="FFFFFF"/>
            <w:tcMar>
              <w:top w:w="80" w:type="dxa"/>
              <w:left w:w="120" w:type="dxa"/>
              <w:bottom w:w="80" w:type="dxa"/>
              <w:right w:w="120" w:type="dxa"/>
            </w:tcMar>
            <w:vAlign w:val="center"/>
          </w:tcPr>
          <w:p w14:paraId="347D4DB3" w14:textId="33265120" w:rsidR="00A807E4" w:rsidRPr="005B0FA3" w:rsidRDefault="00000000" w:rsidP="00623C1B">
            <w:pPr>
              <w:spacing w:before="100" w:beforeAutospacing="1" w:after="100" w:afterAutospacing="1"/>
              <w:rPr>
                <w:rFonts w:cs="Arial"/>
              </w:rPr>
            </w:pPr>
            <w:r w:rsidRPr="000479A7">
              <w:rPr>
                <w:rFonts w:ascii="Courier New" w:hAnsi="Courier New" w:cs="Courier New"/>
                <w:sz w:val="18"/>
                <w:szCs w:val="18"/>
              </w:rPr>
              <w:t>s2_delta</w:t>
            </w:r>
            <w:r w:rsidRPr="005B0FA3">
              <w:rPr>
                <w:rFonts w:cs="Arial"/>
                <w:sz w:val="18"/>
                <w:szCs w:val="18"/>
              </w:rPr>
              <w:t xml:space="preserve">, </w:t>
            </w:r>
            <w:r w:rsidR="000479A7">
              <w:rPr>
                <w:rFonts w:cs="Arial"/>
                <w:sz w:val="18"/>
                <w:szCs w:val="18"/>
              </w:rPr>
              <w:br/>
            </w:r>
            <w:r w:rsidRPr="000479A7">
              <w:rPr>
                <w:rFonts w:ascii="Courier New" w:hAnsi="Courier New" w:cs="Courier New"/>
                <w:sz w:val="18"/>
                <w:szCs w:val="18"/>
              </w:rPr>
              <w:t>s4_delta</w:t>
            </w:r>
            <w:r w:rsidRPr="005B0FA3">
              <w:rPr>
                <w:rFonts w:cs="Arial"/>
                <w:sz w:val="18"/>
                <w:szCs w:val="18"/>
              </w:rPr>
              <w:t>, ...</w:t>
            </w:r>
          </w:p>
        </w:tc>
        <w:tc>
          <w:tcPr>
            <w:tcW w:w="3685" w:type="dxa"/>
            <w:shd w:val="clear" w:color="auto" w:fill="FFFFFF"/>
            <w:tcMar>
              <w:top w:w="80" w:type="dxa"/>
              <w:left w:w="120" w:type="dxa"/>
              <w:bottom w:w="80" w:type="dxa"/>
              <w:right w:w="120" w:type="dxa"/>
            </w:tcMar>
            <w:vAlign w:val="center"/>
          </w:tcPr>
          <w:p w14:paraId="461A9B27" w14:textId="77777777" w:rsidR="00A807E4" w:rsidRPr="005B0FA3" w:rsidRDefault="00000000" w:rsidP="00623C1B">
            <w:pPr>
              <w:spacing w:before="100" w:beforeAutospacing="1" w:after="100" w:afterAutospacing="1"/>
              <w:rPr>
                <w:rFonts w:cs="Arial"/>
              </w:rPr>
            </w:pPr>
            <w:r w:rsidRPr="005B0FA3">
              <w:rPr>
                <w:rFonts w:cs="Arial"/>
                <w:sz w:val="18"/>
                <w:szCs w:val="18"/>
              </w:rPr>
              <w:t>First-order degradation rate of change per sensor</w:t>
            </w:r>
          </w:p>
        </w:tc>
      </w:tr>
      <w:tr w:rsidR="004C002F" w14:paraId="13B33811" w14:textId="77777777" w:rsidTr="000479A7">
        <w:tc>
          <w:tcPr>
            <w:tcW w:w="2395" w:type="dxa"/>
            <w:shd w:val="clear" w:color="auto" w:fill="F0F4F8"/>
            <w:tcMar>
              <w:top w:w="80" w:type="dxa"/>
              <w:left w:w="120" w:type="dxa"/>
              <w:bottom w:w="80" w:type="dxa"/>
              <w:right w:w="120" w:type="dxa"/>
            </w:tcMar>
            <w:vAlign w:val="center"/>
          </w:tcPr>
          <w:p w14:paraId="0A8287D1" w14:textId="77777777" w:rsidR="00A807E4" w:rsidRPr="005B0FA3" w:rsidRDefault="00000000" w:rsidP="00623C1B">
            <w:pPr>
              <w:spacing w:before="100" w:beforeAutospacing="1" w:after="100" w:afterAutospacing="1"/>
              <w:rPr>
                <w:rFonts w:cs="Arial"/>
              </w:rPr>
            </w:pPr>
            <w:r w:rsidRPr="005B0FA3">
              <w:rPr>
                <w:rFonts w:cs="Arial"/>
                <w:sz w:val="18"/>
                <w:szCs w:val="18"/>
              </w:rPr>
              <w:t>Thermodynamic Baseline (rmean)</w:t>
            </w:r>
          </w:p>
        </w:tc>
        <w:tc>
          <w:tcPr>
            <w:tcW w:w="891" w:type="dxa"/>
            <w:shd w:val="clear" w:color="auto" w:fill="F0F4F8"/>
            <w:tcMar>
              <w:top w:w="80" w:type="dxa"/>
              <w:left w:w="120" w:type="dxa"/>
              <w:bottom w:w="80" w:type="dxa"/>
              <w:right w:w="120" w:type="dxa"/>
            </w:tcMar>
            <w:vAlign w:val="center"/>
          </w:tcPr>
          <w:p w14:paraId="4CA11BF1" w14:textId="77777777" w:rsidR="00A807E4" w:rsidRPr="005B0FA3" w:rsidRDefault="00000000" w:rsidP="00623C1B">
            <w:pPr>
              <w:spacing w:before="100" w:beforeAutospacing="1" w:after="100" w:afterAutospacing="1"/>
              <w:rPr>
                <w:rFonts w:cs="Arial"/>
              </w:rPr>
            </w:pPr>
            <w:r w:rsidRPr="005B0FA3">
              <w:rPr>
                <w:rFonts w:cs="Arial"/>
                <w:sz w:val="18"/>
                <w:szCs w:val="18"/>
              </w:rPr>
              <w:t>17</w:t>
            </w:r>
          </w:p>
        </w:tc>
        <w:tc>
          <w:tcPr>
            <w:tcW w:w="2238" w:type="dxa"/>
            <w:shd w:val="clear" w:color="auto" w:fill="F0F4F8"/>
            <w:tcMar>
              <w:top w:w="80" w:type="dxa"/>
              <w:left w:w="120" w:type="dxa"/>
              <w:bottom w:w="80" w:type="dxa"/>
              <w:right w:w="120" w:type="dxa"/>
            </w:tcMar>
            <w:vAlign w:val="center"/>
          </w:tcPr>
          <w:p w14:paraId="5BB9BD2C" w14:textId="0039595F" w:rsidR="00A807E4" w:rsidRPr="005B0FA3" w:rsidRDefault="00000000" w:rsidP="00623C1B">
            <w:pPr>
              <w:spacing w:before="100" w:beforeAutospacing="1" w:after="100" w:afterAutospacing="1"/>
              <w:rPr>
                <w:rFonts w:cs="Arial"/>
              </w:rPr>
            </w:pPr>
            <w:r w:rsidRPr="000479A7">
              <w:rPr>
                <w:rFonts w:ascii="Courier New" w:hAnsi="Courier New" w:cs="Courier New"/>
                <w:sz w:val="18"/>
                <w:szCs w:val="18"/>
              </w:rPr>
              <w:t>s4_rmean</w:t>
            </w:r>
            <w:r w:rsidRPr="005B0FA3">
              <w:rPr>
                <w:rFonts w:cs="Arial"/>
                <w:sz w:val="18"/>
                <w:szCs w:val="18"/>
              </w:rPr>
              <w:t xml:space="preserve">, </w:t>
            </w:r>
            <w:r w:rsidR="000479A7">
              <w:rPr>
                <w:rFonts w:cs="Arial"/>
                <w:sz w:val="18"/>
                <w:szCs w:val="18"/>
              </w:rPr>
              <w:br/>
            </w:r>
            <w:r w:rsidRPr="000479A7">
              <w:rPr>
                <w:rFonts w:ascii="Courier New" w:hAnsi="Courier New" w:cs="Courier New"/>
                <w:sz w:val="18"/>
                <w:szCs w:val="18"/>
              </w:rPr>
              <w:t>s7_rmean</w:t>
            </w:r>
            <w:r w:rsidRPr="005B0FA3">
              <w:rPr>
                <w:rFonts w:cs="Arial"/>
                <w:sz w:val="18"/>
                <w:szCs w:val="18"/>
              </w:rPr>
              <w:t>, ...</w:t>
            </w:r>
          </w:p>
        </w:tc>
        <w:tc>
          <w:tcPr>
            <w:tcW w:w="3685" w:type="dxa"/>
            <w:shd w:val="clear" w:color="auto" w:fill="F0F4F8"/>
            <w:tcMar>
              <w:top w:w="80" w:type="dxa"/>
              <w:left w:w="120" w:type="dxa"/>
              <w:bottom w:w="80" w:type="dxa"/>
              <w:right w:w="120" w:type="dxa"/>
            </w:tcMar>
            <w:vAlign w:val="center"/>
          </w:tcPr>
          <w:p w14:paraId="7F9B2BE7" w14:textId="77777777" w:rsidR="00A807E4" w:rsidRPr="005B0FA3" w:rsidRDefault="00000000" w:rsidP="00623C1B">
            <w:pPr>
              <w:spacing w:before="100" w:beforeAutospacing="1" w:after="100" w:afterAutospacing="1"/>
              <w:rPr>
                <w:rFonts w:cs="Arial"/>
              </w:rPr>
            </w:pPr>
            <w:r w:rsidRPr="005B0FA3">
              <w:rPr>
                <w:rFonts w:cs="Arial"/>
                <w:sz w:val="18"/>
                <w:szCs w:val="18"/>
              </w:rPr>
              <w:t>Low-pass filtered current condition estimate (W=5 cycles)</w:t>
            </w:r>
          </w:p>
        </w:tc>
      </w:tr>
      <w:tr w:rsidR="004C002F" w14:paraId="455D5937" w14:textId="77777777" w:rsidTr="000479A7">
        <w:tc>
          <w:tcPr>
            <w:tcW w:w="2395" w:type="dxa"/>
            <w:shd w:val="clear" w:color="auto" w:fill="FFFFFF"/>
            <w:tcMar>
              <w:top w:w="80" w:type="dxa"/>
              <w:left w:w="120" w:type="dxa"/>
              <w:bottom w:w="80" w:type="dxa"/>
              <w:right w:w="120" w:type="dxa"/>
            </w:tcMar>
            <w:vAlign w:val="center"/>
          </w:tcPr>
          <w:p w14:paraId="628DB29C" w14:textId="77777777" w:rsidR="00A807E4" w:rsidRPr="005B0FA3" w:rsidRDefault="00000000" w:rsidP="00623C1B">
            <w:pPr>
              <w:spacing w:before="100" w:beforeAutospacing="1" w:after="100" w:afterAutospacing="1"/>
              <w:rPr>
                <w:rFonts w:cs="Arial"/>
              </w:rPr>
            </w:pPr>
            <w:r w:rsidRPr="005B0FA3">
              <w:rPr>
                <w:rFonts w:cs="Arial"/>
                <w:sz w:val="18"/>
                <w:szCs w:val="18"/>
              </w:rPr>
              <w:t>Systemic Instability (rstd)</w:t>
            </w:r>
          </w:p>
        </w:tc>
        <w:tc>
          <w:tcPr>
            <w:tcW w:w="891" w:type="dxa"/>
            <w:shd w:val="clear" w:color="auto" w:fill="FFFFFF"/>
            <w:tcMar>
              <w:top w:w="80" w:type="dxa"/>
              <w:left w:w="120" w:type="dxa"/>
              <w:bottom w:w="80" w:type="dxa"/>
              <w:right w:w="120" w:type="dxa"/>
            </w:tcMar>
            <w:vAlign w:val="center"/>
          </w:tcPr>
          <w:p w14:paraId="710A0806" w14:textId="77777777" w:rsidR="00A807E4" w:rsidRPr="005B0FA3" w:rsidRDefault="00000000" w:rsidP="00623C1B">
            <w:pPr>
              <w:spacing w:before="100" w:beforeAutospacing="1" w:after="100" w:afterAutospacing="1"/>
              <w:rPr>
                <w:rFonts w:cs="Arial"/>
              </w:rPr>
            </w:pPr>
            <w:r w:rsidRPr="005B0FA3">
              <w:rPr>
                <w:rFonts w:cs="Arial"/>
                <w:sz w:val="18"/>
                <w:szCs w:val="18"/>
              </w:rPr>
              <w:t>17</w:t>
            </w:r>
          </w:p>
        </w:tc>
        <w:tc>
          <w:tcPr>
            <w:tcW w:w="2238" w:type="dxa"/>
            <w:shd w:val="clear" w:color="auto" w:fill="FFFFFF"/>
            <w:tcMar>
              <w:top w:w="80" w:type="dxa"/>
              <w:left w:w="120" w:type="dxa"/>
              <w:bottom w:w="80" w:type="dxa"/>
              <w:right w:w="120" w:type="dxa"/>
            </w:tcMar>
            <w:vAlign w:val="center"/>
          </w:tcPr>
          <w:p w14:paraId="28E2C9F7" w14:textId="57917415" w:rsidR="00A807E4" w:rsidRPr="005B0FA3" w:rsidRDefault="00000000" w:rsidP="00623C1B">
            <w:pPr>
              <w:spacing w:before="100" w:beforeAutospacing="1" w:after="100" w:afterAutospacing="1"/>
              <w:rPr>
                <w:rFonts w:cs="Arial"/>
              </w:rPr>
            </w:pPr>
            <w:r w:rsidRPr="000479A7">
              <w:rPr>
                <w:rFonts w:ascii="Courier New" w:hAnsi="Courier New" w:cs="Courier New"/>
                <w:sz w:val="18"/>
                <w:szCs w:val="18"/>
              </w:rPr>
              <w:t>s9_rstd</w:t>
            </w:r>
            <w:r w:rsidRPr="005B0FA3">
              <w:rPr>
                <w:rFonts w:cs="Arial"/>
                <w:sz w:val="18"/>
                <w:szCs w:val="18"/>
              </w:rPr>
              <w:t xml:space="preserve">, </w:t>
            </w:r>
            <w:r w:rsidR="000479A7">
              <w:rPr>
                <w:rFonts w:cs="Arial"/>
                <w:sz w:val="18"/>
                <w:szCs w:val="18"/>
              </w:rPr>
              <w:br/>
            </w:r>
            <w:r w:rsidRPr="000479A7">
              <w:rPr>
                <w:rFonts w:ascii="Courier New" w:hAnsi="Courier New" w:cs="Courier New"/>
                <w:sz w:val="18"/>
                <w:szCs w:val="18"/>
              </w:rPr>
              <w:t>s11_rstd</w:t>
            </w:r>
            <w:r w:rsidRPr="005B0FA3">
              <w:rPr>
                <w:rFonts w:cs="Arial"/>
                <w:sz w:val="18"/>
                <w:szCs w:val="18"/>
              </w:rPr>
              <w:t>, ...</w:t>
            </w:r>
          </w:p>
        </w:tc>
        <w:tc>
          <w:tcPr>
            <w:tcW w:w="3685" w:type="dxa"/>
            <w:shd w:val="clear" w:color="auto" w:fill="FFFFFF"/>
            <w:tcMar>
              <w:top w:w="80" w:type="dxa"/>
              <w:left w:w="120" w:type="dxa"/>
              <w:bottom w:w="80" w:type="dxa"/>
              <w:right w:w="120" w:type="dxa"/>
            </w:tcMar>
            <w:vAlign w:val="center"/>
          </w:tcPr>
          <w:p w14:paraId="1F6ABEE8" w14:textId="77777777" w:rsidR="00A807E4" w:rsidRPr="005B0FA3" w:rsidRDefault="00000000" w:rsidP="00623C1B">
            <w:pPr>
              <w:spacing w:before="100" w:beforeAutospacing="1" w:after="100" w:afterAutospacing="1"/>
              <w:rPr>
                <w:rFonts w:cs="Arial"/>
              </w:rPr>
            </w:pPr>
            <w:r w:rsidRPr="005B0FA3">
              <w:rPr>
                <w:rFonts w:cs="Arial"/>
                <w:sz w:val="18"/>
                <w:szCs w:val="18"/>
              </w:rPr>
              <w:t>Local variability as proxy for mechanical instability</w:t>
            </w:r>
          </w:p>
        </w:tc>
      </w:tr>
      <w:tr w:rsidR="004C002F" w14:paraId="5CE8F2D2" w14:textId="77777777" w:rsidTr="000479A7">
        <w:tc>
          <w:tcPr>
            <w:tcW w:w="2395" w:type="dxa"/>
            <w:shd w:val="clear" w:color="auto" w:fill="F0F4F8"/>
            <w:tcMar>
              <w:top w:w="80" w:type="dxa"/>
              <w:left w:w="120" w:type="dxa"/>
              <w:bottom w:w="80" w:type="dxa"/>
              <w:right w:w="120" w:type="dxa"/>
            </w:tcMar>
            <w:vAlign w:val="center"/>
          </w:tcPr>
          <w:p w14:paraId="4407578D" w14:textId="77777777" w:rsidR="00A807E4" w:rsidRPr="005B0FA3" w:rsidRDefault="00000000" w:rsidP="00623C1B">
            <w:pPr>
              <w:spacing w:before="100" w:beforeAutospacing="1" w:after="100" w:afterAutospacing="1"/>
              <w:rPr>
                <w:rFonts w:cs="Arial"/>
              </w:rPr>
            </w:pPr>
            <w:r w:rsidRPr="005B0FA3">
              <w:rPr>
                <w:rFonts w:cs="Arial"/>
                <w:sz w:val="18"/>
                <w:szCs w:val="18"/>
              </w:rPr>
              <w:t>Thermodynamic Virtual Sensors</w:t>
            </w:r>
          </w:p>
        </w:tc>
        <w:tc>
          <w:tcPr>
            <w:tcW w:w="891" w:type="dxa"/>
            <w:shd w:val="clear" w:color="auto" w:fill="F0F4F8"/>
            <w:tcMar>
              <w:top w:w="80" w:type="dxa"/>
              <w:left w:w="120" w:type="dxa"/>
              <w:bottom w:w="80" w:type="dxa"/>
              <w:right w:w="120" w:type="dxa"/>
            </w:tcMar>
            <w:vAlign w:val="center"/>
          </w:tcPr>
          <w:p w14:paraId="68B697EF" w14:textId="77777777" w:rsidR="00A807E4" w:rsidRPr="005B0FA3" w:rsidRDefault="00000000" w:rsidP="00623C1B">
            <w:pPr>
              <w:spacing w:before="100" w:beforeAutospacing="1" w:after="100" w:afterAutospacing="1"/>
              <w:rPr>
                <w:rFonts w:cs="Arial"/>
              </w:rPr>
            </w:pPr>
            <w:r w:rsidRPr="005B0FA3">
              <w:rPr>
                <w:rFonts w:cs="Arial"/>
                <w:sz w:val="18"/>
                <w:szCs w:val="18"/>
              </w:rPr>
              <w:t>3</w:t>
            </w:r>
          </w:p>
        </w:tc>
        <w:tc>
          <w:tcPr>
            <w:tcW w:w="2238" w:type="dxa"/>
            <w:shd w:val="clear" w:color="auto" w:fill="F0F4F8"/>
            <w:tcMar>
              <w:top w:w="80" w:type="dxa"/>
              <w:left w:w="120" w:type="dxa"/>
              <w:bottom w:w="80" w:type="dxa"/>
              <w:right w:w="120" w:type="dxa"/>
            </w:tcMar>
            <w:vAlign w:val="center"/>
          </w:tcPr>
          <w:p w14:paraId="3FEF9240" w14:textId="77777777" w:rsidR="00A807E4" w:rsidRPr="000479A7" w:rsidRDefault="00000000" w:rsidP="00623C1B">
            <w:pPr>
              <w:spacing w:before="100" w:beforeAutospacing="1" w:after="100" w:afterAutospacing="1"/>
              <w:rPr>
                <w:rFonts w:ascii="Courier New" w:hAnsi="Courier New" w:cs="Courier New"/>
              </w:rPr>
            </w:pPr>
            <w:r w:rsidRPr="000479A7">
              <w:rPr>
                <w:rFonts w:ascii="Courier New" w:hAnsi="Courier New" w:cs="Courier New"/>
                <w:sz w:val="18"/>
                <w:szCs w:val="18"/>
              </w:rPr>
              <w:t>CPR, E_thermal, EGT_drift</w:t>
            </w:r>
          </w:p>
        </w:tc>
        <w:tc>
          <w:tcPr>
            <w:tcW w:w="3685" w:type="dxa"/>
            <w:shd w:val="clear" w:color="auto" w:fill="F0F4F8"/>
            <w:tcMar>
              <w:top w:w="80" w:type="dxa"/>
              <w:left w:w="120" w:type="dxa"/>
              <w:bottom w:w="80" w:type="dxa"/>
              <w:right w:w="120" w:type="dxa"/>
            </w:tcMar>
            <w:vAlign w:val="center"/>
          </w:tcPr>
          <w:p w14:paraId="64CA86B3" w14:textId="77777777" w:rsidR="00A807E4" w:rsidRPr="005B0FA3" w:rsidRDefault="00000000" w:rsidP="00623C1B">
            <w:pPr>
              <w:spacing w:before="100" w:beforeAutospacing="1" w:after="100" w:afterAutospacing="1"/>
              <w:rPr>
                <w:rFonts w:cs="Arial"/>
              </w:rPr>
            </w:pPr>
            <w:r w:rsidRPr="005B0FA3">
              <w:rPr>
                <w:rFonts w:cs="Arial"/>
                <w:sz w:val="18"/>
                <w:szCs w:val="18"/>
              </w:rPr>
              <w:t>Physics-derived composite quantities encoding cycle efficiency</w:t>
            </w:r>
          </w:p>
        </w:tc>
      </w:tr>
      <w:tr w:rsidR="004C002F" w14:paraId="0A6BC9B7" w14:textId="77777777" w:rsidTr="000479A7">
        <w:tc>
          <w:tcPr>
            <w:tcW w:w="2395" w:type="dxa"/>
            <w:shd w:val="clear" w:color="auto" w:fill="FFFFFF"/>
            <w:tcMar>
              <w:top w:w="80" w:type="dxa"/>
              <w:left w:w="120" w:type="dxa"/>
              <w:bottom w:w="80" w:type="dxa"/>
              <w:right w:w="120" w:type="dxa"/>
            </w:tcMar>
            <w:vAlign w:val="center"/>
          </w:tcPr>
          <w:p w14:paraId="037A49FD" w14:textId="77777777" w:rsidR="00A807E4" w:rsidRPr="005B0FA3" w:rsidRDefault="00000000" w:rsidP="00623C1B">
            <w:pPr>
              <w:spacing w:before="100" w:beforeAutospacing="1" w:after="100" w:afterAutospacing="1"/>
              <w:rPr>
                <w:rFonts w:cs="Arial"/>
              </w:rPr>
            </w:pPr>
            <w:r w:rsidRPr="005B0FA3">
              <w:rPr>
                <w:rFonts w:cs="Arial"/>
                <w:sz w:val="18"/>
                <w:szCs w:val="18"/>
              </w:rPr>
              <w:t>Cumulative Fatigue Index</w:t>
            </w:r>
          </w:p>
        </w:tc>
        <w:tc>
          <w:tcPr>
            <w:tcW w:w="891" w:type="dxa"/>
            <w:shd w:val="clear" w:color="auto" w:fill="FFFFFF"/>
            <w:tcMar>
              <w:top w:w="80" w:type="dxa"/>
              <w:left w:w="120" w:type="dxa"/>
              <w:bottom w:w="80" w:type="dxa"/>
              <w:right w:w="120" w:type="dxa"/>
            </w:tcMar>
            <w:vAlign w:val="center"/>
          </w:tcPr>
          <w:p w14:paraId="05752A7B" w14:textId="77777777" w:rsidR="00A807E4" w:rsidRPr="005B0FA3" w:rsidRDefault="00000000" w:rsidP="00623C1B">
            <w:pPr>
              <w:spacing w:before="100" w:beforeAutospacing="1" w:after="100" w:afterAutospacing="1"/>
              <w:rPr>
                <w:rFonts w:cs="Arial"/>
              </w:rPr>
            </w:pPr>
            <w:r w:rsidRPr="005B0FA3">
              <w:rPr>
                <w:rFonts w:cs="Arial"/>
                <w:sz w:val="18"/>
                <w:szCs w:val="18"/>
              </w:rPr>
              <w:t>3</w:t>
            </w:r>
          </w:p>
        </w:tc>
        <w:tc>
          <w:tcPr>
            <w:tcW w:w="2238" w:type="dxa"/>
            <w:shd w:val="clear" w:color="auto" w:fill="FFFFFF"/>
            <w:tcMar>
              <w:top w:w="80" w:type="dxa"/>
              <w:left w:w="120" w:type="dxa"/>
              <w:bottom w:w="80" w:type="dxa"/>
              <w:right w:w="120" w:type="dxa"/>
            </w:tcMar>
            <w:vAlign w:val="center"/>
          </w:tcPr>
          <w:p w14:paraId="7AEB73AB" w14:textId="77777777" w:rsidR="00A807E4" w:rsidRPr="000479A7" w:rsidRDefault="00000000" w:rsidP="00623C1B">
            <w:pPr>
              <w:spacing w:before="100" w:beforeAutospacing="1" w:after="100" w:afterAutospacing="1"/>
              <w:rPr>
                <w:rFonts w:ascii="Courier New" w:hAnsi="Courier New" w:cs="Courier New"/>
              </w:rPr>
            </w:pPr>
            <w:r w:rsidRPr="000479A7">
              <w:rPr>
                <w:rFonts w:ascii="Courier New" w:hAnsi="Courier New" w:cs="Courier New"/>
                <w:sz w:val="18"/>
                <w:szCs w:val="18"/>
              </w:rPr>
              <w:t>s4_cumfatigue, s7_cumfatigue, s9_cumfatigue</w:t>
            </w:r>
          </w:p>
        </w:tc>
        <w:tc>
          <w:tcPr>
            <w:tcW w:w="3685" w:type="dxa"/>
            <w:shd w:val="clear" w:color="auto" w:fill="FFFFFF"/>
            <w:tcMar>
              <w:top w:w="80" w:type="dxa"/>
              <w:left w:w="120" w:type="dxa"/>
              <w:bottom w:w="80" w:type="dxa"/>
              <w:right w:w="120" w:type="dxa"/>
            </w:tcMar>
            <w:vAlign w:val="center"/>
          </w:tcPr>
          <w:p w14:paraId="35C14FCC" w14:textId="77777777" w:rsidR="00A807E4" w:rsidRPr="005B0FA3" w:rsidRDefault="00000000" w:rsidP="00623C1B">
            <w:pPr>
              <w:spacing w:before="100" w:beforeAutospacing="1" w:after="100" w:afterAutospacing="1"/>
              <w:rPr>
                <w:rFonts w:cs="Arial"/>
              </w:rPr>
            </w:pPr>
            <w:r w:rsidRPr="005B0FA3">
              <w:rPr>
                <w:rFonts w:cs="Arial"/>
                <w:sz w:val="18"/>
                <w:szCs w:val="18"/>
              </w:rPr>
              <w:t>Monotone damage accumulation proxy (Miner's Rule adapted)</w:t>
            </w:r>
          </w:p>
        </w:tc>
      </w:tr>
      <w:tr w:rsidR="004C002F" w14:paraId="26A99993" w14:textId="77777777" w:rsidTr="000479A7">
        <w:tc>
          <w:tcPr>
            <w:tcW w:w="2395" w:type="dxa"/>
            <w:shd w:val="clear" w:color="auto" w:fill="F0F4F8"/>
            <w:tcMar>
              <w:top w:w="80" w:type="dxa"/>
              <w:left w:w="120" w:type="dxa"/>
              <w:bottom w:w="80" w:type="dxa"/>
              <w:right w:w="120" w:type="dxa"/>
            </w:tcMar>
            <w:vAlign w:val="center"/>
          </w:tcPr>
          <w:p w14:paraId="4788F23E" w14:textId="77777777" w:rsidR="00A807E4" w:rsidRPr="005B0FA3" w:rsidRDefault="00000000" w:rsidP="00623C1B">
            <w:pPr>
              <w:spacing w:before="100" w:beforeAutospacing="1" w:after="100" w:afterAutospacing="1"/>
              <w:rPr>
                <w:rFonts w:cs="Arial"/>
              </w:rPr>
            </w:pPr>
            <w:r w:rsidRPr="005B0FA3">
              <w:rPr>
                <w:rFonts w:cs="Arial"/>
                <w:sz w:val="18"/>
                <w:szCs w:val="18"/>
              </w:rPr>
              <w:t>Regime OHE</w:t>
            </w:r>
          </w:p>
        </w:tc>
        <w:tc>
          <w:tcPr>
            <w:tcW w:w="891" w:type="dxa"/>
            <w:shd w:val="clear" w:color="auto" w:fill="F0F4F8"/>
            <w:tcMar>
              <w:top w:w="80" w:type="dxa"/>
              <w:left w:w="120" w:type="dxa"/>
              <w:bottom w:w="80" w:type="dxa"/>
              <w:right w:w="120" w:type="dxa"/>
            </w:tcMar>
            <w:vAlign w:val="center"/>
          </w:tcPr>
          <w:p w14:paraId="6BC22271" w14:textId="77777777" w:rsidR="00A807E4" w:rsidRPr="005B0FA3" w:rsidRDefault="00000000" w:rsidP="00623C1B">
            <w:pPr>
              <w:spacing w:before="100" w:beforeAutospacing="1" w:after="100" w:afterAutospacing="1"/>
              <w:rPr>
                <w:rFonts w:cs="Arial"/>
              </w:rPr>
            </w:pPr>
            <w:r w:rsidRPr="005B0FA3">
              <w:rPr>
                <w:rFonts w:cs="Arial"/>
                <w:sz w:val="18"/>
                <w:szCs w:val="18"/>
              </w:rPr>
              <w:t>6</w:t>
            </w:r>
          </w:p>
        </w:tc>
        <w:tc>
          <w:tcPr>
            <w:tcW w:w="2238" w:type="dxa"/>
            <w:shd w:val="clear" w:color="auto" w:fill="F0F4F8"/>
            <w:tcMar>
              <w:top w:w="80" w:type="dxa"/>
              <w:left w:w="120" w:type="dxa"/>
              <w:bottom w:w="80" w:type="dxa"/>
              <w:right w:w="120" w:type="dxa"/>
            </w:tcMar>
            <w:vAlign w:val="center"/>
          </w:tcPr>
          <w:p w14:paraId="11B034CD" w14:textId="77777777" w:rsidR="00A807E4" w:rsidRPr="005B0FA3" w:rsidRDefault="00000000" w:rsidP="00623C1B">
            <w:pPr>
              <w:spacing w:before="100" w:beforeAutospacing="1" w:after="100" w:afterAutospacing="1"/>
              <w:rPr>
                <w:rFonts w:cs="Arial"/>
              </w:rPr>
            </w:pPr>
            <w:r w:rsidRPr="000479A7">
              <w:rPr>
                <w:rFonts w:ascii="Courier New" w:hAnsi="Courier New" w:cs="Courier New"/>
                <w:sz w:val="18"/>
                <w:szCs w:val="18"/>
              </w:rPr>
              <w:t>regime_0</w:t>
            </w:r>
            <w:r w:rsidRPr="005B0FA3">
              <w:rPr>
                <w:rFonts w:cs="Arial"/>
                <w:sz w:val="18"/>
                <w:szCs w:val="18"/>
              </w:rPr>
              <w:t xml:space="preserve"> – </w:t>
            </w:r>
            <w:r w:rsidRPr="000479A7">
              <w:rPr>
                <w:rFonts w:ascii="Courier New" w:hAnsi="Courier New" w:cs="Courier New"/>
                <w:sz w:val="18"/>
                <w:szCs w:val="18"/>
              </w:rPr>
              <w:t>regime_5</w:t>
            </w:r>
          </w:p>
        </w:tc>
        <w:tc>
          <w:tcPr>
            <w:tcW w:w="3685" w:type="dxa"/>
            <w:shd w:val="clear" w:color="auto" w:fill="F0F4F8"/>
            <w:tcMar>
              <w:top w:w="80" w:type="dxa"/>
              <w:left w:w="120" w:type="dxa"/>
              <w:bottom w:w="80" w:type="dxa"/>
              <w:right w:w="120" w:type="dxa"/>
            </w:tcMar>
            <w:vAlign w:val="center"/>
          </w:tcPr>
          <w:p w14:paraId="2FE65798" w14:textId="77777777" w:rsidR="00A807E4" w:rsidRPr="005B0FA3" w:rsidRDefault="00000000" w:rsidP="00623C1B">
            <w:pPr>
              <w:spacing w:before="100" w:beforeAutospacing="1" w:after="100" w:afterAutospacing="1"/>
              <w:rPr>
                <w:rFonts w:cs="Arial"/>
              </w:rPr>
            </w:pPr>
            <w:r w:rsidRPr="005B0FA3">
              <w:rPr>
                <w:rFonts w:cs="Arial"/>
                <w:sz w:val="18"/>
                <w:szCs w:val="18"/>
              </w:rPr>
              <w:t>Nominal regime encoding; prevents spurious ordinal splits</w:t>
            </w:r>
          </w:p>
        </w:tc>
      </w:tr>
      <w:tr w:rsidR="004C002F" w14:paraId="58E1E140" w14:textId="77777777" w:rsidTr="000479A7">
        <w:tc>
          <w:tcPr>
            <w:tcW w:w="2395" w:type="dxa"/>
            <w:shd w:val="clear" w:color="auto" w:fill="FFFFFF"/>
            <w:tcMar>
              <w:top w:w="80" w:type="dxa"/>
              <w:left w:w="120" w:type="dxa"/>
              <w:bottom w:w="80" w:type="dxa"/>
              <w:right w:w="120" w:type="dxa"/>
            </w:tcMar>
            <w:vAlign w:val="center"/>
          </w:tcPr>
          <w:p w14:paraId="500AEA84" w14:textId="77777777" w:rsidR="00A807E4" w:rsidRPr="005B0FA3" w:rsidRDefault="00000000" w:rsidP="00623C1B">
            <w:pPr>
              <w:spacing w:before="100" w:beforeAutospacing="1" w:after="100" w:afterAutospacing="1"/>
              <w:rPr>
                <w:rFonts w:cs="Arial"/>
              </w:rPr>
            </w:pPr>
            <w:r w:rsidRPr="005B0FA3">
              <w:rPr>
                <w:rFonts w:cs="Arial"/>
                <w:sz w:val="18"/>
                <w:szCs w:val="18"/>
              </w:rPr>
              <w:t>Fault Mode Family</w:t>
            </w:r>
          </w:p>
        </w:tc>
        <w:tc>
          <w:tcPr>
            <w:tcW w:w="891" w:type="dxa"/>
            <w:shd w:val="clear" w:color="auto" w:fill="FFFFFF"/>
            <w:tcMar>
              <w:top w:w="80" w:type="dxa"/>
              <w:left w:w="120" w:type="dxa"/>
              <w:bottom w:w="80" w:type="dxa"/>
              <w:right w:w="120" w:type="dxa"/>
            </w:tcMar>
            <w:vAlign w:val="center"/>
          </w:tcPr>
          <w:p w14:paraId="4DD39807" w14:textId="77777777" w:rsidR="00A807E4" w:rsidRPr="005B0FA3" w:rsidRDefault="00000000" w:rsidP="00623C1B">
            <w:pPr>
              <w:spacing w:before="100" w:beforeAutospacing="1" w:after="100" w:afterAutospacing="1"/>
              <w:rPr>
                <w:rFonts w:cs="Arial"/>
              </w:rPr>
            </w:pPr>
            <w:r w:rsidRPr="005B0FA3">
              <w:rPr>
                <w:rFonts w:cs="Arial"/>
                <w:sz w:val="18"/>
                <w:szCs w:val="18"/>
              </w:rPr>
              <w:t>1</w:t>
            </w:r>
          </w:p>
        </w:tc>
        <w:tc>
          <w:tcPr>
            <w:tcW w:w="2238" w:type="dxa"/>
            <w:shd w:val="clear" w:color="auto" w:fill="FFFFFF"/>
            <w:tcMar>
              <w:top w:w="80" w:type="dxa"/>
              <w:left w:w="120" w:type="dxa"/>
              <w:bottom w:w="80" w:type="dxa"/>
              <w:right w:w="120" w:type="dxa"/>
            </w:tcMar>
            <w:vAlign w:val="center"/>
          </w:tcPr>
          <w:p w14:paraId="497C28B9" w14:textId="77777777" w:rsidR="00A807E4" w:rsidRPr="000479A7" w:rsidRDefault="00000000" w:rsidP="00623C1B">
            <w:pPr>
              <w:spacing w:before="100" w:beforeAutospacing="1" w:after="100" w:afterAutospacing="1"/>
              <w:rPr>
                <w:rFonts w:ascii="Courier New" w:hAnsi="Courier New" w:cs="Courier New"/>
              </w:rPr>
            </w:pPr>
            <w:r w:rsidRPr="000479A7">
              <w:rPr>
                <w:rFonts w:ascii="Courier New" w:hAnsi="Courier New" w:cs="Courier New"/>
                <w:sz w:val="18"/>
                <w:szCs w:val="18"/>
              </w:rPr>
              <w:t>fault_mode_family</w:t>
            </w:r>
          </w:p>
        </w:tc>
        <w:tc>
          <w:tcPr>
            <w:tcW w:w="3685" w:type="dxa"/>
            <w:shd w:val="clear" w:color="auto" w:fill="FFFFFF"/>
            <w:tcMar>
              <w:top w:w="80" w:type="dxa"/>
              <w:left w:w="120" w:type="dxa"/>
              <w:bottom w:w="80" w:type="dxa"/>
              <w:right w:w="120" w:type="dxa"/>
            </w:tcMar>
            <w:vAlign w:val="center"/>
          </w:tcPr>
          <w:p w14:paraId="3B33156D" w14:textId="77777777" w:rsidR="00A807E4" w:rsidRPr="005B0FA3" w:rsidRDefault="00000000" w:rsidP="00623C1B">
            <w:pPr>
              <w:spacing w:before="100" w:beforeAutospacing="1" w:after="100" w:afterAutospacing="1"/>
              <w:rPr>
                <w:rFonts w:cs="Arial"/>
              </w:rPr>
            </w:pPr>
            <w:r w:rsidRPr="005B0FA3">
              <w:rPr>
                <w:rFonts w:cs="Arial"/>
                <w:sz w:val="18"/>
                <w:szCs w:val="18"/>
              </w:rPr>
              <w:t>Binary indicator distinguishing single vs dual fault mode</w:t>
            </w:r>
          </w:p>
        </w:tc>
      </w:tr>
      <w:tr w:rsidR="004C002F" w14:paraId="34EC5D94" w14:textId="77777777" w:rsidTr="000479A7">
        <w:tc>
          <w:tcPr>
            <w:tcW w:w="2395" w:type="dxa"/>
            <w:shd w:val="clear" w:color="auto" w:fill="F0F4F8"/>
            <w:tcMar>
              <w:top w:w="80" w:type="dxa"/>
              <w:left w:w="120" w:type="dxa"/>
              <w:bottom w:w="80" w:type="dxa"/>
              <w:right w:w="120" w:type="dxa"/>
            </w:tcMar>
            <w:vAlign w:val="center"/>
          </w:tcPr>
          <w:p w14:paraId="273F9F7F" w14:textId="77777777" w:rsidR="00A807E4" w:rsidRPr="005B0FA3" w:rsidRDefault="00000000" w:rsidP="00623C1B">
            <w:pPr>
              <w:spacing w:before="100" w:beforeAutospacing="1" w:after="100" w:afterAutospacing="1"/>
              <w:rPr>
                <w:rFonts w:cs="Arial"/>
              </w:rPr>
            </w:pPr>
            <w:r w:rsidRPr="005B0FA3">
              <w:rPr>
                <w:rFonts w:cs="Arial"/>
                <w:sz w:val="18"/>
                <w:szCs w:val="18"/>
              </w:rPr>
              <w:t>Mechanically Linked Ratios</w:t>
            </w:r>
          </w:p>
        </w:tc>
        <w:tc>
          <w:tcPr>
            <w:tcW w:w="891" w:type="dxa"/>
            <w:shd w:val="clear" w:color="auto" w:fill="F0F4F8"/>
            <w:tcMar>
              <w:top w:w="80" w:type="dxa"/>
              <w:left w:w="120" w:type="dxa"/>
              <w:bottom w:w="80" w:type="dxa"/>
              <w:right w:w="120" w:type="dxa"/>
            </w:tcMar>
            <w:vAlign w:val="center"/>
          </w:tcPr>
          <w:p w14:paraId="4ED6A3A0" w14:textId="77777777" w:rsidR="00A807E4" w:rsidRPr="005B0FA3" w:rsidRDefault="00000000" w:rsidP="00623C1B">
            <w:pPr>
              <w:spacing w:before="100" w:beforeAutospacing="1" w:after="100" w:afterAutospacing="1"/>
              <w:rPr>
                <w:rFonts w:cs="Arial"/>
              </w:rPr>
            </w:pPr>
            <w:r w:rsidRPr="005B0FA3">
              <w:rPr>
                <w:rFonts w:cs="Arial"/>
                <w:sz w:val="18"/>
                <w:szCs w:val="18"/>
              </w:rPr>
              <w:t>2</w:t>
            </w:r>
          </w:p>
        </w:tc>
        <w:tc>
          <w:tcPr>
            <w:tcW w:w="2238" w:type="dxa"/>
            <w:shd w:val="clear" w:color="auto" w:fill="F0F4F8"/>
            <w:tcMar>
              <w:top w:w="80" w:type="dxa"/>
              <w:left w:w="120" w:type="dxa"/>
              <w:bottom w:w="80" w:type="dxa"/>
              <w:right w:w="120" w:type="dxa"/>
            </w:tcMar>
            <w:vAlign w:val="center"/>
          </w:tcPr>
          <w:p w14:paraId="1B501ED3" w14:textId="77777777" w:rsidR="00A807E4" w:rsidRPr="000479A7" w:rsidRDefault="00000000" w:rsidP="00623C1B">
            <w:pPr>
              <w:spacing w:before="100" w:beforeAutospacing="1" w:after="100" w:afterAutospacing="1"/>
              <w:rPr>
                <w:rFonts w:ascii="Courier New" w:hAnsi="Courier New" w:cs="Courier New"/>
              </w:rPr>
            </w:pPr>
            <w:r w:rsidRPr="000479A7">
              <w:rPr>
                <w:rFonts w:ascii="Courier New" w:hAnsi="Courier New" w:cs="Courier New"/>
                <w:sz w:val="18"/>
                <w:szCs w:val="18"/>
              </w:rPr>
              <w:t>s8_s13_ratio, s9_s14_ratio</w:t>
            </w:r>
          </w:p>
        </w:tc>
        <w:tc>
          <w:tcPr>
            <w:tcW w:w="3685" w:type="dxa"/>
            <w:shd w:val="clear" w:color="auto" w:fill="F0F4F8"/>
            <w:tcMar>
              <w:top w:w="80" w:type="dxa"/>
              <w:left w:w="120" w:type="dxa"/>
              <w:bottom w:w="80" w:type="dxa"/>
              <w:right w:w="120" w:type="dxa"/>
            </w:tcMar>
            <w:vAlign w:val="center"/>
          </w:tcPr>
          <w:p w14:paraId="6BBB3521" w14:textId="77777777" w:rsidR="00A807E4" w:rsidRPr="005B0FA3" w:rsidRDefault="00000000" w:rsidP="00623C1B">
            <w:pPr>
              <w:spacing w:before="100" w:beforeAutospacing="1" w:after="100" w:afterAutospacing="1"/>
              <w:rPr>
                <w:rFonts w:cs="Arial"/>
              </w:rPr>
            </w:pPr>
            <w:r w:rsidRPr="005B0FA3">
              <w:rPr>
                <w:rFonts w:cs="Arial"/>
                <w:sz w:val="18"/>
                <w:szCs w:val="18"/>
              </w:rPr>
              <w:t>Explicit correction factor theta to complement raw VIF-correlated pairs</w:t>
            </w:r>
          </w:p>
        </w:tc>
      </w:tr>
      <w:tr w:rsidR="004C002F" w14:paraId="177106A9" w14:textId="77777777" w:rsidTr="000479A7">
        <w:tc>
          <w:tcPr>
            <w:tcW w:w="2395" w:type="dxa"/>
            <w:shd w:val="clear" w:color="auto" w:fill="FFFFFF"/>
            <w:tcMar>
              <w:top w:w="80" w:type="dxa"/>
              <w:left w:w="120" w:type="dxa"/>
              <w:bottom w:w="80" w:type="dxa"/>
              <w:right w:w="120" w:type="dxa"/>
            </w:tcMar>
            <w:vAlign w:val="center"/>
          </w:tcPr>
          <w:p w14:paraId="6EE27028" w14:textId="77777777" w:rsidR="00A807E4" w:rsidRPr="005B0FA3" w:rsidRDefault="00000000" w:rsidP="00623C1B">
            <w:pPr>
              <w:spacing w:before="100" w:beforeAutospacing="1" w:after="100" w:afterAutospacing="1"/>
              <w:rPr>
                <w:rFonts w:cs="Arial"/>
              </w:rPr>
            </w:pPr>
            <w:r w:rsidRPr="005B0FA3">
              <w:rPr>
                <w:rFonts w:cs="Arial"/>
                <w:sz w:val="18"/>
                <w:szCs w:val="18"/>
              </w:rPr>
              <w:t>Multivariate Health Index</w:t>
            </w:r>
          </w:p>
        </w:tc>
        <w:tc>
          <w:tcPr>
            <w:tcW w:w="891" w:type="dxa"/>
            <w:shd w:val="clear" w:color="auto" w:fill="FFFFFF"/>
            <w:tcMar>
              <w:top w:w="80" w:type="dxa"/>
              <w:left w:w="120" w:type="dxa"/>
              <w:bottom w:w="80" w:type="dxa"/>
              <w:right w:w="120" w:type="dxa"/>
            </w:tcMar>
            <w:vAlign w:val="center"/>
          </w:tcPr>
          <w:p w14:paraId="7FF59421" w14:textId="77777777" w:rsidR="00A807E4" w:rsidRPr="005B0FA3" w:rsidRDefault="00000000" w:rsidP="00623C1B">
            <w:pPr>
              <w:spacing w:before="100" w:beforeAutospacing="1" w:after="100" w:afterAutospacing="1"/>
              <w:rPr>
                <w:rFonts w:cs="Arial"/>
              </w:rPr>
            </w:pPr>
            <w:r w:rsidRPr="005B0FA3">
              <w:rPr>
                <w:rFonts w:cs="Arial"/>
                <w:sz w:val="18"/>
                <w:szCs w:val="18"/>
              </w:rPr>
              <w:t>1</w:t>
            </w:r>
          </w:p>
        </w:tc>
        <w:tc>
          <w:tcPr>
            <w:tcW w:w="2238" w:type="dxa"/>
            <w:shd w:val="clear" w:color="auto" w:fill="FFFFFF"/>
            <w:tcMar>
              <w:top w:w="80" w:type="dxa"/>
              <w:left w:w="120" w:type="dxa"/>
              <w:bottom w:w="80" w:type="dxa"/>
              <w:right w:w="120" w:type="dxa"/>
            </w:tcMar>
            <w:vAlign w:val="center"/>
          </w:tcPr>
          <w:p w14:paraId="0B40C1E2" w14:textId="77777777" w:rsidR="00A807E4" w:rsidRPr="000479A7" w:rsidRDefault="00000000" w:rsidP="00623C1B">
            <w:pPr>
              <w:spacing w:before="100" w:beforeAutospacing="1" w:after="100" w:afterAutospacing="1"/>
              <w:rPr>
                <w:rFonts w:ascii="Courier New" w:hAnsi="Courier New" w:cs="Courier New"/>
              </w:rPr>
            </w:pPr>
            <w:r w:rsidRPr="000479A7">
              <w:rPr>
                <w:rFonts w:ascii="Courier New" w:hAnsi="Courier New" w:cs="Courier New"/>
                <w:sz w:val="18"/>
                <w:szCs w:val="18"/>
              </w:rPr>
              <w:t>health_index</w:t>
            </w:r>
          </w:p>
        </w:tc>
        <w:tc>
          <w:tcPr>
            <w:tcW w:w="3685" w:type="dxa"/>
            <w:shd w:val="clear" w:color="auto" w:fill="FFFFFF"/>
            <w:tcMar>
              <w:top w:w="80" w:type="dxa"/>
              <w:left w:w="120" w:type="dxa"/>
              <w:bottom w:w="80" w:type="dxa"/>
              <w:right w:w="120" w:type="dxa"/>
            </w:tcMar>
            <w:vAlign w:val="center"/>
          </w:tcPr>
          <w:p w14:paraId="4E5AB35F" w14:textId="77777777" w:rsidR="00A807E4" w:rsidRPr="005B0FA3" w:rsidRDefault="00000000" w:rsidP="00623C1B">
            <w:pPr>
              <w:spacing w:before="100" w:beforeAutospacing="1" w:after="100" w:afterAutospacing="1"/>
              <w:rPr>
                <w:rFonts w:cs="Arial"/>
              </w:rPr>
            </w:pPr>
            <w:r w:rsidRPr="005B0FA3">
              <w:rPr>
                <w:rFonts w:cs="Arial"/>
                <w:sz w:val="18"/>
                <w:szCs w:val="18"/>
              </w:rPr>
              <w:t>Mean(s4, s7, s9) composite degradation indicator in z-space</w:t>
            </w:r>
          </w:p>
        </w:tc>
      </w:tr>
    </w:tbl>
    <w:p w14:paraId="5D665177" w14:textId="77777777" w:rsidR="00A807E4" w:rsidRPr="005B0FA3" w:rsidRDefault="00000000" w:rsidP="00623C1B">
      <w:pPr>
        <w:pStyle w:val="Heading1"/>
        <w:spacing w:before="100" w:beforeAutospacing="1" w:after="100" w:afterAutospacing="1"/>
      </w:pPr>
      <w:r w:rsidRPr="005B0FA3">
        <w:t>8. Residual Technical Concerns and Observations</w:t>
      </w:r>
    </w:p>
    <w:p w14:paraId="39503924" w14:textId="46D0BBCA" w:rsidR="00A807E4" w:rsidRPr="005B0FA3" w:rsidRDefault="00AF7475" w:rsidP="00623C1B">
      <w:pPr>
        <w:pStyle w:val="Heading2"/>
        <w:spacing w:before="100" w:beforeAutospacing="1" w:after="100" w:afterAutospacing="1"/>
      </w:pPr>
      <w:bookmarkStart w:id="13" w:name="OLE_LINK15"/>
      <w:r w:rsidRPr="005B0FA3">
        <w:t xml:space="preserve">8.1  CPR and </w:t>
      </w:r>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thermal</m:t>
            </m:r>
          </m:sub>
        </m:sSub>
      </m:oMath>
      <w:r w:rsidRPr="005B0FA3">
        <w:t xml:space="preserve"> Tail Behaviour</w:t>
      </w:r>
      <w:r w:rsidR="000F5841">
        <w:t xml:space="preserve"> (Cell 3</w:t>
      </w:r>
      <w:r w:rsidR="002A3148">
        <w:t>3</w:t>
      </w:r>
      <w:r w:rsidR="000F5841">
        <w:t>)</w:t>
      </w:r>
    </w:p>
    <w:p w14:paraId="55ACFE08" w14:textId="77777777" w:rsidR="00A807E4" w:rsidRPr="000D6E34" w:rsidRDefault="00000000" w:rsidP="00623C1B">
      <w:pPr>
        <w:spacing w:before="100" w:beforeAutospacing="1" w:after="100" w:afterAutospacing="1"/>
        <w:jc w:val="both"/>
        <w:rPr>
          <w:rFonts w:cs="Arial"/>
          <w:szCs w:val="20"/>
        </w:rPr>
      </w:pPr>
      <w:r w:rsidRPr="000D6E34">
        <w:rPr>
          <w:rFonts w:cs="Arial"/>
          <w:szCs w:val="20"/>
        </w:rPr>
        <w:t>The extreme skewness of CPR (41.20) and E_thermal (171.82) constitutes the most significant residual concern in the Phase 3 feature set. For XGBoost in Phase 4, tree splits are threshold-based and invariant to monotone transformations, so the heavy tail does not invalidate the feature. However, the tail values may disproportionately influence tree construction if the extreme observations are informative: XGBoost may allocate a disproportionate number of splits to the tail region, reducing the model's ability to distinguish between subtly different mid-range conditions.</w:t>
      </w:r>
    </w:p>
    <w:p w14:paraId="07A6460F" w14:textId="02799675" w:rsidR="0049331F" w:rsidRPr="00333F9E" w:rsidRDefault="00000000" w:rsidP="00333F9E">
      <w:pPr>
        <w:spacing w:before="100" w:beforeAutospacing="1" w:after="100" w:afterAutospacing="1"/>
        <w:jc w:val="both"/>
        <w:rPr>
          <w:rFonts w:cs="Arial"/>
          <w:szCs w:val="20"/>
        </w:rPr>
      </w:pPr>
      <w:r w:rsidRPr="000D6E34">
        <w:rPr>
          <w:rFonts w:cs="Arial"/>
          <w:szCs w:val="20"/>
        </w:rPr>
        <w:t xml:space="preserve">For the Phase </w:t>
      </w:r>
      <w:r w:rsidR="00A42DEE">
        <w:rPr>
          <w:rFonts w:cs="Arial"/>
          <w:szCs w:val="20"/>
        </w:rPr>
        <w:t>4</w:t>
      </w:r>
      <w:r w:rsidRPr="000D6E34">
        <w:rPr>
          <w:rFonts w:cs="Arial"/>
          <w:szCs w:val="20"/>
        </w:rPr>
        <w:t xml:space="preserve"> SOTA benchmarks (DeepAR, TFT, PatchTST), which are neural-network architectures using continuous activation functions, raw CPR and </w:t>
      </w:r>
      <m:oMath>
        <m:sSub>
          <m:sSubPr>
            <m:ctrlPr>
              <w:rPr>
                <w:rFonts w:ascii="Cambria Math" w:hAnsi="Cambria Math" w:cs="Arial"/>
                <w:i/>
                <w:szCs w:val="20"/>
              </w:rPr>
            </m:ctrlPr>
          </m:sSubPr>
          <m:e>
            <m:r>
              <w:rPr>
                <w:rFonts w:ascii="Cambria Math" w:hAnsi="Cambria Math" w:cs="Arial"/>
                <w:szCs w:val="20"/>
              </w:rPr>
              <m:t>E</m:t>
            </m:r>
          </m:e>
          <m:sub>
            <m:r>
              <w:rPr>
                <w:rFonts w:ascii="Cambria Math" w:hAnsi="Cambria Math" w:cs="Arial"/>
                <w:szCs w:val="20"/>
              </w:rPr>
              <m:t>thermal</m:t>
            </m:r>
          </m:sub>
        </m:sSub>
      </m:oMath>
      <w:r w:rsidRPr="000D6E34">
        <w:rPr>
          <w:rFonts w:cs="Arial"/>
          <w:szCs w:val="20"/>
        </w:rPr>
        <w:t xml:space="preserve"> with their extreme kurtosis are likely to destabilise gradient descent. </w:t>
      </w:r>
      <w:bookmarkEnd w:id="13"/>
      <w:r w:rsidR="009B23CF">
        <w:t>A Yeo-Johnson power transform</w:t>
      </w:r>
      <w:sdt>
        <w:sdtPr>
          <w:id w:val="1649945856"/>
          <w:citation/>
        </w:sdtPr>
        <w:sdtContent>
          <w:r w:rsidR="009B23CF">
            <w:fldChar w:fldCharType="begin"/>
          </w:r>
          <w:r w:rsidR="009B23CF">
            <w:instrText xml:space="preserve"> CITATION Yeo00 \l 2057 </w:instrText>
          </w:r>
          <w:r w:rsidR="009B23CF">
            <w:fldChar w:fldCharType="separate"/>
          </w:r>
          <w:r w:rsidR="009B23CF">
            <w:rPr>
              <w:noProof/>
            </w:rPr>
            <w:t xml:space="preserve"> [17]</w:t>
          </w:r>
          <w:r w:rsidR="009B23CF">
            <w:fldChar w:fldCharType="end"/>
          </w:r>
        </w:sdtContent>
      </w:sdt>
      <w:r w:rsidR="009B23CF">
        <w:t xml:space="preserve"> or rank normalisation must be applied to both CPR and </w:t>
      </w:r>
      <m:oMath>
        <m:sSub>
          <m:sSubPr>
            <m:ctrlPr>
              <w:rPr>
                <w:rFonts w:ascii="Cambria Math" w:hAnsi="Cambria Math"/>
              </w:rPr>
            </m:ctrlPr>
          </m:sSubPr>
          <m:e>
            <m:r>
              <w:rPr>
                <w:rFonts w:ascii="Cambria Math" w:hAnsi="Cambria Math"/>
              </w:rPr>
              <m:t>E</m:t>
            </m:r>
          </m:e>
          <m:sub>
            <m:r>
              <m:rPr>
                <m:nor/>
              </m:rPr>
              <m:t>thermal</m:t>
            </m:r>
          </m:sub>
        </m:sSub>
      </m:oMath>
      <w:r w:rsidR="009B23CF">
        <w:t xml:space="preserve"> </w:t>
      </w:r>
      <w:r w:rsidR="009B23CF">
        <w:t xml:space="preserve">before neural network training in Phase 4. This is a mandatory Phase 4 prerequisite registered in Table 21, Item G5 — not an optional evaluation. Failure to apply this transformation before TFT, DeepAR, or PatchTST training is expected to produce gradient instability </w:t>
      </w:r>
      <w:r w:rsidR="009B23CF">
        <w:lastRenderedPageBreak/>
        <w:t>and will render comparisons between XGBoost and neural network benchmarks methodologically unsound.</w:t>
      </w:r>
    </w:p>
    <w:p w14:paraId="052B66A1" w14:textId="2E0D3E50" w:rsidR="00A807E4" w:rsidRPr="005B0FA3" w:rsidRDefault="00AF7475" w:rsidP="00623C1B">
      <w:pPr>
        <w:pStyle w:val="Heading2"/>
        <w:spacing w:before="100" w:beforeAutospacing="1" w:after="100" w:afterAutospacing="1"/>
      </w:pPr>
      <w:bookmarkStart w:id="14" w:name="OLE_LINK14"/>
      <w:r w:rsidRPr="005B0FA3">
        <w:t>8.2  s9_s14_ratio Variance</w:t>
      </w:r>
      <w:r w:rsidR="0049331F">
        <w:t xml:space="preserve"> (Cell 12)</w:t>
      </w:r>
    </w:p>
    <w:p w14:paraId="6D0CE290" w14:textId="6EBE1692"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The </w:t>
      </w:r>
      <w:r w:rsidRPr="000D6E34">
        <w:rPr>
          <w:rFonts w:ascii="Courier New" w:hAnsi="Courier New" w:cs="Courier New"/>
          <w:szCs w:val="20"/>
        </w:rPr>
        <w:t>s9_s14_ratio</w:t>
      </w:r>
      <w:r w:rsidRPr="000D6E34">
        <w:rPr>
          <w:rFonts w:cs="Arial"/>
          <w:szCs w:val="20"/>
        </w:rPr>
        <w:t xml:space="preserve"> feature exhibits a standard deviation of 650.60, arising from the near-zero denominator condition (</w:t>
      </w:r>
      <m:oMath>
        <m:r>
          <w:rPr>
            <w:rFonts w:ascii="Cambria Math" w:hAnsi="Cambria Math" w:cs="Arial"/>
            <w:szCs w:val="20"/>
          </w:rPr>
          <m:t>NRc ≈ 0</m:t>
        </m:r>
      </m:oMath>
      <w:r w:rsidRPr="000D6E34">
        <w:rPr>
          <w:rFonts w:cs="Arial"/>
          <w:szCs w:val="20"/>
        </w:rPr>
        <w:t xml:space="preserve"> in z-space) that the safe-division guard handles by substituting 0. The fill-with-zero convention effectively truncates the ratio at 0 when the denominator is near-zero, creating a spike at zero in the feature distribution. This bimodal structure (concentrated near zero when denominator is small; distributed around the mean of 2.36 otherwise) is non-standard and may confuse tree split selection. Phase 4 SHAP analysis should prioritise this feature's contribution. A clip at the [1st, 99th] percentile boundary is the recommended corrective if the feature exhibits low SHAP importance or high residual variance.</w:t>
      </w:r>
    </w:p>
    <w:p w14:paraId="225C915F" w14:textId="175748E2" w:rsidR="00A807E4" w:rsidRPr="005B0FA3" w:rsidRDefault="00AF7475" w:rsidP="00623C1B">
      <w:pPr>
        <w:pStyle w:val="Heading2"/>
        <w:spacing w:before="100" w:beforeAutospacing="1" w:after="100" w:afterAutospacing="1"/>
      </w:pPr>
      <w:bookmarkStart w:id="15" w:name="OLE_LINK16"/>
      <w:bookmarkEnd w:id="14"/>
      <w:r w:rsidRPr="005B0FA3">
        <w:t>8.3  EGT Baseline Leakage Consideration</w:t>
      </w:r>
      <w:r w:rsidR="000F5841">
        <w:t xml:space="preserve"> (Cell 2</w:t>
      </w:r>
      <w:r w:rsidR="002A3148">
        <w:t>4</w:t>
      </w:r>
      <w:r w:rsidR="000F5841">
        <w:t>)</w:t>
      </w:r>
    </w:p>
    <w:p w14:paraId="5441A1EF" w14:textId="45E34549"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The </w:t>
      </w:r>
      <w:r w:rsidRPr="000D6E34">
        <w:rPr>
          <w:rFonts w:ascii="Courier New" w:hAnsi="Courier New" w:cs="Courier New"/>
          <w:szCs w:val="20"/>
        </w:rPr>
        <w:t>EGT_drift</w:t>
      </w:r>
      <w:r w:rsidRPr="000D6E34">
        <w:rPr>
          <w:rFonts w:cs="Arial"/>
          <w:szCs w:val="20"/>
        </w:rPr>
        <w:t xml:space="preserve"> feature uses </w:t>
      </w:r>
      <w:r w:rsidRPr="000D6E34">
        <w:rPr>
          <w:rFonts w:ascii="Courier New" w:hAnsi="Courier New" w:cs="Courier New"/>
          <w:szCs w:val="20"/>
        </w:rPr>
        <w:t>mu_baseline</w:t>
      </w:r>
      <w:r w:rsidRPr="000D6E34">
        <w:rPr>
          <w:rFonts w:cs="Arial"/>
          <w:szCs w:val="20"/>
        </w:rPr>
        <w:t xml:space="preserve"> computed from the internal training set. This is correctly zero-leakage with respect to the validation and test sets (the baseline is frozen before application</w:t>
      </w:r>
      <w:r w:rsidR="00AF7475" w:rsidRPr="000D6E34">
        <w:rPr>
          <w:rFonts w:cs="Arial"/>
          <w:szCs w:val="20"/>
        </w:rPr>
        <w:t>)</w:t>
      </w:r>
      <w:r w:rsidRPr="000D6E34">
        <w:rPr>
          <w:rFonts w:cs="Arial"/>
          <w:szCs w:val="20"/>
        </w:rPr>
        <w:t xml:space="preserve">. However, the baseline is effectively the global mean of </w:t>
      </w:r>
      <w:r w:rsidRPr="000D6E34">
        <w:rPr>
          <w:rFonts w:ascii="Courier New" w:hAnsi="Courier New" w:cs="Courier New"/>
          <w:szCs w:val="20"/>
        </w:rPr>
        <w:t>z_s4</w:t>
      </w:r>
      <w:r w:rsidRPr="000D6E34">
        <w:rPr>
          <w:rFonts w:cs="Arial"/>
          <w:szCs w:val="20"/>
        </w:rPr>
        <w:t xml:space="preserve">, which by construction of Phase 2 z-normalisation is approximately zero. The </w:t>
      </w:r>
      <w:r w:rsidRPr="0049331F">
        <w:rPr>
          <w:rFonts w:ascii="Courier New" w:hAnsi="Courier New" w:cs="Courier New"/>
          <w:szCs w:val="20"/>
        </w:rPr>
        <w:t>EGT_drift</w:t>
      </w:r>
      <w:r w:rsidRPr="000D6E34">
        <w:rPr>
          <w:rFonts w:cs="Arial"/>
          <w:szCs w:val="20"/>
        </w:rPr>
        <w:t xml:space="preserve"> feature is therefore near-identical to </w:t>
      </w:r>
      <w:r w:rsidRPr="000D6E34">
        <w:rPr>
          <w:rFonts w:ascii="Courier New" w:hAnsi="Courier New" w:cs="Courier New"/>
          <w:szCs w:val="20"/>
        </w:rPr>
        <w:t>z_s4</w:t>
      </w:r>
      <w:r w:rsidRPr="000D6E34">
        <w:rPr>
          <w:rFonts w:cs="Arial"/>
          <w:szCs w:val="20"/>
        </w:rPr>
        <w:t xml:space="preserve"> itself for the training set. Its value as a distinct feature lies in its explicit physical interpretation as a margin deviation and in its utility for Phase </w:t>
      </w:r>
      <w:r w:rsidR="00B45EFC">
        <w:rPr>
          <w:rFonts w:cs="Arial"/>
          <w:szCs w:val="20"/>
        </w:rPr>
        <w:t>4</w:t>
      </w:r>
      <w:r w:rsidRPr="000D6E34">
        <w:rPr>
          <w:rFonts w:cs="Arial"/>
          <w:szCs w:val="20"/>
        </w:rPr>
        <w:t xml:space="preserve"> deployment where a fixed baseline from training would be meaningfully non-zero in physical units.</w:t>
      </w:r>
    </w:p>
    <w:p w14:paraId="74EE1F0B" w14:textId="74F77806" w:rsidR="00A807E4" w:rsidRPr="000D6E34" w:rsidRDefault="00AF7475" w:rsidP="000D6E34">
      <w:pPr>
        <w:pStyle w:val="Heading2"/>
      </w:pPr>
      <w:bookmarkStart w:id="16" w:name="OLE_LINK17"/>
      <w:bookmarkEnd w:id="15"/>
      <w:r w:rsidRPr="005B0FA3">
        <w:t>8.4  Variance-Threshold Boundary Sensors</w:t>
      </w:r>
      <w:r w:rsidR="000F5841">
        <w:t xml:space="preserve"> (Cell </w:t>
      </w:r>
      <w:r w:rsidR="002A3148">
        <w:t>21</w:t>
      </w:r>
      <w:r w:rsidR="000F5841">
        <w:t>)</w:t>
      </w:r>
    </w:p>
    <w:p w14:paraId="584EA1FF" w14:textId="0A377941"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Sensors s6 </w:t>
      </w:r>
      <m:oMath>
        <m:r>
          <w:rPr>
            <w:rFonts w:ascii="Cambria Math" w:hAnsi="Cambria Math" w:cs="Arial"/>
            <w:szCs w:val="20"/>
          </w:rPr>
          <m:t>(var = 0.771)</m:t>
        </m:r>
      </m:oMath>
      <w:r w:rsidRPr="000D6E34">
        <w:rPr>
          <w:rFonts w:cs="Arial"/>
          <w:szCs w:val="20"/>
        </w:rPr>
        <w:t xml:space="preserve"> and s16 </w:t>
      </w:r>
      <m:oMath>
        <m:r>
          <w:rPr>
            <w:rFonts w:ascii="Cambria Math" w:hAnsi="Cambria Math" w:cs="Arial"/>
            <w:szCs w:val="20"/>
          </w:rPr>
          <m:t>(var = 0.107)</m:t>
        </m:r>
      </m:oMath>
      <w:r w:rsidRPr="000D6E34">
        <w:rPr>
          <w:rFonts w:cs="Arial"/>
          <w:szCs w:val="20"/>
        </w:rPr>
        <w:t xml:space="preserve"> clear the variance threshold of </w:t>
      </w:r>
      <m:oMath>
        <m:sSup>
          <m:sSupPr>
            <m:ctrlPr>
              <w:rPr>
                <w:rFonts w:ascii="Cambria Math" w:hAnsi="Cambria Math" w:cs="Arial"/>
                <w:i/>
                <w:szCs w:val="20"/>
              </w:rPr>
            </m:ctrlPr>
          </m:sSupPr>
          <m:e>
            <m:r>
              <w:rPr>
                <w:rFonts w:ascii="Cambria Math" w:hAnsi="Cambria Math" w:cs="Arial"/>
                <w:szCs w:val="20"/>
              </w:rPr>
              <m:t>10</m:t>
            </m:r>
          </m:e>
          <m:sup>
            <m:r>
              <w:rPr>
                <w:rFonts w:ascii="Cambria Math" w:hAnsi="Cambria Math" w:cs="Arial"/>
                <w:szCs w:val="20"/>
              </w:rPr>
              <m:t>-5</m:t>
            </m:r>
          </m:sup>
        </m:sSup>
      </m:oMath>
      <w:r w:rsidRPr="000D6E34">
        <w:rPr>
          <w:rFonts w:cs="Arial"/>
          <w:szCs w:val="20"/>
        </w:rPr>
        <w:t xml:space="preserve"> and are classified as active, but their variance is substantially lower than the </w:t>
      </w:r>
      <w:r w:rsidR="00AF7475" w:rsidRPr="000D6E34">
        <w:rPr>
          <w:rFonts w:cs="Arial"/>
          <w:szCs w:val="20"/>
        </w:rPr>
        <w:t>fully active</w:t>
      </w:r>
      <w:r w:rsidRPr="000D6E34">
        <w:rPr>
          <w:rFonts w:cs="Arial"/>
          <w:szCs w:val="20"/>
        </w:rPr>
        <w:t xml:space="preserve"> sensors </w:t>
      </w:r>
      <m:oMath>
        <m:r>
          <w:rPr>
            <w:rFonts w:ascii="Cambria Math" w:hAnsi="Cambria Math" w:cs="Arial"/>
            <w:szCs w:val="20"/>
          </w:rPr>
          <m:t>(var ≈ 1.000)</m:t>
        </m:r>
      </m:oMath>
      <w:r w:rsidRPr="000D6E34">
        <w:rPr>
          <w:rFonts w:cs="Arial"/>
          <w:szCs w:val="20"/>
        </w:rPr>
        <w:t xml:space="preserve">. Both sensors receive kinematic expansion features (delta, rmean, rstd) that will carry attenuated signal relative to the </w:t>
      </w:r>
      <w:r w:rsidR="00AF7475" w:rsidRPr="000D6E34">
        <w:rPr>
          <w:rFonts w:cs="Arial"/>
          <w:szCs w:val="20"/>
        </w:rPr>
        <w:t>fully active</w:t>
      </w:r>
      <w:r w:rsidRPr="000D6E34">
        <w:rPr>
          <w:rFonts w:cs="Arial"/>
          <w:szCs w:val="20"/>
        </w:rPr>
        <w:t xml:space="preserve"> channels. This is not a pipeline error but should be acknowledged in Phase 4 SHAP reporting: low SHAP importance for s6 and s16 kinematic features is expected and does not constitute evidence of pipeline failure.</w:t>
      </w:r>
    </w:p>
    <w:bookmarkEnd w:id="16"/>
    <w:p w14:paraId="5BA9AA8C" w14:textId="77777777" w:rsidR="00A807E4" w:rsidRPr="005B0FA3" w:rsidRDefault="00000000" w:rsidP="00623C1B">
      <w:pPr>
        <w:pStyle w:val="Heading1"/>
        <w:spacing w:before="100" w:beforeAutospacing="1" w:after="100" w:afterAutospacing="1"/>
      </w:pPr>
      <w:r w:rsidRPr="005B0FA3">
        <w:t>9. Business Impact Analysis — Aerospace Predictive Maintenance</w:t>
      </w:r>
    </w:p>
    <w:p w14:paraId="1700A0D1" w14:textId="299A9B85" w:rsidR="00A807E4" w:rsidRPr="005B0FA3" w:rsidRDefault="00AF7475" w:rsidP="00623C1B">
      <w:pPr>
        <w:pStyle w:val="Heading2"/>
        <w:spacing w:before="100" w:beforeAutospacing="1" w:after="100" w:afterAutospacing="1"/>
      </w:pPr>
      <w:bookmarkStart w:id="17" w:name="OLE_LINK20"/>
      <w:r w:rsidRPr="005B0FA3">
        <w:t>9.1  Operational Context</w:t>
      </w:r>
    </w:p>
    <w:p w14:paraId="0E26313E" w14:textId="79150EC4" w:rsidR="00A807E4" w:rsidRPr="000D6E34" w:rsidRDefault="00000000" w:rsidP="00623C1B">
      <w:pPr>
        <w:spacing w:before="100" w:beforeAutospacing="1" w:after="100" w:afterAutospacing="1"/>
        <w:jc w:val="both"/>
        <w:rPr>
          <w:rFonts w:cs="Arial"/>
          <w:szCs w:val="20"/>
        </w:rPr>
      </w:pPr>
      <w:r w:rsidRPr="000D6E34">
        <w:rPr>
          <w:rFonts w:cs="Arial"/>
          <w:szCs w:val="20"/>
        </w:rPr>
        <w:t>Unscheduled engine removals (UERs) represent the single largest driver of unplanned maintenance cost and aircraft-on-ground (AOG) events in commercial aviation operations. According to reliability-centred maintenance (RCM) economic models</w:t>
      </w:r>
      <w:sdt>
        <w:sdtPr>
          <w:rPr>
            <w:rFonts w:cs="Arial"/>
            <w:szCs w:val="20"/>
          </w:rPr>
          <w:id w:val="-2011902035"/>
          <w:citation/>
        </w:sdtPr>
        <w:sdtContent>
          <w:r w:rsidR="00573BDD">
            <w:rPr>
              <w:rFonts w:cs="Arial"/>
              <w:szCs w:val="20"/>
            </w:rPr>
            <w:fldChar w:fldCharType="begin"/>
          </w:r>
          <w:r w:rsidR="00573BDD">
            <w:rPr>
              <w:rFonts w:cs="Arial"/>
              <w:szCs w:val="20"/>
            </w:rPr>
            <w:instrText xml:space="preserve"> CITATION Now78 \l 2057 </w:instrText>
          </w:r>
          <w:r w:rsidR="00573BDD">
            <w:rPr>
              <w:rFonts w:cs="Arial"/>
              <w:szCs w:val="20"/>
            </w:rPr>
            <w:fldChar w:fldCharType="separate"/>
          </w:r>
          <w:r w:rsidR="0074017E">
            <w:rPr>
              <w:rFonts w:cs="Arial"/>
              <w:noProof/>
              <w:szCs w:val="20"/>
            </w:rPr>
            <w:t xml:space="preserve"> </w:t>
          </w:r>
          <w:r w:rsidR="0074017E" w:rsidRPr="0074017E">
            <w:rPr>
              <w:rFonts w:cs="Arial"/>
              <w:noProof/>
              <w:szCs w:val="20"/>
            </w:rPr>
            <w:t>[19]</w:t>
          </w:r>
          <w:r w:rsidR="00573BDD">
            <w:rPr>
              <w:rFonts w:cs="Arial"/>
              <w:szCs w:val="20"/>
            </w:rPr>
            <w:fldChar w:fldCharType="end"/>
          </w:r>
        </w:sdtContent>
      </w:sdt>
      <w:r w:rsidRPr="000D6E34">
        <w:rPr>
          <w:rFonts w:cs="Arial"/>
          <w:szCs w:val="20"/>
        </w:rPr>
        <w:t>, a single AOG event for a narrow-body aircraft incurs direct costs of approximately USD 50,000–150,000 per day (including wet lease costs, crew disruption, and passenger compensation), with the compounded cost of associated slot loss and reputation damage adding a further 20–40% multiplier. The P-F interval — the time between the detectable onset of a potential failure (P) and functional failure (F) — is the operational window within which predictive maintenance must act</w:t>
      </w:r>
      <w:sdt>
        <w:sdtPr>
          <w:rPr>
            <w:rFonts w:cs="Arial"/>
            <w:szCs w:val="20"/>
          </w:rPr>
          <w:id w:val="-1547913160"/>
          <w:citation/>
        </w:sdtPr>
        <w:sdtContent>
          <w:r w:rsidR="00333F9E">
            <w:rPr>
              <w:rFonts w:cs="Arial"/>
              <w:szCs w:val="20"/>
            </w:rPr>
            <w:fldChar w:fldCharType="begin"/>
          </w:r>
          <w:r w:rsidR="00333F9E">
            <w:rPr>
              <w:rFonts w:cs="Arial"/>
              <w:szCs w:val="20"/>
            </w:rPr>
            <w:instrText xml:space="preserve"> CITATION Mou97 \l 2057 </w:instrText>
          </w:r>
          <w:r w:rsidR="00333F9E">
            <w:rPr>
              <w:rFonts w:cs="Arial"/>
              <w:szCs w:val="20"/>
            </w:rPr>
            <w:fldChar w:fldCharType="separate"/>
          </w:r>
          <w:r w:rsidR="0074017E">
            <w:rPr>
              <w:rFonts w:cs="Arial"/>
              <w:noProof/>
              <w:szCs w:val="20"/>
            </w:rPr>
            <w:t xml:space="preserve"> </w:t>
          </w:r>
          <w:r w:rsidR="0074017E" w:rsidRPr="0074017E">
            <w:rPr>
              <w:rFonts w:cs="Arial"/>
              <w:noProof/>
              <w:szCs w:val="20"/>
            </w:rPr>
            <w:t>[20]</w:t>
          </w:r>
          <w:r w:rsidR="00333F9E">
            <w:rPr>
              <w:rFonts w:cs="Arial"/>
              <w:szCs w:val="20"/>
            </w:rPr>
            <w:fldChar w:fldCharType="end"/>
          </w:r>
        </w:sdtContent>
      </w:sdt>
      <w:r w:rsidRPr="000D6E34">
        <w:rPr>
          <w:rFonts w:cs="Arial"/>
          <w:szCs w:val="20"/>
        </w:rPr>
        <w:t>.</w:t>
      </w:r>
    </w:p>
    <w:p w14:paraId="6A3BDDA7" w14:textId="43E2E9C1"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The FusionCore </w:t>
      </w:r>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0</m:t>
            </m:r>
          </m:sub>
        </m:sSub>
      </m:oMath>
      <w:r w:rsidRPr="000D6E34">
        <w:rPr>
          <w:rFonts w:cs="Arial"/>
          <w:szCs w:val="20"/>
        </w:rPr>
        <w:t xml:space="preserve"> Phase 3 feature engineering directly addresses the measurement and characterisation of the P-F interval by constructing features that carry quantitative information about the rate and magnitude of degradation accumulation. The business impact of an accurately characterised P-F interval is the conversion of unscheduled maintenance events into planned shop visits with full logistical preparation, which industry data consistently shows reduces per-event cost by 30–60%</w:t>
      </w:r>
      <w:sdt>
        <w:sdtPr>
          <w:rPr>
            <w:rFonts w:cs="Arial"/>
            <w:szCs w:val="20"/>
          </w:rPr>
          <w:id w:val="1857162430"/>
          <w:citation/>
        </w:sdtPr>
        <w:sdtContent>
          <w:r w:rsidR="00333F9E">
            <w:rPr>
              <w:rFonts w:cs="Arial"/>
              <w:szCs w:val="20"/>
            </w:rPr>
            <w:fldChar w:fldCharType="begin"/>
          </w:r>
          <w:r w:rsidR="00333F9E">
            <w:rPr>
              <w:rFonts w:cs="Arial"/>
              <w:szCs w:val="20"/>
            </w:rPr>
            <w:instrText xml:space="preserve"> CITATION Now78 \l 2057 </w:instrText>
          </w:r>
          <w:r w:rsidR="00333F9E">
            <w:rPr>
              <w:rFonts w:cs="Arial"/>
              <w:szCs w:val="20"/>
            </w:rPr>
            <w:fldChar w:fldCharType="separate"/>
          </w:r>
          <w:r w:rsidR="0074017E">
            <w:rPr>
              <w:rFonts w:cs="Arial"/>
              <w:noProof/>
              <w:szCs w:val="20"/>
            </w:rPr>
            <w:t xml:space="preserve"> </w:t>
          </w:r>
          <w:r w:rsidR="0074017E" w:rsidRPr="0074017E">
            <w:rPr>
              <w:rFonts w:cs="Arial"/>
              <w:noProof/>
              <w:szCs w:val="20"/>
            </w:rPr>
            <w:t>[19]</w:t>
          </w:r>
          <w:r w:rsidR="00333F9E">
            <w:rPr>
              <w:rFonts w:cs="Arial"/>
              <w:szCs w:val="20"/>
            </w:rPr>
            <w:fldChar w:fldCharType="end"/>
          </w:r>
        </w:sdtContent>
      </w:sdt>
      <w:r w:rsidRPr="000D6E34">
        <w:rPr>
          <w:rFonts w:cs="Arial"/>
          <w:szCs w:val="20"/>
        </w:rPr>
        <w:t>.</w:t>
      </w:r>
    </w:p>
    <w:bookmarkEnd w:id="17"/>
    <w:p w14:paraId="15B35079" w14:textId="7070AE8C" w:rsidR="00A807E4" w:rsidRPr="005B0FA3" w:rsidRDefault="00AF7475" w:rsidP="00623C1B">
      <w:pPr>
        <w:pStyle w:val="Heading2"/>
        <w:spacing w:before="100" w:beforeAutospacing="1" w:after="100" w:afterAutospacing="1"/>
      </w:pPr>
      <w:r w:rsidRPr="005B0FA3">
        <w:t>9.2  EGT Margin Monitoring and Fleet-Level Impact</w:t>
      </w:r>
    </w:p>
    <w:p w14:paraId="1B22EEA7" w14:textId="71BBE123" w:rsidR="00A807E4" w:rsidRPr="000D6E34" w:rsidRDefault="00000000" w:rsidP="00623C1B">
      <w:pPr>
        <w:spacing w:before="100" w:beforeAutospacing="1" w:after="100" w:afterAutospacing="1"/>
        <w:jc w:val="both"/>
        <w:rPr>
          <w:rFonts w:cs="Arial"/>
          <w:szCs w:val="20"/>
        </w:rPr>
      </w:pPr>
      <w:r w:rsidRPr="000D6E34">
        <w:rPr>
          <w:rFonts w:cs="Arial"/>
          <w:szCs w:val="20"/>
        </w:rPr>
        <w:lastRenderedPageBreak/>
        <w:t xml:space="preserve">The </w:t>
      </w:r>
      <m:oMath>
        <m:r>
          <w:rPr>
            <w:rFonts w:ascii="Cambria Math" w:hAnsi="Cambria Math" w:cs="Arial"/>
            <w:szCs w:val="20"/>
          </w:rPr>
          <m:t>EG</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drift</m:t>
            </m:r>
          </m:sub>
        </m:sSub>
      </m:oMath>
      <w:r w:rsidRPr="000D6E34">
        <w:rPr>
          <w:rFonts w:cs="Arial"/>
          <w:szCs w:val="20"/>
        </w:rPr>
        <w:t xml:space="preserve"> feature formalises the EGT margin concept that is central to current commercial engine health management practice. Most major MRO operators and OEMs (including GE Aviation, Rolls-Royce, and Pratt &amp; Whitney) use EGT margin as the primary dispatch monitoring parameter: when EGT margin erodes to within a defined buffer of the certified limit, the engine is removed for shop visit. The typical EGT margin erosion rate for a CFM56 or LEAP engine is 2–5°C per 1,000 cycles under normal operations, with acceleration in the final 500 cycles before the margin limit</w:t>
      </w:r>
      <w:sdt>
        <w:sdtPr>
          <w:rPr>
            <w:rFonts w:cs="Arial"/>
            <w:szCs w:val="20"/>
          </w:rPr>
          <w:id w:val="410739162"/>
          <w:citation/>
        </w:sdtPr>
        <w:sdtContent>
          <w:r w:rsidR="00333F9E">
            <w:rPr>
              <w:rFonts w:cs="Arial"/>
              <w:szCs w:val="20"/>
            </w:rPr>
            <w:fldChar w:fldCharType="begin"/>
          </w:r>
          <w:r w:rsidR="00333F9E">
            <w:rPr>
              <w:rFonts w:cs="Arial"/>
              <w:szCs w:val="20"/>
            </w:rPr>
            <w:instrText xml:space="preserve"> CITATION Int22 \l 2057 </w:instrText>
          </w:r>
          <w:r w:rsidR="00333F9E">
            <w:rPr>
              <w:rFonts w:cs="Arial"/>
              <w:szCs w:val="20"/>
            </w:rPr>
            <w:fldChar w:fldCharType="separate"/>
          </w:r>
          <w:r w:rsidR="0074017E">
            <w:rPr>
              <w:rFonts w:cs="Arial"/>
              <w:noProof/>
              <w:szCs w:val="20"/>
            </w:rPr>
            <w:t xml:space="preserve"> </w:t>
          </w:r>
          <w:r w:rsidR="0074017E" w:rsidRPr="0074017E">
            <w:rPr>
              <w:rFonts w:cs="Arial"/>
              <w:noProof/>
              <w:szCs w:val="20"/>
            </w:rPr>
            <w:t>[21]</w:t>
          </w:r>
          <w:r w:rsidR="00333F9E">
            <w:rPr>
              <w:rFonts w:cs="Arial"/>
              <w:szCs w:val="20"/>
            </w:rPr>
            <w:fldChar w:fldCharType="end"/>
          </w:r>
        </w:sdtContent>
      </w:sdt>
      <w:r w:rsidRPr="000D6E34">
        <w:rPr>
          <w:rFonts w:cs="Arial"/>
          <w:szCs w:val="20"/>
        </w:rPr>
        <w:t>.</w:t>
      </w:r>
    </w:p>
    <w:p w14:paraId="262A3517" w14:textId="1A2F8AA4" w:rsidR="00A807E4" w:rsidRPr="000D6E34" w:rsidRDefault="00000000" w:rsidP="00623C1B">
      <w:pPr>
        <w:spacing w:before="100" w:beforeAutospacing="1" w:after="100" w:afterAutospacing="1"/>
        <w:jc w:val="both"/>
        <w:rPr>
          <w:rFonts w:cs="Arial"/>
          <w:szCs w:val="20"/>
        </w:rPr>
      </w:pPr>
      <w:bookmarkStart w:id="18" w:name="OLE_LINK21"/>
      <w:r w:rsidRPr="000D6E34">
        <w:rPr>
          <w:rFonts w:cs="Arial"/>
          <w:szCs w:val="20"/>
        </w:rPr>
        <w:t xml:space="preserve">By quantifying </w:t>
      </w:r>
      <m:oMath>
        <m:r>
          <w:rPr>
            <w:rFonts w:ascii="Cambria Math" w:hAnsi="Cambria Math" w:cs="Arial"/>
            <w:szCs w:val="20"/>
          </w:rPr>
          <m:t>EG</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drift</m:t>
            </m:r>
          </m:sub>
        </m:sSub>
      </m:oMath>
      <w:r w:rsidRPr="000D6E34">
        <w:rPr>
          <w:rFonts w:cs="Arial"/>
          <w:szCs w:val="20"/>
        </w:rPr>
        <w:t xml:space="preserve"> in the normalised z-space and providing it directly as a feature, Phase 3 enables a Phase 4 model to learn the non-linear mapping between EGT margin rate of change and remaining useful life. For a fleet of 100 aircraft, a 10% improvement in the precision of the EGT margin → RUL relationship (reducing premature removals) is estimated to yield USD 5–15 million in avoided unnecessary shop visits per annum at current MRO rates</w:t>
      </w:r>
      <w:r w:rsidR="008578BC" w:rsidRPr="008578BC">
        <w:rPr>
          <w:rStyle w:val="FootnoteReference"/>
          <w:rFonts w:cs="Arial"/>
          <w:color w:val="E97132" w:themeColor="accent2"/>
          <w:szCs w:val="20"/>
        </w:rPr>
        <w:footnoteReference w:id="12"/>
      </w:r>
      <w:r w:rsidRPr="000D6E34">
        <w:rPr>
          <w:rFonts w:cs="Arial"/>
          <w:szCs w:val="20"/>
        </w:rPr>
        <w:t>.</w:t>
      </w:r>
    </w:p>
    <w:bookmarkEnd w:id="18"/>
    <w:p w14:paraId="3C438494" w14:textId="3368DD80" w:rsidR="00A807E4" w:rsidRPr="005B0FA3" w:rsidRDefault="00AF7475" w:rsidP="00623C1B">
      <w:pPr>
        <w:pStyle w:val="Heading2"/>
        <w:spacing w:before="100" w:beforeAutospacing="1" w:after="100" w:afterAutospacing="1"/>
      </w:pPr>
      <w:r w:rsidRPr="005B0FA3">
        <w:t>9.3  Compressor Efficiency Tracking via CPR</w:t>
      </w:r>
    </w:p>
    <w:p w14:paraId="1F9FC5F8" w14:textId="77777777" w:rsidR="007247DE" w:rsidRPr="00AA3314" w:rsidRDefault="007247DE" w:rsidP="007247DE">
      <w:pPr>
        <w:spacing w:before="100" w:beforeAutospacing="1" w:after="100" w:afterAutospacing="1"/>
        <w:jc w:val="both"/>
        <w:rPr>
          <w:rFonts w:cs="Arial"/>
          <w:szCs w:val="20"/>
        </w:rPr>
      </w:pPr>
      <w:r w:rsidRPr="00AA3314">
        <w:rPr>
          <w:rFonts w:cs="Arial"/>
          <w:szCs w:val="20"/>
        </w:rPr>
        <w:t xml:space="preserve">The CPR feature </w:t>
      </w:r>
      <m:oMath>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30</m:t>
                </m:r>
              </m:sub>
            </m:sSub>
            <m:r>
              <m:rPr>
                <m:lit/>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30</m:t>
                </m:r>
              </m:sub>
            </m:sSub>
          </m:e>
        </m:d>
      </m:oMath>
      <w:r w:rsidRPr="00AA3314">
        <w:rPr>
          <w:rFonts w:cs="Arial"/>
          <w:szCs w:val="20"/>
        </w:rPr>
        <w:t xml:space="preserve"> encodes the compressor isentropic efficiency proxy at the HPC stage. The isentropic efficiency of the HPC is defined as the ratio of the ideal work input to the actual work input for the same pressure rise. For a compressor, where work is done on the fluid:</w:t>
      </w:r>
    </w:p>
    <w:p w14:paraId="4F7A7503" w14:textId="77777777" w:rsidR="007247DE" w:rsidRPr="00AA3314" w:rsidRDefault="00000000" w:rsidP="007247DE">
      <w:pPr>
        <w:spacing w:before="100" w:beforeAutospacing="1" w:after="100" w:afterAutospacing="1"/>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η</m:t>
              </m:r>
              <m:ctrlPr>
                <w:rPr>
                  <w:rFonts w:ascii="Cambria Math" w:hAnsi="Cambria Math" w:cs="Arial"/>
                  <w:szCs w:val="20"/>
                </w:rPr>
              </m:ctrlPr>
            </m:e>
            <m:sub>
              <m:r>
                <w:rPr>
                  <w:rFonts w:ascii="Cambria Math" w:hAnsi="Cambria Math" w:cs="Arial"/>
                  <w:szCs w:val="20"/>
                </w:rPr>
                <m:t>c</m:t>
              </m:r>
            </m:sub>
          </m:sSub>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s,</m:t>
                  </m:r>
                  <m:r>
                    <m:rPr>
                      <m:nor/>
                    </m:rPr>
                    <w:rPr>
                      <w:rFonts w:ascii="Cambria Math" w:hAnsi="Cambria Math" w:cs="Arial"/>
                      <w:szCs w:val="20"/>
                    </w:rPr>
                    <m:t>exit</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e>
                <m:sub>
                  <m:r>
                    <m:rPr>
                      <m:nor/>
                    </m:rPr>
                    <w:rPr>
                      <w:rFonts w:ascii="Cambria Math" w:hAnsi="Cambria Math" w:cs="Arial"/>
                      <w:szCs w:val="20"/>
                    </w:rPr>
                    <m:t>inlet</m:t>
                  </m:r>
                </m:sub>
              </m:sSub>
              <m:ctrlPr>
                <w:rPr>
                  <w:rFonts w:ascii="Cambria Math" w:hAnsi="Cambria Math" w:cs="Arial"/>
                  <w:i/>
                  <w:szCs w:val="20"/>
                </w:rPr>
              </m:ctrlPr>
            </m:num>
            <m:den>
              <m:sSub>
                <m:sSubPr>
                  <m:ctrlPr>
                    <w:rPr>
                      <w:rFonts w:ascii="Cambria Math" w:hAnsi="Cambria Math" w:cs="Arial"/>
                      <w:i/>
                      <w:szCs w:val="20"/>
                    </w:rPr>
                  </m:ctrlPr>
                </m:sSubPr>
                <m:e>
                  <m:r>
                    <w:rPr>
                      <w:rFonts w:ascii="Cambria Math" w:hAnsi="Cambria Math" w:cs="Arial"/>
                      <w:szCs w:val="20"/>
                    </w:rPr>
                    <m:t>T</m:t>
                  </m:r>
                </m:e>
                <m:sub>
                  <m:r>
                    <m:rPr>
                      <m:nor/>
                    </m:rPr>
                    <w:rPr>
                      <w:rFonts w:ascii="Cambria Math" w:hAnsi="Cambria Math" w:cs="Arial"/>
                      <w:szCs w:val="20"/>
                    </w:rPr>
                    <m:t>actual,exit</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e>
                <m:sub>
                  <m:r>
                    <m:rPr>
                      <m:nor/>
                    </m:rPr>
                    <w:rPr>
                      <w:rFonts w:ascii="Cambria Math" w:hAnsi="Cambria Math" w:cs="Arial"/>
                      <w:szCs w:val="20"/>
                    </w:rPr>
                    <m:t>inlet</m:t>
                  </m:r>
                </m:sub>
              </m:sSub>
              <m:ctrlPr>
                <w:rPr>
                  <w:rFonts w:ascii="Cambria Math" w:hAnsi="Cambria Math" w:cs="Arial"/>
                  <w:i/>
                  <w:szCs w:val="20"/>
                </w:rPr>
              </m:ctrlPr>
            </m:den>
          </m:f>
        </m:oMath>
      </m:oMathPara>
    </w:p>
    <w:p w14:paraId="27E7DD97" w14:textId="77777777" w:rsidR="007247DE" w:rsidRPr="00AA3314" w:rsidRDefault="007247DE" w:rsidP="007247DE">
      <w:pPr>
        <w:spacing w:before="100" w:beforeAutospacing="1" w:after="100" w:afterAutospacing="1"/>
        <w:jc w:val="both"/>
        <w:rPr>
          <w:rFonts w:cs="Arial"/>
          <w:szCs w:val="20"/>
        </w:rPr>
      </w:pPr>
      <w:r w:rsidRPr="00AA3314">
        <w:rPr>
          <w:rFonts w:cs="Arial"/>
          <w:szCs w:val="20"/>
        </w:rPr>
        <w:t xml:space="preserve">The numerator is the temperature rise that would occur if the compression were perfectly isentropic — no irreversibilities, no entropy generation. The denominator is the actual temperature rise measured at the HPC exit. Since real compression always generates entropy through blade boundary layer losses, tip clearance leakage, and flow separation, the actual exit temperature always exceeds the isentropic exit temperature, meaning </w:t>
      </w:r>
      <m:oMath>
        <m:sSub>
          <m:sSubPr>
            <m:ctrlPr>
              <w:rPr>
                <w:rFonts w:ascii="Cambria Math" w:hAnsi="Cambria Math" w:cs="Arial"/>
                <w:i/>
                <w:szCs w:val="20"/>
              </w:rPr>
            </m:ctrlPr>
          </m:sSubPr>
          <m:e>
            <m:r>
              <w:rPr>
                <w:rFonts w:ascii="Cambria Math" w:hAnsi="Cambria Math" w:cs="Arial"/>
                <w:szCs w:val="20"/>
              </w:rPr>
              <m:t>η</m:t>
            </m:r>
            <m:ctrlPr>
              <w:rPr>
                <w:rFonts w:ascii="Cambria Math" w:hAnsi="Cambria Math" w:cs="Arial"/>
                <w:szCs w:val="20"/>
              </w:rPr>
            </m:ctrlPr>
          </m:e>
          <m:sub>
            <m:r>
              <w:rPr>
                <w:rFonts w:ascii="Cambria Math" w:hAnsi="Cambria Math" w:cs="Arial"/>
                <w:szCs w:val="20"/>
              </w:rPr>
              <m:t>c</m:t>
            </m:r>
          </m:sub>
        </m:sSub>
        <m:r>
          <w:rPr>
            <w:rFonts w:ascii="Cambria Math" w:hAnsi="Cambria Math" w:cs="Arial"/>
            <w:szCs w:val="20"/>
          </w:rPr>
          <m:t>&lt;1</m:t>
        </m:r>
      </m:oMath>
      <w:r w:rsidRPr="00AA3314">
        <w:rPr>
          <w:rFonts w:cs="Arial"/>
          <w:szCs w:val="20"/>
        </w:rPr>
        <w:t xml:space="preserve"> for any real compressor. As the engine degrades — through blade erosion, fouling, or tip clearance growth — the actual exit temperature rises for the same pressure ratio, the denominator increases, and </w:t>
      </w:r>
      <m:oMath>
        <m:sSub>
          <m:sSubPr>
            <m:ctrlPr>
              <w:rPr>
                <w:rFonts w:ascii="Cambria Math" w:hAnsi="Cambria Math" w:cs="Arial"/>
                <w:i/>
                <w:szCs w:val="20"/>
              </w:rPr>
            </m:ctrlPr>
          </m:sSubPr>
          <m:e>
            <m:r>
              <w:rPr>
                <w:rFonts w:ascii="Cambria Math" w:hAnsi="Cambria Math" w:cs="Arial"/>
                <w:szCs w:val="20"/>
              </w:rPr>
              <m:t>η</m:t>
            </m:r>
            <m:ctrlPr>
              <w:rPr>
                <w:rFonts w:ascii="Cambria Math" w:hAnsi="Cambria Math" w:cs="Arial"/>
                <w:szCs w:val="20"/>
              </w:rPr>
            </m:ctrlPr>
          </m:e>
          <m:sub>
            <m:r>
              <w:rPr>
                <w:rFonts w:ascii="Cambria Math" w:hAnsi="Cambria Math" w:cs="Arial"/>
                <w:szCs w:val="20"/>
              </w:rPr>
              <m:t>c</m:t>
            </m:r>
          </m:sub>
        </m:sSub>
      </m:oMath>
      <w:r w:rsidRPr="00AA3314">
        <w:rPr>
          <w:rFonts w:cs="Arial"/>
          <w:szCs w:val="20"/>
        </w:rPr>
        <w:t xml:space="preserve"> falls. This is the thermodynamic signature of HPC deterioration.</w:t>
      </w:r>
    </w:p>
    <w:p w14:paraId="052CBA1C" w14:textId="77777777" w:rsidR="007247DE" w:rsidRPr="00AA3314" w:rsidRDefault="007247DE" w:rsidP="007247DE">
      <w:pPr>
        <w:spacing w:before="100" w:beforeAutospacing="1" w:after="100" w:afterAutospacing="1"/>
        <w:jc w:val="both"/>
        <w:rPr>
          <w:rFonts w:cs="Arial"/>
          <w:szCs w:val="20"/>
        </w:rPr>
      </w:pPr>
      <w:r w:rsidRPr="00AA3314">
        <w:rPr>
          <w:rFonts w:cs="Arial"/>
          <w:szCs w:val="20"/>
        </w:rPr>
        <w:t>The isentropic exit temperature in the numerator is not directly measurable but is derived from the isentropic relation for a perfect gas:</w:t>
      </w:r>
    </w:p>
    <w:p w14:paraId="1FEC65E4" w14:textId="77777777" w:rsidR="007247DE" w:rsidRPr="00AA3314" w:rsidRDefault="00000000" w:rsidP="007247DE">
      <w:pPr>
        <w:spacing w:before="100" w:beforeAutospacing="1" w:after="100" w:afterAutospacing="1"/>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s,</m:t>
              </m:r>
              <m:r>
                <m:rPr>
                  <m:nor/>
                </m:rPr>
                <w:rPr>
                  <w:rFonts w:ascii="Cambria Math" w:hAnsi="Cambria Math" w:cs="Arial"/>
                  <w:szCs w:val="20"/>
                </w:rPr>
                <m:t>exit</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e>
            <m:sub>
              <m:r>
                <m:rPr>
                  <m:nor/>
                </m:rPr>
                <w:rPr>
                  <w:rFonts w:ascii="Cambria Math" w:hAnsi="Cambria Math" w:cs="Arial"/>
                  <w:szCs w:val="20"/>
                </w:rPr>
                <m:t>inlet</m:t>
              </m:r>
            </m:sub>
          </m:sSub>
          <m:r>
            <m:rPr>
              <m:sty m:val="p"/>
            </m:rPr>
            <w:rPr>
              <w:rFonts w:ascii="Cambria Math" w:hAnsi="Cambria Math" w:cs="Arial"/>
              <w:szCs w:val="20"/>
            </w:rPr>
            <m:t>⋅</m:t>
          </m:r>
          <m:sSup>
            <m:sSupPr>
              <m:ctrlPr>
                <w:rPr>
                  <w:rFonts w:ascii="Cambria Math" w:hAnsi="Cambria Math" w:cs="Arial"/>
                  <w:i/>
                  <w:szCs w:val="20"/>
                </w:rPr>
              </m:ctrlPr>
            </m:sSupPr>
            <m:e>
              <m:d>
                <m:dPr>
                  <m:ctrlPr>
                    <w:rPr>
                      <w:rFonts w:ascii="Cambria Math" w:hAnsi="Cambria Math" w:cs="Arial"/>
                      <w:szCs w:val="20"/>
                    </w:rPr>
                  </m:ctrlPr>
                </m:dPr>
                <m:e>
                  <m:f>
                    <m:fPr>
                      <m:ctrlPr>
                        <w:rPr>
                          <w:rFonts w:ascii="Cambria Math" w:hAnsi="Cambria Math" w:cs="Arial"/>
                          <w:szCs w:val="20"/>
                        </w:rPr>
                      </m:ctrlPr>
                    </m:fPr>
                    <m:num>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30</m:t>
                          </m:r>
                        </m:sub>
                      </m:sSub>
                      <m:ctrlPr>
                        <w:rPr>
                          <w:rFonts w:ascii="Cambria Math" w:hAnsi="Cambria Math" w:cs="Arial"/>
                          <w:i/>
                          <w:szCs w:val="20"/>
                        </w:rPr>
                      </m:ctrlPr>
                    </m:num>
                    <m:den>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2</m:t>
                          </m:r>
                        </m:sub>
                      </m:sSub>
                      <m:ctrlPr>
                        <w:rPr>
                          <w:rFonts w:ascii="Cambria Math" w:hAnsi="Cambria Math" w:cs="Arial"/>
                          <w:i/>
                          <w:szCs w:val="20"/>
                        </w:rPr>
                      </m:ctrlPr>
                    </m:den>
                  </m:f>
                  <m:ctrlPr>
                    <w:rPr>
                      <w:rFonts w:ascii="Cambria Math" w:hAnsi="Cambria Math" w:cs="Arial"/>
                      <w:i/>
                      <w:szCs w:val="20"/>
                    </w:rPr>
                  </m:ctrlPr>
                </m:e>
              </m:d>
              <m:ctrlPr>
                <w:rPr>
                  <w:rFonts w:ascii="Cambria Math" w:hAnsi="Cambria Math" w:cs="Arial"/>
                  <w:szCs w:val="20"/>
                </w:rPr>
              </m:ctrlPr>
            </m:e>
            <m:sup>
              <m:f>
                <m:fPr>
                  <m:ctrlPr>
                    <w:rPr>
                      <w:rFonts w:ascii="Cambria Math" w:hAnsi="Cambria Math" w:cs="Arial"/>
                      <w:szCs w:val="20"/>
                    </w:rPr>
                  </m:ctrlPr>
                </m:fPr>
                <m:num>
                  <m:r>
                    <w:rPr>
                      <w:rFonts w:ascii="Cambria Math" w:hAnsi="Cambria Math" w:cs="Arial"/>
                      <w:szCs w:val="20"/>
                    </w:rPr>
                    <m:t>γ-1</m:t>
                  </m:r>
                  <m:ctrlPr>
                    <w:rPr>
                      <w:rFonts w:ascii="Cambria Math" w:hAnsi="Cambria Math" w:cs="Arial"/>
                      <w:i/>
                      <w:szCs w:val="20"/>
                    </w:rPr>
                  </m:ctrlPr>
                </m:num>
                <m:den>
                  <m:r>
                    <w:rPr>
                      <w:rFonts w:ascii="Cambria Math" w:hAnsi="Cambria Math" w:cs="Arial"/>
                      <w:szCs w:val="20"/>
                    </w:rPr>
                    <m:t>γ</m:t>
                  </m:r>
                  <m:ctrlPr>
                    <w:rPr>
                      <w:rFonts w:ascii="Cambria Math" w:hAnsi="Cambria Math" w:cs="Arial"/>
                      <w:i/>
                      <w:szCs w:val="20"/>
                    </w:rPr>
                  </m:ctrlPr>
                </m:den>
              </m:f>
            </m:sup>
          </m:sSup>
        </m:oMath>
      </m:oMathPara>
    </w:p>
    <w:p w14:paraId="4B0DABA0" w14:textId="77777777" w:rsidR="007247DE" w:rsidRPr="00AA3314" w:rsidRDefault="007247DE" w:rsidP="007247DE">
      <w:pPr>
        <w:spacing w:before="100" w:beforeAutospacing="1" w:after="100" w:afterAutospacing="1"/>
        <w:jc w:val="both"/>
        <w:rPr>
          <w:rFonts w:cs="Arial"/>
          <w:szCs w:val="20"/>
        </w:rPr>
      </w:pPr>
      <w:r w:rsidRPr="00AA3314">
        <w:rPr>
          <w:rFonts w:cs="Arial"/>
          <w:szCs w:val="20"/>
        </w:rPr>
        <w:t>Substituting into the efficiency definition:</w:t>
      </w:r>
    </w:p>
    <w:p w14:paraId="667E041F" w14:textId="77777777" w:rsidR="007247DE" w:rsidRPr="00AA3314" w:rsidRDefault="00000000" w:rsidP="007247DE">
      <w:pPr>
        <w:spacing w:before="100" w:beforeAutospacing="1" w:after="100" w:afterAutospacing="1"/>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η</m:t>
              </m:r>
              <m:ctrlPr>
                <w:rPr>
                  <w:rFonts w:ascii="Cambria Math" w:hAnsi="Cambria Math" w:cs="Arial"/>
                  <w:szCs w:val="20"/>
                </w:rPr>
              </m:ctrlPr>
            </m:e>
            <m:sub>
              <m:r>
                <w:rPr>
                  <w:rFonts w:ascii="Cambria Math" w:hAnsi="Cambria Math" w:cs="Arial"/>
                  <w:szCs w:val="20"/>
                </w:rPr>
                <m:t>c</m:t>
              </m:r>
            </m:sub>
          </m:sSub>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i/>
                      <w:szCs w:val="20"/>
                    </w:rPr>
                  </m:ctrlPr>
                </m:sSubPr>
                <m:e>
                  <m:r>
                    <w:rPr>
                      <w:rFonts w:ascii="Cambria Math" w:hAnsi="Cambria Math" w:cs="Arial"/>
                      <w:szCs w:val="20"/>
                    </w:rPr>
                    <m:t>T</m:t>
                  </m:r>
                </m:e>
                <m:sub>
                  <m:r>
                    <m:rPr>
                      <m:nor/>
                    </m:rPr>
                    <w:rPr>
                      <w:rFonts w:ascii="Cambria Math" w:hAnsi="Cambria Math" w:cs="Arial"/>
                      <w:szCs w:val="20"/>
                    </w:rPr>
                    <m:t>inlet</m:t>
                  </m:r>
                </m:sub>
              </m:sSub>
              <m:d>
                <m:dPr>
                  <m:begChr m:val="["/>
                  <m:endChr m:val="]"/>
                  <m:ctrlPr>
                    <w:rPr>
                      <w:rFonts w:ascii="Cambria Math" w:hAnsi="Cambria Math" w:cs="Arial"/>
                      <w:szCs w:val="20"/>
                    </w:rPr>
                  </m:ctrlPr>
                </m:dPr>
                <m:e>
                  <m:sSup>
                    <m:sSupPr>
                      <m:ctrlPr>
                        <w:rPr>
                          <w:rFonts w:ascii="Cambria Math" w:hAnsi="Cambria Math" w:cs="Arial"/>
                          <w:i/>
                          <w:szCs w:val="20"/>
                        </w:rPr>
                      </m:ctrlPr>
                    </m:sSupPr>
                    <m:e>
                      <m:d>
                        <m:dPr>
                          <m:ctrlPr>
                            <w:rPr>
                              <w:rFonts w:ascii="Cambria Math" w:hAnsi="Cambria Math" w:cs="Arial"/>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30</m:t>
                                  </m:r>
                                </m:sub>
                              </m:sSub>
                            </m:num>
                            <m:den>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2</m:t>
                                  </m:r>
                                </m:sub>
                              </m:sSub>
                            </m:den>
                          </m:f>
                          <m:ctrlPr>
                            <w:rPr>
                              <w:rFonts w:ascii="Cambria Math" w:hAnsi="Cambria Math" w:cs="Arial"/>
                              <w:i/>
                              <w:szCs w:val="20"/>
                            </w:rPr>
                          </m:ctrlPr>
                        </m:e>
                      </m:d>
                    </m:e>
                    <m:sup>
                      <m:f>
                        <m:fPr>
                          <m:ctrlPr>
                            <w:rPr>
                              <w:rFonts w:ascii="Cambria Math" w:hAnsi="Cambria Math" w:cs="Arial"/>
                              <w:szCs w:val="20"/>
                            </w:rPr>
                          </m:ctrlPr>
                        </m:fPr>
                        <m:num>
                          <m:r>
                            <w:rPr>
                              <w:rFonts w:ascii="Cambria Math" w:hAnsi="Cambria Math" w:cs="Arial"/>
                              <w:szCs w:val="20"/>
                            </w:rPr>
                            <m:t>γ-1</m:t>
                          </m:r>
                          <m:ctrlPr>
                            <w:rPr>
                              <w:rFonts w:ascii="Cambria Math" w:hAnsi="Cambria Math" w:cs="Arial"/>
                              <w:i/>
                              <w:szCs w:val="20"/>
                            </w:rPr>
                          </m:ctrlPr>
                        </m:num>
                        <m:den>
                          <m:r>
                            <w:rPr>
                              <w:rFonts w:ascii="Cambria Math" w:hAnsi="Cambria Math" w:cs="Arial"/>
                              <w:szCs w:val="20"/>
                            </w:rPr>
                            <m:t>γ</m:t>
                          </m:r>
                          <m:ctrlPr>
                            <w:rPr>
                              <w:rFonts w:ascii="Cambria Math" w:hAnsi="Cambria Math" w:cs="Arial"/>
                              <w:i/>
                              <w:szCs w:val="20"/>
                            </w:rPr>
                          </m:ctrlPr>
                        </m:den>
                      </m:f>
                    </m:sup>
                  </m:sSup>
                  <m:r>
                    <w:rPr>
                      <w:rFonts w:ascii="Cambria Math" w:hAnsi="Cambria Math" w:cs="Arial"/>
                      <w:szCs w:val="20"/>
                    </w:rPr>
                    <m:t>-1</m:t>
                  </m:r>
                  <m:ctrlPr>
                    <w:rPr>
                      <w:rFonts w:ascii="Cambria Math" w:hAnsi="Cambria Math" w:cs="Arial"/>
                      <w:i/>
                      <w:szCs w:val="20"/>
                    </w:rPr>
                  </m:ctrlPr>
                </m:e>
              </m:d>
              <m:ctrlPr>
                <w:rPr>
                  <w:rFonts w:ascii="Cambria Math" w:hAnsi="Cambria Math" w:cs="Arial"/>
                  <w:i/>
                  <w:szCs w:val="20"/>
                </w:rPr>
              </m:ctrlPr>
            </m:num>
            <m:den>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30</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2</m:t>
                  </m:r>
                </m:sub>
              </m:sSub>
              <m:ctrlPr>
                <w:rPr>
                  <w:rFonts w:ascii="Cambria Math" w:hAnsi="Cambria Math" w:cs="Arial"/>
                  <w:i/>
                  <w:szCs w:val="20"/>
                </w:rPr>
              </m:ctrlPr>
            </m:den>
          </m:f>
        </m:oMath>
      </m:oMathPara>
    </w:p>
    <w:p w14:paraId="0B7101CA" w14:textId="71432974" w:rsidR="007247DE" w:rsidRPr="00AA3314" w:rsidRDefault="007247DE" w:rsidP="007247DE">
      <w:pPr>
        <w:spacing w:before="100" w:beforeAutospacing="1" w:after="100" w:afterAutospacing="1"/>
        <w:jc w:val="both"/>
        <w:rPr>
          <w:rFonts w:cs="Arial"/>
          <w:szCs w:val="20"/>
        </w:rPr>
      </w:pPr>
      <w:r w:rsidRPr="00AA3314">
        <w:rPr>
          <w:rFonts w:cs="Arial"/>
          <w:szCs w:val="20"/>
        </w:rPr>
        <w:t xml:space="preserve">where </w:t>
      </w:r>
      <m:oMath>
        <m:sSub>
          <m:sSubPr>
            <m:ctrlPr>
              <w:rPr>
                <w:rFonts w:ascii="Cambria Math" w:hAnsi="Cambria Math" w:cs="Arial"/>
                <w:i/>
                <w:szCs w:val="20"/>
              </w:rPr>
            </m:ctrlPr>
          </m:sSubPr>
          <m:e>
            <m:r>
              <w:rPr>
                <w:rFonts w:ascii="Cambria Math" w:hAnsi="Cambria Math" w:cs="Arial"/>
                <w:szCs w:val="20"/>
              </w:rPr>
              <m:t>T</m:t>
            </m:r>
          </m:e>
          <m:sub>
            <m:r>
              <m:rPr>
                <m:nor/>
              </m:rPr>
              <w:rPr>
                <w:rFonts w:ascii="Cambria Math" w:hAnsi="Cambria Math" w:cs="Arial"/>
                <w:szCs w:val="20"/>
              </w:rPr>
              <m:t>inlet</m:t>
            </m:r>
          </m:sub>
        </m:sSub>
        <m:r>
          <m:rPr>
            <m:sty m:val="p"/>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ctrlPr>
              <w:rPr>
                <w:rFonts w:ascii="Cambria Math" w:hAnsi="Cambria Math" w:cs="Arial"/>
                <w:szCs w:val="20"/>
              </w:rPr>
            </m:ctrlPr>
          </m:e>
          <m:sub>
            <m:r>
              <w:rPr>
                <w:rFonts w:ascii="Cambria Math" w:hAnsi="Cambria Math" w:cs="Arial"/>
                <w:szCs w:val="20"/>
              </w:rPr>
              <m:t>2</m:t>
            </m:r>
          </m:sub>
        </m:sSub>
      </m:oMath>
      <w:r w:rsidRPr="00AA3314">
        <w:rPr>
          <w:rFonts w:cs="Arial"/>
          <w:szCs w:val="20"/>
        </w:rPr>
        <w:t xml:space="preserve"> (s1, fan inlet temperature), </w:t>
      </w:r>
      <m:oMath>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30</m:t>
            </m:r>
          </m:sub>
        </m:sSub>
      </m:oMath>
      <w:r w:rsidRPr="00AA3314">
        <w:rPr>
          <w:rFonts w:cs="Arial"/>
          <w:szCs w:val="20"/>
        </w:rPr>
        <w:t xml:space="preserve"> (s7) and </w:t>
      </w:r>
      <m:oMath>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2</m:t>
            </m:r>
          </m:sub>
        </m:sSub>
      </m:oMath>
      <w:r w:rsidRPr="00AA3314">
        <w:rPr>
          <w:rFonts w:cs="Arial"/>
          <w:szCs w:val="20"/>
        </w:rPr>
        <w:t xml:space="preserve"> (s5) are the HPC outlet and inlet total pressures respectively, </w:t>
      </w:r>
      <m:oMath>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30</m:t>
            </m:r>
          </m:sub>
        </m:sSub>
      </m:oMath>
      <w:r w:rsidRPr="00AA3314">
        <w:rPr>
          <w:rFonts w:cs="Arial"/>
          <w:szCs w:val="20"/>
        </w:rPr>
        <w:t xml:space="preserve"> (s3) is the HPC outlet total temperature, and </w:t>
      </w:r>
      <m:oMath>
        <m:r>
          <w:rPr>
            <w:rFonts w:ascii="Cambria Math" w:hAnsi="Cambria Math" w:cs="Arial"/>
            <w:szCs w:val="20"/>
          </w:rPr>
          <m:t>γ</m:t>
        </m:r>
      </m:oMath>
      <w:r w:rsidRPr="00AA3314">
        <w:rPr>
          <w:rFonts w:cs="Arial"/>
          <w:szCs w:val="20"/>
        </w:rPr>
        <w:t xml:space="preserve"> is the ratio of specific heats — approximately 1.4 at compressor inlet conditions and 1.33 at HPC exit due to the temperature dependence of </w:t>
      </w:r>
      <m:oMath>
        <m:sSub>
          <m:sSubPr>
            <m:ctrlPr>
              <w:rPr>
                <w:rFonts w:ascii="Cambria Math" w:hAnsi="Cambria Math" w:cs="Arial"/>
                <w:i/>
                <w:szCs w:val="20"/>
              </w:rPr>
            </m:ctrlPr>
          </m:sSubPr>
          <m:e>
            <m:r>
              <w:rPr>
                <w:rFonts w:ascii="Cambria Math" w:hAnsi="Cambria Math" w:cs="Arial"/>
                <w:szCs w:val="20"/>
              </w:rPr>
              <m:t>c</m:t>
            </m:r>
          </m:e>
          <m:sub>
            <m:r>
              <w:rPr>
                <w:rFonts w:ascii="Cambria Math" w:hAnsi="Cambria Math" w:cs="Arial"/>
                <w:szCs w:val="20"/>
              </w:rPr>
              <m:t>p</m:t>
            </m:r>
          </m:sub>
        </m:sSub>
      </m:oMath>
      <w:r w:rsidRPr="00AA3314">
        <w:rPr>
          <w:rFonts w:cs="Arial"/>
          <w:szCs w:val="20"/>
        </w:rPr>
        <w:t xml:space="preserve"> (Walsh &amp; Fletcher, 2004)</w:t>
      </w:r>
      <w:sdt>
        <w:sdtPr>
          <w:rPr>
            <w:rFonts w:cs="Arial"/>
            <w:szCs w:val="20"/>
          </w:rPr>
          <w:id w:val="-1586144239"/>
          <w:citation/>
        </w:sdtPr>
        <w:sdtContent>
          <w:r>
            <w:rPr>
              <w:rFonts w:cs="Arial"/>
              <w:szCs w:val="20"/>
            </w:rPr>
            <w:fldChar w:fldCharType="begin"/>
          </w:r>
          <w:r>
            <w:rPr>
              <w:rFonts w:cs="Arial"/>
              <w:szCs w:val="20"/>
            </w:rPr>
            <w:instrText xml:space="preserve"> CITATION Wal04 \l 2057 </w:instrText>
          </w:r>
          <w:r>
            <w:rPr>
              <w:rFonts w:cs="Arial"/>
              <w:szCs w:val="20"/>
            </w:rPr>
            <w:fldChar w:fldCharType="separate"/>
          </w:r>
          <w:r w:rsidR="0074017E">
            <w:rPr>
              <w:rFonts w:cs="Arial"/>
              <w:noProof/>
              <w:szCs w:val="20"/>
            </w:rPr>
            <w:t xml:space="preserve"> </w:t>
          </w:r>
          <w:r w:rsidR="0074017E" w:rsidRPr="0074017E">
            <w:rPr>
              <w:rFonts w:cs="Arial"/>
              <w:noProof/>
              <w:szCs w:val="20"/>
            </w:rPr>
            <w:t>[5]</w:t>
          </w:r>
          <w:r>
            <w:rPr>
              <w:rFonts w:cs="Arial"/>
              <w:szCs w:val="20"/>
            </w:rPr>
            <w:fldChar w:fldCharType="end"/>
          </w:r>
        </w:sdtContent>
      </w:sdt>
      <w:r w:rsidRPr="00AA3314">
        <w:rPr>
          <w:rFonts w:cs="Arial"/>
          <w:szCs w:val="20"/>
        </w:rPr>
        <w:t xml:space="preserve">. Since s5 </w:t>
      </w:r>
      <m:oMath>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2</m:t>
                </m:r>
              </m:sub>
            </m:sSub>
          </m:e>
        </m:d>
      </m:oMath>
      <w:r w:rsidRPr="00AA3314">
        <w:rPr>
          <w:rFonts w:cs="Arial"/>
          <w:szCs w:val="20"/>
        </w:rPr>
        <w:t xml:space="preserve"> and s1 </w:t>
      </w:r>
      <m:oMath>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2</m:t>
                </m:r>
              </m:sub>
            </m:sSub>
          </m:e>
        </m:d>
      </m:oMath>
      <w:r w:rsidRPr="00AA3314">
        <w:rPr>
          <w:rFonts w:cs="Arial"/>
          <w:szCs w:val="20"/>
        </w:rPr>
        <w:t xml:space="preserve"> are both regime-dead in z-normalised space — held constant by the C-MAPSS simulation within each operating regime — the quantities </w:t>
      </w:r>
      <m:oMath>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2</m:t>
            </m:r>
          </m:sub>
        </m:sSub>
      </m:oMath>
      <w:r w:rsidRPr="00AA3314">
        <w:rPr>
          <w:rFonts w:cs="Arial"/>
          <w:szCs w:val="20"/>
        </w:rPr>
        <w:t xml:space="preserve"> and </w:t>
      </w:r>
      <m:oMath>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2</m:t>
            </m:r>
          </m:sub>
        </m:sSub>
      </m:oMath>
      <w:r w:rsidRPr="00AA3314">
        <w:rPr>
          <w:rFonts w:cs="Arial"/>
          <w:szCs w:val="20"/>
        </w:rPr>
        <w:t xml:space="preserve"> are effectively constants after normalisation. The isentropic efficiency expression therefore reduces to a monotone function of </w:t>
      </w:r>
      <m:oMath>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30</m:t>
            </m:r>
          </m:sub>
        </m:sSub>
        <m:r>
          <m:rPr>
            <m:lit/>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30</m:t>
            </m:r>
          </m:sub>
        </m:sSub>
      </m:oMath>
      <w:r w:rsidRPr="00AA3314">
        <w:rPr>
          <w:rFonts w:cs="Arial"/>
          <w:szCs w:val="20"/>
        </w:rPr>
        <w:t xml:space="preserve"> alone within each regime, which is precisely what </w:t>
      </w:r>
      <w:r w:rsidRPr="00AA3314">
        <w:rPr>
          <w:rFonts w:cs="Arial"/>
          <w:szCs w:val="20"/>
        </w:rPr>
        <w:lastRenderedPageBreak/>
        <w:t xml:space="preserve">CPR = s7/s3 encodes. CPR captures the numerically active component of </w:t>
      </w:r>
      <m:oMath>
        <m:sSub>
          <m:sSubPr>
            <m:ctrlPr>
              <w:rPr>
                <w:rFonts w:ascii="Cambria Math" w:hAnsi="Cambria Math" w:cs="Arial"/>
                <w:i/>
                <w:szCs w:val="20"/>
              </w:rPr>
            </m:ctrlPr>
          </m:sSubPr>
          <m:e>
            <m:r>
              <w:rPr>
                <w:rFonts w:ascii="Cambria Math" w:hAnsi="Cambria Math" w:cs="Arial"/>
                <w:szCs w:val="20"/>
              </w:rPr>
              <m:t>η</m:t>
            </m:r>
            <m:ctrlPr>
              <w:rPr>
                <w:rFonts w:ascii="Cambria Math" w:hAnsi="Cambria Math" w:cs="Arial"/>
                <w:szCs w:val="20"/>
              </w:rPr>
            </m:ctrlPr>
          </m:e>
          <m:sub>
            <m:r>
              <w:rPr>
                <w:rFonts w:ascii="Cambria Math" w:hAnsi="Cambria Math" w:cs="Arial"/>
                <w:szCs w:val="20"/>
              </w:rPr>
              <m:t>c</m:t>
            </m:r>
          </m:sub>
        </m:sSub>
      </m:oMath>
      <w:r w:rsidRPr="00AA3314">
        <w:rPr>
          <w:rFonts w:cs="Arial"/>
          <w:szCs w:val="20"/>
        </w:rPr>
        <w:t xml:space="preserve"> after the regime-constant terms are absorbed by the z-normalisation.</w:t>
      </w:r>
    </w:p>
    <w:p w14:paraId="095E64C6" w14:textId="77777777" w:rsidR="007247DE" w:rsidRPr="00AA3314" w:rsidRDefault="007247DE" w:rsidP="007247DE">
      <w:pPr>
        <w:spacing w:before="100" w:beforeAutospacing="1" w:after="100" w:afterAutospacing="1"/>
        <w:jc w:val="both"/>
        <w:rPr>
          <w:rFonts w:cs="Arial"/>
          <w:szCs w:val="20"/>
        </w:rPr>
      </w:pPr>
      <w:r w:rsidRPr="00AA3314">
        <w:rPr>
          <w:rFonts w:cs="Arial"/>
          <w:szCs w:val="20"/>
        </w:rPr>
        <w:t xml:space="preserve">Progressive HPC efficiency degradation is a primary driver of increased specific fuel consumption (SFC) and rising EGT margins. Airlines operating on fuel burn performance contracts — Power-by-the-Hour (PbH) arrangements with OEMs — are directly penalised financially by SFC increases, as the contract cost per flight hour is indexed to engine performance relative to a certified baseline. The CPR feature provides the model with a direct proxy for HPC efficiency deterioration that is not captured by any individual sensor in isolation: neither </w:t>
      </w:r>
      <m:oMath>
        <m:sSub>
          <m:sSubPr>
            <m:ctrlPr>
              <w:rPr>
                <w:rFonts w:ascii="Cambria Math" w:hAnsi="Cambria Math" w:cs="Arial"/>
                <w:i/>
                <w:szCs w:val="20"/>
              </w:rPr>
            </m:ctrlPr>
          </m:sSubPr>
          <m:e>
            <m:r>
              <w:rPr>
                <w:rFonts w:ascii="Cambria Math" w:hAnsi="Cambria Math" w:cs="Arial"/>
                <w:szCs w:val="20"/>
              </w:rPr>
              <m:t>P</m:t>
            </m:r>
          </m:e>
          <m:sub>
            <m:r>
              <w:rPr>
                <w:rFonts w:ascii="Cambria Math" w:hAnsi="Cambria Math" w:cs="Arial"/>
                <w:szCs w:val="20"/>
              </w:rPr>
              <m:t>30</m:t>
            </m:r>
          </m:sub>
        </m:sSub>
      </m:oMath>
      <w:r w:rsidRPr="00AA3314">
        <w:rPr>
          <w:rFonts w:cs="Arial"/>
          <w:szCs w:val="20"/>
        </w:rPr>
        <w:t xml:space="preserve"> nor </w:t>
      </w:r>
      <m:oMath>
        <m:sSub>
          <m:sSubPr>
            <m:ctrlPr>
              <w:rPr>
                <w:rFonts w:ascii="Cambria Math" w:hAnsi="Cambria Math" w:cs="Arial"/>
                <w:i/>
                <w:szCs w:val="20"/>
              </w:rPr>
            </m:ctrlPr>
          </m:sSubPr>
          <m:e>
            <m:r>
              <w:rPr>
                <w:rFonts w:ascii="Cambria Math" w:hAnsi="Cambria Math" w:cs="Arial"/>
                <w:szCs w:val="20"/>
              </w:rPr>
              <m:t>T</m:t>
            </m:r>
          </m:e>
          <m:sub>
            <m:r>
              <w:rPr>
                <w:rFonts w:ascii="Cambria Math" w:hAnsi="Cambria Math" w:cs="Arial"/>
                <w:szCs w:val="20"/>
              </w:rPr>
              <m:t>30</m:t>
            </m:r>
          </m:sub>
        </m:sSub>
      </m:oMath>
      <w:r w:rsidRPr="00AA3314">
        <w:rPr>
          <w:rFonts w:cs="Arial"/>
          <w:szCs w:val="20"/>
        </w:rPr>
        <w:t xml:space="preserve"> alone encodes the efficiency relationship, but their ratio does. This potentially enables earlier detection of compressor degradation trajectories before the EGT margin limit is approached and before the degradation manifests as a Shewhart UWL breach in s4 — providing a lead indicator that complements rather than duplicates the primary EGT-based alert structure established in Phase 2.</w:t>
      </w:r>
    </w:p>
    <w:p w14:paraId="678620A8" w14:textId="788C2FDA" w:rsidR="007247DE" w:rsidRPr="007247DE" w:rsidRDefault="007247DE" w:rsidP="007247DE">
      <w:pPr>
        <w:spacing w:before="100" w:beforeAutospacing="1" w:after="100" w:afterAutospacing="1"/>
        <w:jc w:val="both"/>
        <w:rPr>
          <w:rFonts w:cs="Arial"/>
          <w:szCs w:val="20"/>
        </w:rPr>
      </w:pPr>
      <w:bookmarkStart w:id="19" w:name="OLE_LINK26"/>
      <w:r w:rsidRPr="00AA3314">
        <w:rPr>
          <w:rFonts w:cs="Arial"/>
          <w:szCs w:val="20"/>
        </w:rPr>
        <w:t>At fleet scale, a 1% improvement in HPC efficiency detection lead time translates directly to a deferral of compressor wash cycles and blade refurbishment events. Each avoided premature shop visit driven by early but recoverable HPC efficiency loss represents a cost reduction of GBP 20,000–80,000 per engine (IATA, 2022</w:t>
      </w:r>
      <w:sdt>
        <w:sdtPr>
          <w:rPr>
            <w:rFonts w:cs="Arial"/>
            <w:szCs w:val="20"/>
          </w:rPr>
          <w:id w:val="-1377698650"/>
          <w:citation/>
        </w:sdtPr>
        <w:sdtContent>
          <w:r>
            <w:rPr>
              <w:rFonts w:cs="Arial"/>
              <w:szCs w:val="20"/>
            </w:rPr>
            <w:fldChar w:fldCharType="begin"/>
          </w:r>
          <w:r>
            <w:rPr>
              <w:rFonts w:cs="Arial"/>
              <w:szCs w:val="20"/>
            </w:rPr>
            <w:instrText xml:space="preserve"> CITATION Int22 \l 2057 </w:instrText>
          </w:r>
          <w:r>
            <w:rPr>
              <w:rFonts w:cs="Arial"/>
              <w:szCs w:val="20"/>
            </w:rPr>
            <w:fldChar w:fldCharType="separate"/>
          </w:r>
          <w:r w:rsidR="0074017E">
            <w:rPr>
              <w:rFonts w:cs="Arial"/>
              <w:noProof/>
              <w:szCs w:val="20"/>
            </w:rPr>
            <w:t xml:space="preserve"> </w:t>
          </w:r>
          <w:r w:rsidR="0074017E" w:rsidRPr="0074017E">
            <w:rPr>
              <w:rFonts w:cs="Arial"/>
              <w:noProof/>
              <w:szCs w:val="20"/>
            </w:rPr>
            <w:t>[21]</w:t>
          </w:r>
          <w:r>
            <w:rPr>
              <w:rFonts w:cs="Arial"/>
              <w:szCs w:val="20"/>
            </w:rPr>
            <w:fldChar w:fldCharType="end"/>
          </w:r>
        </w:sdtContent>
      </w:sdt>
      <w:r w:rsidRPr="00AA3314">
        <w:rPr>
          <w:rFonts w:cs="Arial"/>
          <w:szCs w:val="20"/>
        </w:rPr>
        <w:t>).</w:t>
      </w:r>
      <w:r w:rsidRPr="007247DE">
        <w:rPr>
          <w:rStyle w:val="FootnoteReference"/>
          <w:rFonts w:cs="Arial"/>
          <w:color w:val="E97132" w:themeColor="accent2"/>
          <w:szCs w:val="20"/>
        </w:rPr>
        <w:footnoteReference w:id="13"/>
      </w:r>
      <w:r w:rsidRPr="00AA3314">
        <w:rPr>
          <w:rFonts w:cs="Arial"/>
          <w:szCs w:val="20"/>
        </w:rPr>
        <w:t xml:space="preserve"> The CPR feature is therefore not merely a dimensionless thermodynamic ratio — it is a financially material diagnostic quantity whose accurate representation in the feature matrix directly supports the maintenance deferral economics that motivate the FusionCore programme.</w:t>
      </w:r>
    </w:p>
    <w:bookmarkEnd w:id="19"/>
    <w:p w14:paraId="7495F002" w14:textId="5CBD5C2D" w:rsidR="00A807E4" w:rsidRPr="005B0FA3" w:rsidRDefault="00AF7475" w:rsidP="00623C1B">
      <w:pPr>
        <w:pStyle w:val="Heading2"/>
        <w:spacing w:before="100" w:beforeAutospacing="1" w:after="100" w:afterAutospacing="1"/>
      </w:pPr>
      <w:r w:rsidRPr="005B0FA3">
        <w:t>9.4  Miner's Rule Fatigue and Life Consumption Tracking</w:t>
      </w:r>
    </w:p>
    <w:p w14:paraId="37256B9F" w14:textId="4A8CD601" w:rsidR="00A807E4" w:rsidRPr="000D6E34" w:rsidRDefault="00000000" w:rsidP="00623C1B">
      <w:pPr>
        <w:spacing w:before="100" w:beforeAutospacing="1" w:after="100" w:afterAutospacing="1"/>
        <w:jc w:val="both"/>
        <w:rPr>
          <w:rFonts w:cs="Arial"/>
          <w:szCs w:val="20"/>
        </w:rPr>
      </w:pPr>
      <w:r w:rsidRPr="000D6E34">
        <w:rPr>
          <w:rFonts w:cs="Arial"/>
          <w:szCs w:val="20"/>
        </w:rPr>
        <w:t>The cumulative fatigue indices provide the most direct bridge between the FusionCore feature engineering and certified life management practices in aerospace</w:t>
      </w:r>
      <w:r w:rsidR="00CB3B24">
        <w:rPr>
          <w:rFonts w:cs="Arial"/>
          <w:szCs w:val="20"/>
        </w:rPr>
        <w:t xml:space="preserve"> </w:t>
      </w:r>
      <w:sdt>
        <w:sdtPr>
          <w:rPr>
            <w:rFonts w:cs="Arial"/>
            <w:szCs w:val="20"/>
          </w:rPr>
          <w:id w:val="389548531"/>
          <w:citation/>
        </w:sdtPr>
        <w:sdtContent>
          <w:r w:rsidR="007247DE">
            <w:rPr>
              <w:rFonts w:cs="Arial"/>
              <w:szCs w:val="20"/>
            </w:rPr>
            <w:fldChar w:fldCharType="begin"/>
          </w:r>
          <w:r w:rsidR="007247DE">
            <w:rPr>
              <w:rFonts w:cs="Arial"/>
              <w:szCs w:val="20"/>
            </w:rPr>
            <w:instrText xml:space="preserve"> CITATION Eur14 \l 2057 </w:instrText>
          </w:r>
          <w:r w:rsidR="007247DE">
            <w:rPr>
              <w:rFonts w:cs="Arial"/>
              <w:szCs w:val="20"/>
            </w:rPr>
            <w:fldChar w:fldCharType="separate"/>
          </w:r>
          <w:r w:rsidR="0074017E" w:rsidRPr="0074017E">
            <w:rPr>
              <w:rFonts w:cs="Arial"/>
              <w:noProof/>
              <w:szCs w:val="20"/>
            </w:rPr>
            <w:t>[22]</w:t>
          </w:r>
          <w:r w:rsidR="007247DE">
            <w:rPr>
              <w:rFonts w:cs="Arial"/>
              <w:szCs w:val="20"/>
            </w:rPr>
            <w:fldChar w:fldCharType="end"/>
          </w:r>
        </w:sdtContent>
      </w:sdt>
      <w:r w:rsidR="00CB3B24">
        <w:rPr>
          <w:rFonts w:cs="Arial"/>
          <w:szCs w:val="20"/>
        </w:rPr>
        <w:t xml:space="preserve">. </w:t>
      </w:r>
      <w:r w:rsidRPr="000D6E34">
        <w:rPr>
          <w:rFonts w:cs="Arial"/>
          <w:szCs w:val="20"/>
        </w:rPr>
        <w:t>Under current EASA and FAA regulations, life-limited parts (LLPs) in turbofan engines are tracked by cycle count (measured in cycles-on-wing), with retirement limits established from empirical low-cycle fatigue (LCF) testing</w:t>
      </w:r>
      <w:sdt>
        <w:sdtPr>
          <w:rPr>
            <w:rFonts w:cs="Arial"/>
            <w:szCs w:val="20"/>
          </w:rPr>
          <w:id w:val="-1074740425"/>
          <w:citation/>
        </w:sdtPr>
        <w:sdtContent>
          <w:r w:rsidR="00CB3B24">
            <w:rPr>
              <w:rFonts w:cs="Arial"/>
              <w:szCs w:val="20"/>
            </w:rPr>
            <w:fldChar w:fldCharType="begin"/>
          </w:r>
          <w:r w:rsidR="00CB3B24">
            <w:rPr>
              <w:rFonts w:cs="Arial"/>
              <w:szCs w:val="20"/>
            </w:rPr>
            <w:instrText xml:space="preserve"> CITATION Eur14 \l 2057 </w:instrText>
          </w:r>
          <w:r w:rsidR="00CB3B24">
            <w:rPr>
              <w:rFonts w:cs="Arial"/>
              <w:szCs w:val="20"/>
            </w:rPr>
            <w:fldChar w:fldCharType="separate"/>
          </w:r>
          <w:r w:rsidR="0074017E">
            <w:rPr>
              <w:rFonts w:cs="Arial"/>
              <w:noProof/>
              <w:szCs w:val="20"/>
            </w:rPr>
            <w:t xml:space="preserve"> </w:t>
          </w:r>
          <w:r w:rsidR="0074017E" w:rsidRPr="0074017E">
            <w:rPr>
              <w:rFonts w:cs="Arial"/>
              <w:noProof/>
              <w:szCs w:val="20"/>
            </w:rPr>
            <w:t>[22]</w:t>
          </w:r>
          <w:r w:rsidR="00CB3B24">
            <w:rPr>
              <w:rFonts w:cs="Arial"/>
              <w:szCs w:val="20"/>
            </w:rPr>
            <w:fldChar w:fldCharType="end"/>
          </w:r>
        </w:sdtContent>
      </w:sdt>
      <w:r w:rsidRPr="000D6E34">
        <w:rPr>
          <w:rFonts w:cs="Arial"/>
          <w:szCs w:val="20"/>
        </w:rPr>
        <w:t xml:space="preserve">. The FusionCore </w:t>
      </w:r>
      <m:oMath>
        <m:r>
          <w:rPr>
            <w:rFonts w:ascii="Cambria Math" w:hAnsi="Cambria Math" w:cs="Arial"/>
            <w:szCs w:val="20"/>
          </w:rPr>
          <m:t>D(t)</m:t>
        </m:r>
      </m:oMath>
      <w:r w:rsidRPr="000D6E34">
        <w:rPr>
          <w:rFonts w:cs="Arial"/>
          <w:szCs w:val="20"/>
        </w:rPr>
        <w:t xml:space="preserve"> index is not a certified LLP tracker, but it encodes the operational severity information that modulates effective cycle consumption: a hard-cycle operation (high thrust, high temperature) consumes more fatigue life per physical cycle than a soft-cycle operation.</w:t>
      </w:r>
    </w:p>
    <w:p w14:paraId="319E8602" w14:textId="35AA8E31"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The convergence between the FusionCore </w:t>
      </w:r>
      <m:oMath>
        <m:r>
          <w:rPr>
            <w:rFonts w:ascii="Cambria Math" w:hAnsi="Cambria Math" w:cs="Arial"/>
            <w:szCs w:val="20"/>
          </w:rPr>
          <m:t>D(t)</m:t>
        </m:r>
      </m:oMath>
      <w:r w:rsidRPr="000D6E34">
        <w:rPr>
          <w:rFonts w:cs="Arial"/>
          <w:szCs w:val="20"/>
        </w:rPr>
        <w:t xml:space="preserve"> index and the established engineering life management framework of Miner's Rule is significant for regulatory credibility. A predictive maintenance system that can articulate its predictions in terms that align with recognised fatigue management theory is more likely to receive operational adoption and, ultimately, regulatory acceptance under EASA Part-145 or FAA AC 43.13-1B frameworks. The monotonicity property of </w:t>
      </w:r>
      <m:oMath>
        <m:r>
          <w:rPr>
            <w:rFonts w:ascii="Cambria Math" w:hAnsi="Cambria Math" w:cs="Arial"/>
            <w:szCs w:val="20"/>
          </w:rPr>
          <m:t>D(t)</m:t>
        </m:r>
      </m:oMath>
      <w:r w:rsidRPr="000D6E34">
        <w:rPr>
          <w:rFonts w:cs="Arial"/>
          <w:szCs w:val="20"/>
        </w:rPr>
        <w:t xml:space="preserve"> verified in Gate 6 is a necessary condition for any life-consumption proxy to be physically credible.</w:t>
      </w:r>
    </w:p>
    <w:p w14:paraId="2987CD00" w14:textId="07CF11E7" w:rsidR="00A807E4" w:rsidRPr="005B0FA3" w:rsidRDefault="00AF7475" w:rsidP="00623C1B">
      <w:pPr>
        <w:pStyle w:val="Heading2"/>
        <w:spacing w:before="100" w:beforeAutospacing="1" w:after="100" w:afterAutospacing="1"/>
      </w:pPr>
      <w:bookmarkStart w:id="20" w:name="OLE_LINK27"/>
      <w:r w:rsidRPr="005B0FA3">
        <w:t>9.5  Multivariate Health Index and Maintenance Decision Support</w:t>
      </w:r>
    </w:p>
    <w:bookmarkEnd w:id="20"/>
    <w:p w14:paraId="4C4681E7" w14:textId="77777777" w:rsidR="00545709" w:rsidRPr="00004DE7" w:rsidRDefault="00545709" w:rsidP="00545709">
      <w:pPr>
        <w:spacing w:before="100" w:beforeAutospacing="1" w:after="100" w:afterAutospacing="1"/>
        <w:jc w:val="both"/>
        <w:rPr>
          <w:rFonts w:cs="Arial"/>
          <w:szCs w:val="20"/>
        </w:rPr>
      </w:pPr>
      <w:r w:rsidRPr="00004DE7">
        <w:rPr>
          <w:rFonts w:cs="Arial"/>
          <w:szCs w:val="20"/>
        </w:rPr>
        <w:t xml:space="preserve">The multivariate health index (mean of </w:t>
      </w:r>
      <m:oMath>
        <m:sSub>
          <m:sSubPr>
            <m:ctrlPr>
              <w:rPr>
                <w:rFonts w:ascii="Cambria Math" w:hAnsi="Cambria Math" w:cs="Arial"/>
                <w:i/>
                <w:szCs w:val="20"/>
              </w:rPr>
            </m:ctrlPr>
          </m:sSubPr>
          <m:e>
            <m:r>
              <w:rPr>
                <w:rFonts w:ascii="Cambria Math" w:hAnsi="Cambria Math" w:cs="Arial"/>
                <w:szCs w:val="20"/>
              </w:rPr>
              <m:t>z</m:t>
            </m:r>
          </m:e>
          <m:sub>
            <m:r>
              <w:rPr>
                <w:rFonts w:ascii="Cambria Math" w:hAnsi="Cambria Math" w:cs="Arial"/>
                <w:szCs w:val="20"/>
              </w:rPr>
              <m:t>s4</m:t>
            </m:r>
          </m:sub>
        </m:sSub>
      </m:oMath>
      <w:r w:rsidRPr="00004DE7">
        <w:rPr>
          <w:rFonts w:cs="Arial"/>
          <w:szCs w:val="20"/>
        </w:rPr>
        <w:t xml:space="preserve">, </w:t>
      </w:r>
      <m:oMath>
        <m:sSub>
          <m:sSubPr>
            <m:ctrlPr>
              <w:rPr>
                <w:rFonts w:ascii="Cambria Math" w:hAnsi="Cambria Math" w:cs="Arial"/>
                <w:i/>
                <w:szCs w:val="20"/>
              </w:rPr>
            </m:ctrlPr>
          </m:sSubPr>
          <m:e>
            <m:r>
              <w:rPr>
                <w:rFonts w:ascii="Cambria Math" w:hAnsi="Cambria Math" w:cs="Arial"/>
                <w:szCs w:val="20"/>
              </w:rPr>
              <m:t>z</m:t>
            </m:r>
          </m:e>
          <m:sub>
            <m:r>
              <w:rPr>
                <w:rFonts w:ascii="Cambria Math" w:hAnsi="Cambria Math" w:cs="Arial"/>
                <w:szCs w:val="20"/>
              </w:rPr>
              <m:t>s7</m:t>
            </m:r>
          </m:sub>
        </m:sSub>
      </m:oMath>
      <w:r w:rsidRPr="00004DE7">
        <w:rPr>
          <w:rFonts w:cs="Arial"/>
          <w:szCs w:val="20"/>
        </w:rPr>
        <w:t xml:space="preserve">, </w:t>
      </w:r>
      <m:oMath>
        <m:sSub>
          <m:sSubPr>
            <m:ctrlPr>
              <w:rPr>
                <w:rFonts w:ascii="Cambria Math" w:hAnsi="Cambria Math" w:cs="Arial"/>
                <w:i/>
                <w:szCs w:val="20"/>
              </w:rPr>
            </m:ctrlPr>
          </m:sSubPr>
          <m:e>
            <m:r>
              <w:rPr>
                <w:rFonts w:ascii="Cambria Math" w:hAnsi="Cambria Math" w:cs="Arial"/>
                <w:szCs w:val="20"/>
              </w:rPr>
              <m:t>z</m:t>
            </m:r>
          </m:e>
          <m:sub>
            <m:r>
              <w:rPr>
                <w:rFonts w:ascii="Cambria Math" w:hAnsi="Cambria Math" w:cs="Arial"/>
                <w:szCs w:val="20"/>
              </w:rPr>
              <m:t>s9</m:t>
            </m:r>
          </m:sub>
        </m:sSub>
      </m:oMath>
      <w:r w:rsidRPr="00004DE7">
        <w:rPr>
          <w:rFonts w:cs="Arial"/>
          <w:szCs w:val="20"/>
        </w:rPr>
        <w:t>) provides a single-number summary of engine health that is directly actionable by maintenance planners. Univariate EGT monitoring, whilst standard industry practice, can produce false alerts when a single sensor exceeds a threshold due to transient effects unrelated to degradation — atmospheric temperature spikes, power demand perturbations, or momentary fuel scheduling anomalies. The multivariate index requires simultaneous deterioration across EGT, compressor pressure, and core speed to elevate, providing a more robust and less false-alarm-prone indicator. A transient exceedance in one sensor alone is insufficient to move the index materially; only coordinated multi-system deterioration — the genuine signature of progressive engine degradation — produces a sustained elevation above the Shewhart UWL threshold established in Phase 2.</w:t>
      </w:r>
    </w:p>
    <w:p w14:paraId="31740DE9" w14:textId="0AE7F09E" w:rsidR="00545709" w:rsidRPr="00223F35" w:rsidRDefault="00545709" w:rsidP="00223F35">
      <w:pPr>
        <w:spacing w:before="100" w:beforeAutospacing="1" w:after="100" w:afterAutospacing="1"/>
        <w:jc w:val="both"/>
        <w:rPr>
          <w:rFonts w:cs="Arial"/>
          <w:szCs w:val="20"/>
        </w:rPr>
      </w:pPr>
      <w:r w:rsidRPr="00004DE7">
        <w:rPr>
          <w:rFonts w:cs="Arial"/>
          <w:szCs w:val="20"/>
        </w:rPr>
        <w:t xml:space="preserve">The business value of reduced false alerts is quantifiable. Each unnecessary ground stop for unscheduled inspection incurs direct and indirect costs including gate return, maintenance labour, borescope inspection, and passenger disruption. For a fleet generating a moderate false alert rate, the annual cost reduction from a 50% improvement in alert precision through the multivariate index is </w:t>
      </w:r>
      <w:r w:rsidRPr="00004DE7">
        <w:rPr>
          <w:rFonts w:cs="Arial"/>
          <w:szCs w:val="20"/>
        </w:rPr>
        <w:lastRenderedPageBreak/>
        <w:t>estimated at USD 80,000–300,000 per operator — see footnote</w:t>
      </w:r>
      <w:r w:rsidRPr="00545709">
        <w:rPr>
          <w:rStyle w:val="FootnoteReference"/>
          <w:rFonts w:cs="Arial"/>
          <w:color w:val="E97132" w:themeColor="accent2"/>
          <w:szCs w:val="20"/>
        </w:rPr>
        <w:footnoteReference w:id="14"/>
      </w:r>
      <w:r w:rsidRPr="00004DE7">
        <w:rPr>
          <w:rFonts w:cs="Arial"/>
          <w:szCs w:val="20"/>
        </w:rPr>
        <w:t xml:space="preserve"> for the full derivation. Whilst this figure is illustrative, it is conservative relative to published AOG cost benchmarks, and the directional conclusion is robust: false alert reduction has quantifiable and material financial value that increases monotonically with fleet size and alert rate.</w:t>
      </w:r>
    </w:p>
    <w:p w14:paraId="764D05F3" w14:textId="36107C0F" w:rsidR="00A807E4" w:rsidRPr="005B0FA3" w:rsidRDefault="00AF7475" w:rsidP="00623C1B">
      <w:pPr>
        <w:pStyle w:val="Heading2"/>
        <w:spacing w:before="100" w:beforeAutospacing="1" w:after="100" w:afterAutospacing="1"/>
      </w:pPr>
      <w:r w:rsidRPr="005B0FA3">
        <w:t>9.6  Feature Engineering and SOTA Benchmark Readiness</w:t>
      </w:r>
    </w:p>
    <w:p w14:paraId="03EA37D0" w14:textId="4E36210B" w:rsidR="00A807E4" w:rsidRPr="000D6E34" w:rsidRDefault="00000000" w:rsidP="00623C1B">
      <w:pPr>
        <w:spacing w:before="100" w:beforeAutospacing="1" w:after="100" w:afterAutospacing="1"/>
        <w:jc w:val="both"/>
        <w:rPr>
          <w:rFonts w:cs="Arial"/>
          <w:szCs w:val="20"/>
        </w:rPr>
      </w:pPr>
      <w:r w:rsidRPr="000D6E34">
        <w:rPr>
          <w:rFonts w:cs="Arial"/>
          <w:szCs w:val="20"/>
        </w:rPr>
        <w:t xml:space="preserve">The 91-feature matrix is designed to provide a common input to four model classes in Phase </w:t>
      </w:r>
      <w:r w:rsidR="00223F35">
        <w:rPr>
          <w:rFonts w:cs="Arial"/>
          <w:szCs w:val="20"/>
        </w:rPr>
        <w:t>4</w:t>
      </w:r>
      <w:r w:rsidRPr="000D6E34">
        <w:rPr>
          <w:rFonts w:cs="Arial"/>
          <w:szCs w:val="20"/>
        </w:rPr>
        <w:t xml:space="preserve">: the FusionCore </w:t>
      </w:r>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0</m:t>
            </m:r>
          </m:sub>
        </m:sSub>
      </m:oMath>
      <w:r w:rsidRPr="000D6E34">
        <w:rPr>
          <w:rFonts w:cs="Arial"/>
          <w:szCs w:val="20"/>
        </w:rPr>
        <w:t xml:space="preserve"> XGBoost baseline, and the three SOTA benchmarks (DeepAR, TFT, PatchTST). The kinematic expansion features (delta, rmean, rstd) are particularly relevant for the time-series architecture benchmarks, as they pre-compute the local temporal context that these models would otherwise need to learn implicitly from raw sequences. This design reduces the sequence length burden on TFT and PatchTST, potentially improving training stability and convergence speed in Phase </w:t>
      </w:r>
      <w:r w:rsidR="00223F35">
        <w:rPr>
          <w:rFonts w:cs="Arial"/>
          <w:szCs w:val="20"/>
        </w:rPr>
        <w:t>4</w:t>
      </w:r>
      <w:r w:rsidRPr="000D6E34">
        <w:rPr>
          <w:rFonts w:cs="Arial"/>
          <w:szCs w:val="20"/>
        </w:rPr>
        <w:t>.</w:t>
      </w:r>
    </w:p>
    <w:p w14:paraId="4B6BD5B1" w14:textId="77777777" w:rsidR="00A807E4" w:rsidRPr="000D6E34" w:rsidRDefault="00000000" w:rsidP="00623C1B">
      <w:pPr>
        <w:spacing w:before="100" w:beforeAutospacing="1" w:after="100" w:afterAutospacing="1"/>
        <w:jc w:val="both"/>
        <w:rPr>
          <w:rFonts w:cs="Arial"/>
          <w:szCs w:val="20"/>
        </w:rPr>
      </w:pPr>
      <w:r w:rsidRPr="000D6E34">
        <w:rPr>
          <w:rFonts w:cs="Arial"/>
          <w:szCs w:val="20"/>
        </w:rPr>
        <w:t>The physics-informed virtual sensors and fatigue indices encode domain knowledge that a purely data-driven benchmark would need to infer from correlations across potentially hundreds of training trajectories. By making this knowledge explicit in the feature vector, Phase 3 establishes a domain-knowledge advantage for FusionCore over purely data-driven competitors — an advantage that is particularly pronounced in the low-data regime where the benchmark architectures may struggle to learn subtle physics relationships from limited training examples.</w:t>
      </w:r>
    </w:p>
    <w:p w14:paraId="10FE2312" w14:textId="40605970" w:rsidR="00A807E4" w:rsidRPr="005B0FA3" w:rsidRDefault="00000000" w:rsidP="00623C1B">
      <w:pPr>
        <w:pStyle w:val="Heading1"/>
        <w:spacing w:before="100" w:beforeAutospacing="1" w:after="100" w:afterAutospacing="1"/>
      </w:pPr>
      <w:r w:rsidRPr="005B0FA3">
        <w:t>10. Final Gaps Analysis — Transfer to Phase 4</w:t>
      </w:r>
      <w:r w:rsidR="00B53A9B">
        <w:t xml:space="preserve"> and Phase 5</w:t>
      </w:r>
    </w:p>
    <w:p w14:paraId="0094220B" w14:textId="77777777" w:rsidR="00A807E4" w:rsidRPr="000D6E34" w:rsidRDefault="00000000" w:rsidP="00623C1B">
      <w:pPr>
        <w:spacing w:before="100" w:beforeAutospacing="1" w:after="100" w:afterAutospacing="1"/>
        <w:jc w:val="both"/>
        <w:rPr>
          <w:rFonts w:cs="Arial"/>
          <w:szCs w:val="20"/>
        </w:rPr>
      </w:pPr>
      <w:r w:rsidRPr="000D6E34">
        <w:rPr>
          <w:rFonts w:cs="Arial"/>
          <w:szCs w:val="20"/>
        </w:rPr>
        <w:t>The following unresolved items are formally transferred as mandatory or advisory actions for the specified future phases. Items are categorised by priority and the phase responsible for resolution.</w:t>
      </w:r>
    </w:p>
    <w:p w14:paraId="6616BDE3" w14:textId="5ADB823D" w:rsidR="00A807E4" w:rsidRPr="000D6E34" w:rsidRDefault="00000000" w:rsidP="00623C1B">
      <w:pPr>
        <w:spacing w:before="100" w:beforeAutospacing="1" w:after="100" w:afterAutospacing="1"/>
        <w:rPr>
          <w:rFonts w:cs="Arial"/>
          <w:i/>
          <w:iCs/>
          <w:szCs w:val="20"/>
        </w:rPr>
      </w:pPr>
      <w:bookmarkStart w:id="21" w:name="OLE_LINK28"/>
      <w:r w:rsidRPr="000D6E34">
        <w:rPr>
          <w:rFonts w:cs="Arial"/>
          <w:b/>
          <w:bCs/>
          <w:i/>
          <w:iCs/>
          <w:color w:val="1B3A5C"/>
          <w:szCs w:val="20"/>
        </w:rPr>
        <w:t>Table 1</w:t>
      </w:r>
      <w:r w:rsidR="00B53A9B">
        <w:rPr>
          <w:rFonts w:cs="Arial"/>
          <w:b/>
          <w:bCs/>
          <w:i/>
          <w:iCs/>
          <w:color w:val="1B3A5C"/>
          <w:szCs w:val="20"/>
        </w:rPr>
        <w:t>9</w:t>
      </w:r>
      <w:r w:rsidR="00BD4886">
        <w:rPr>
          <w:rFonts w:cs="Arial"/>
          <w:b/>
          <w:bCs/>
          <w:i/>
          <w:iCs/>
          <w:color w:val="1B3A5C"/>
          <w:szCs w:val="20"/>
        </w:rPr>
        <w:t xml:space="preserve">. </w:t>
      </w:r>
      <w:r w:rsidRPr="000D6E34">
        <w:rPr>
          <w:rFonts w:cs="Arial"/>
          <w:b/>
          <w:bCs/>
          <w:i/>
          <w:iCs/>
          <w:color w:val="1B3A5C"/>
          <w:szCs w:val="20"/>
        </w:rPr>
        <w:t xml:space="preserve">FusionCore </w:t>
      </w:r>
      <m:oMath>
        <m:sSub>
          <m:sSubPr>
            <m:ctrlPr>
              <w:rPr>
                <w:rFonts w:ascii="Cambria Math" w:hAnsi="Cambria Math" w:cs="Arial"/>
                <w:b/>
                <w:bCs/>
                <w:i/>
                <w:iCs/>
                <w:color w:val="1B3A5C"/>
                <w:szCs w:val="20"/>
              </w:rPr>
            </m:ctrlPr>
          </m:sSubPr>
          <m:e>
            <m:r>
              <m:rPr>
                <m:sty m:val="bi"/>
              </m:rPr>
              <w:rPr>
                <w:rFonts w:ascii="Cambria Math" w:hAnsi="Cambria Math" w:cs="Arial"/>
                <w:color w:val="1B3A5C"/>
                <w:szCs w:val="20"/>
              </w:rPr>
              <m:t>v</m:t>
            </m:r>
          </m:e>
          <m:sub>
            <m:r>
              <m:rPr>
                <m:sty m:val="bi"/>
              </m:rPr>
              <w:rPr>
                <w:rFonts w:ascii="Cambria Math" w:hAnsi="Cambria Math" w:cs="Arial"/>
                <w:color w:val="1B3A5C"/>
                <w:szCs w:val="20"/>
              </w:rPr>
              <m:t>2</m:t>
            </m:r>
          </m:sub>
        </m:sSub>
      </m:oMath>
      <w:r w:rsidRPr="000D6E34">
        <w:rPr>
          <w:rFonts w:cs="Arial"/>
          <w:b/>
          <w:bCs/>
          <w:i/>
          <w:iCs/>
          <w:color w:val="1B3A5C"/>
          <w:szCs w:val="20"/>
        </w:rPr>
        <w:t xml:space="preserve"> Deployment Transfer Items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1"/>
        <w:gridCol w:w="3353"/>
        <w:gridCol w:w="1418"/>
        <w:gridCol w:w="3544"/>
      </w:tblGrid>
      <w:tr w:rsidR="00A807E4" w:rsidRPr="005B0FA3" w14:paraId="18E48599" w14:textId="77777777" w:rsidTr="00B8309D">
        <w:trPr>
          <w:tblHeader/>
        </w:trPr>
        <w:tc>
          <w:tcPr>
            <w:tcW w:w="61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117F95C5" w14:textId="77777777" w:rsidR="00A807E4" w:rsidRPr="00765CE6" w:rsidRDefault="00000000" w:rsidP="00623C1B">
            <w:pPr>
              <w:spacing w:before="100" w:beforeAutospacing="1" w:after="100" w:afterAutospacing="1"/>
              <w:rPr>
                <w:rFonts w:cs="Arial"/>
                <w:sz w:val="18"/>
                <w:szCs w:val="18"/>
              </w:rPr>
            </w:pPr>
            <w:r w:rsidRPr="00765CE6">
              <w:rPr>
                <w:rFonts w:cs="Arial"/>
                <w:b/>
                <w:bCs/>
                <w:color w:val="FFFFFF"/>
                <w:sz w:val="18"/>
                <w:szCs w:val="18"/>
              </w:rPr>
              <w:t>Item</w:t>
            </w:r>
          </w:p>
        </w:tc>
        <w:tc>
          <w:tcPr>
            <w:tcW w:w="335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6A1540C" w14:textId="77777777" w:rsidR="00A807E4" w:rsidRPr="00765CE6" w:rsidRDefault="00000000" w:rsidP="00623C1B">
            <w:pPr>
              <w:spacing w:before="100" w:beforeAutospacing="1" w:after="100" w:afterAutospacing="1"/>
              <w:rPr>
                <w:rFonts w:cs="Arial"/>
                <w:sz w:val="18"/>
                <w:szCs w:val="18"/>
              </w:rPr>
            </w:pPr>
            <w:r w:rsidRPr="00765CE6">
              <w:rPr>
                <w:rFonts w:cs="Arial"/>
                <w:b/>
                <w:bCs/>
                <w:color w:val="FFFFFF"/>
                <w:sz w:val="18"/>
                <w:szCs w:val="18"/>
              </w:rPr>
              <w:t>Description</w:t>
            </w:r>
          </w:p>
        </w:tc>
        <w:tc>
          <w:tcPr>
            <w:tcW w:w="141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6223403" w14:textId="77777777" w:rsidR="00A807E4" w:rsidRPr="00765CE6" w:rsidRDefault="00000000" w:rsidP="00623C1B">
            <w:pPr>
              <w:spacing w:before="100" w:beforeAutospacing="1" w:after="100" w:afterAutospacing="1"/>
              <w:rPr>
                <w:rFonts w:cs="Arial"/>
                <w:sz w:val="18"/>
                <w:szCs w:val="18"/>
              </w:rPr>
            </w:pPr>
            <w:r w:rsidRPr="00765CE6">
              <w:rPr>
                <w:rFonts w:cs="Arial"/>
                <w:b/>
                <w:bCs/>
                <w:color w:val="FFFFFF"/>
                <w:sz w:val="18"/>
                <w:szCs w:val="18"/>
              </w:rPr>
              <w:t>Priority</w:t>
            </w:r>
          </w:p>
        </w:tc>
        <w:tc>
          <w:tcPr>
            <w:tcW w:w="3544"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79324741" w14:textId="77777777" w:rsidR="00A807E4" w:rsidRPr="00765CE6" w:rsidRDefault="00000000" w:rsidP="00623C1B">
            <w:pPr>
              <w:spacing w:before="100" w:beforeAutospacing="1" w:after="100" w:afterAutospacing="1"/>
              <w:rPr>
                <w:rFonts w:cs="Arial"/>
                <w:sz w:val="18"/>
                <w:szCs w:val="18"/>
              </w:rPr>
            </w:pPr>
            <w:r w:rsidRPr="00765CE6">
              <w:rPr>
                <w:rFonts w:cs="Arial"/>
                <w:b/>
                <w:bCs/>
                <w:color w:val="FFFFFF"/>
                <w:sz w:val="18"/>
                <w:szCs w:val="18"/>
              </w:rPr>
              <w:t>Triggering Evidence</w:t>
            </w:r>
          </w:p>
        </w:tc>
      </w:tr>
      <w:tr w:rsidR="004C002F" w14:paraId="273C659B" w14:textId="77777777" w:rsidTr="00B8309D">
        <w:tc>
          <w:tcPr>
            <w:tcW w:w="611" w:type="dxa"/>
            <w:shd w:val="clear" w:color="auto" w:fill="FFFFFF"/>
            <w:tcMar>
              <w:top w:w="80" w:type="dxa"/>
              <w:left w:w="120" w:type="dxa"/>
              <w:bottom w:w="80" w:type="dxa"/>
              <w:right w:w="120" w:type="dxa"/>
            </w:tcMar>
            <w:vAlign w:val="center"/>
          </w:tcPr>
          <w:p w14:paraId="11E5F129" w14:textId="1D2D8C98" w:rsidR="00A807E4" w:rsidRPr="00765CE6" w:rsidRDefault="00000000" w:rsidP="00623C1B">
            <w:pPr>
              <w:spacing w:before="100" w:beforeAutospacing="1" w:after="100" w:afterAutospacing="1"/>
              <w:rPr>
                <w:rFonts w:cs="Arial"/>
                <w:sz w:val="18"/>
                <w:szCs w:val="18"/>
              </w:rPr>
            </w:pPr>
            <w:r w:rsidRPr="00765CE6">
              <w:rPr>
                <w:rFonts w:cs="Arial"/>
                <w:sz w:val="18"/>
                <w:szCs w:val="18"/>
              </w:rPr>
              <w:t>G1</w:t>
            </w:r>
          </w:p>
        </w:tc>
        <w:tc>
          <w:tcPr>
            <w:tcW w:w="3353" w:type="dxa"/>
            <w:shd w:val="clear" w:color="auto" w:fill="FFFFFF"/>
            <w:tcMar>
              <w:top w:w="80" w:type="dxa"/>
              <w:left w:w="120" w:type="dxa"/>
              <w:bottom w:w="80" w:type="dxa"/>
              <w:right w:w="120" w:type="dxa"/>
            </w:tcMar>
            <w:vAlign w:val="center"/>
          </w:tcPr>
          <w:p w14:paraId="3D617CAC" w14:textId="77777777" w:rsidR="00A807E4" w:rsidRPr="00765CE6" w:rsidRDefault="00000000" w:rsidP="00623C1B">
            <w:pPr>
              <w:spacing w:before="100" w:beforeAutospacing="1" w:after="100" w:afterAutospacing="1"/>
              <w:rPr>
                <w:rFonts w:cs="Arial"/>
                <w:sz w:val="18"/>
                <w:szCs w:val="18"/>
              </w:rPr>
            </w:pPr>
            <w:r w:rsidRPr="00765CE6">
              <w:rPr>
                <w:rFonts w:cs="Arial"/>
                <w:sz w:val="18"/>
                <w:szCs w:val="18"/>
              </w:rPr>
              <w:t>G11 Regime assignment OOD guard — implement production-grade distance-to-centroid rejection layer</w:t>
            </w:r>
          </w:p>
        </w:tc>
        <w:tc>
          <w:tcPr>
            <w:tcW w:w="1418" w:type="dxa"/>
            <w:shd w:val="clear" w:color="auto" w:fill="FFFFFF"/>
            <w:tcMar>
              <w:top w:w="80" w:type="dxa"/>
              <w:left w:w="120" w:type="dxa"/>
              <w:bottom w:w="80" w:type="dxa"/>
              <w:right w:w="120" w:type="dxa"/>
            </w:tcMar>
            <w:vAlign w:val="center"/>
          </w:tcPr>
          <w:p w14:paraId="5FF8B6F6" w14:textId="210E2D49" w:rsidR="00A807E4" w:rsidRPr="00765CE6" w:rsidRDefault="00000000" w:rsidP="00623C1B">
            <w:pPr>
              <w:spacing w:before="100" w:beforeAutospacing="1" w:after="100" w:afterAutospacing="1"/>
              <w:rPr>
                <w:rFonts w:cs="Arial"/>
                <w:sz w:val="18"/>
                <w:szCs w:val="18"/>
              </w:rPr>
            </w:pPr>
            <w:r w:rsidRPr="00765CE6">
              <w:rPr>
                <w:rFonts w:cs="Arial"/>
                <w:sz w:val="18"/>
                <w:szCs w:val="18"/>
              </w:rPr>
              <w:t>MANDATORY</w:t>
            </w:r>
          </w:p>
        </w:tc>
        <w:tc>
          <w:tcPr>
            <w:tcW w:w="3544" w:type="dxa"/>
            <w:shd w:val="clear" w:color="auto" w:fill="FFFFFF"/>
            <w:tcMar>
              <w:top w:w="80" w:type="dxa"/>
              <w:left w:w="120" w:type="dxa"/>
              <w:bottom w:w="80" w:type="dxa"/>
              <w:right w:w="120" w:type="dxa"/>
            </w:tcMar>
            <w:vAlign w:val="center"/>
          </w:tcPr>
          <w:p w14:paraId="638FEB75" w14:textId="499CA958" w:rsidR="00A807E4" w:rsidRPr="00765CE6" w:rsidRDefault="00765CE6" w:rsidP="00623C1B">
            <w:pPr>
              <w:spacing w:before="100" w:beforeAutospacing="1" w:after="100" w:afterAutospacing="1"/>
              <w:rPr>
                <w:rFonts w:cs="Arial"/>
                <w:sz w:val="18"/>
                <w:szCs w:val="18"/>
              </w:rPr>
            </w:pPr>
            <w:r w:rsidRPr="00765CE6">
              <w:rPr>
                <w:rFonts w:cs="Arial"/>
                <w:sz w:val="18"/>
                <w:szCs w:val="18"/>
              </w:rPr>
              <w:t>P99 threshold = 65.006; no runtime rejection currently implemented; continuous N-CMAPSS flight envelope produces genuine distance distribution</w:t>
            </w:r>
          </w:p>
        </w:tc>
      </w:tr>
      <w:tr w:rsidR="004C002F" w14:paraId="0F001890" w14:textId="77777777" w:rsidTr="00B8309D">
        <w:tc>
          <w:tcPr>
            <w:tcW w:w="611" w:type="dxa"/>
            <w:shd w:val="clear" w:color="auto" w:fill="F0F4F8"/>
            <w:tcMar>
              <w:top w:w="80" w:type="dxa"/>
              <w:left w:w="120" w:type="dxa"/>
              <w:bottom w:w="80" w:type="dxa"/>
              <w:right w:w="120" w:type="dxa"/>
            </w:tcMar>
            <w:vAlign w:val="center"/>
          </w:tcPr>
          <w:p w14:paraId="3D66EE04" w14:textId="2138773A" w:rsidR="00A807E4" w:rsidRPr="00765CE6" w:rsidRDefault="00000000" w:rsidP="00623C1B">
            <w:pPr>
              <w:spacing w:before="100" w:beforeAutospacing="1" w:after="100" w:afterAutospacing="1"/>
              <w:rPr>
                <w:rFonts w:cs="Arial"/>
                <w:sz w:val="18"/>
                <w:szCs w:val="18"/>
              </w:rPr>
            </w:pPr>
            <w:r w:rsidRPr="00765CE6">
              <w:rPr>
                <w:rFonts w:cs="Arial"/>
                <w:sz w:val="18"/>
                <w:szCs w:val="18"/>
              </w:rPr>
              <w:t>G2</w:t>
            </w:r>
          </w:p>
        </w:tc>
        <w:tc>
          <w:tcPr>
            <w:tcW w:w="3353" w:type="dxa"/>
            <w:shd w:val="clear" w:color="auto" w:fill="F0F4F8"/>
            <w:tcMar>
              <w:top w:w="80" w:type="dxa"/>
              <w:left w:w="120" w:type="dxa"/>
              <w:bottom w:w="80" w:type="dxa"/>
              <w:right w:w="120" w:type="dxa"/>
            </w:tcMar>
            <w:vAlign w:val="center"/>
          </w:tcPr>
          <w:p w14:paraId="30C5D9DC" w14:textId="0F20C22B" w:rsidR="00A807E4" w:rsidRPr="00765CE6" w:rsidRDefault="00765CE6" w:rsidP="00623C1B">
            <w:pPr>
              <w:spacing w:before="100" w:beforeAutospacing="1" w:after="100" w:afterAutospacing="1"/>
              <w:rPr>
                <w:rFonts w:cs="Arial"/>
                <w:sz w:val="18"/>
                <w:szCs w:val="18"/>
              </w:rPr>
            </w:pPr>
            <m:oMath>
              <m:r>
                <w:rPr>
                  <w:rFonts w:ascii="Cambria Math" w:hAnsi="Cambria Math" w:cs="Arial"/>
                  <w:sz w:val="18"/>
                  <w:szCs w:val="18"/>
                </w:rPr>
                <m:t>EG</m:t>
              </m:r>
              <m:sSub>
                <m:sSubPr>
                  <m:ctrlPr>
                    <w:rPr>
                      <w:rFonts w:ascii="Cambria Math" w:hAnsi="Cambria Math" w:cs="Arial"/>
                      <w:i/>
                      <w:sz w:val="18"/>
                      <w:szCs w:val="18"/>
                    </w:rPr>
                  </m:ctrlPr>
                </m:sSubPr>
                <m:e>
                  <m:r>
                    <w:rPr>
                      <w:rFonts w:ascii="Cambria Math" w:hAnsi="Cambria Math" w:cs="Arial"/>
                      <w:sz w:val="18"/>
                      <w:szCs w:val="18"/>
                    </w:rPr>
                    <m:t>T</m:t>
                  </m:r>
                </m:e>
                <m:sub>
                  <m:r>
                    <w:rPr>
                      <w:rFonts w:ascii="Cambria Math" w:hAnsi="Cambria Math" w:cs="Arial"/>
                      <w:sz w:val="18"/>
                      <w:szCs w:val="18"/>
                    </w:rPr>
                    <m:t>drift</m:t>
                  </m:r>
                </m:sub>
              </m:sSub>
            </m:oMath>
            <w:r w:rsidRPr="00765CE6">
              <w:rPr>
                <w:rFonts w:cs="Arial"/>
                <w:sz w:val="18"/>
                <w:szCs w:val="18"/>
              </w:rPr>
              <w:t xml:space="preserve"> baseline validation — confirm frozen training-set baseline is appropriate for N-CMAPSS and real operational telemetry</w:t>
            </w:r>
          </w:p>
        </w:tc>
        <w:tc>
          <w:tcPr>
            <w:tcW w:w="1418" w:type="dxa"/>
            <w:shd w:val="clear" w:color="auto" w:fill="F0F4F8"/>
            <w:tcMar>
              <w:top w:w="80" w:type="dxa"/>
              <w:left w:w="120" w:type="dxa"/>
              <w:bottom w:w="80" w:type="dxa"/>
              <w:right w:w="120" w:type="dxa"/>
            </w:tcMar>
            <w:vAlign w:val="center"/>
          </w:tcPr>
          <w:p w14:paraId="31438E8F" w14:textId="77777777" w:rsidR="00A807E4" w:rsidRPr="00765CE6" w:rsidRDefault="00000000" w:rsidP="00623C1B">
            <w:pPr>
              <w:spacing w:before="100" w:beforeAutospacing="1" w:after="100" w:afterAutospacing="1"/>
              <w:rPr>
                <w:rFonts w:cs="Arial"/>
                <w:sz w:val="18"/>
                <w:szCs w:val="18"/>
              </w:rPr>
            </w:pPr>
            <w:r w:rsidRPr="00765CE6">
              <w:rPr>
                <w:rFonts w:cs="Arial"/>
                <w:sz w:val="18"/>
                <w:szCs w:val="18"/>
              </w:rPr>
              <w:t>ADVISORY</w:t>
            </w:r>
          </w:p>
        </w:tc>
        <w:tc>
          <w:tcPr>
            <w:tcW w:w="3544" w:type="dxa"/>
            <w:shd w:val="clear" w:color="auto" w:fill="F0F4F8"/>
            <w:tcMar>
              <w:top w:w="80" w:type="dxa"/>
              <w:left w:w="120" w:type="dxa"/>
              <w:bottom w:w="80" w:type="dxa"/>
              <w:right w:w="120" w:type="dxa"/>
            </w:tcMar>
            <w:vAlign w:val="center"/>
          </w:tcPr>
          <w:p w14:paraId="07C0E24A" w14:textId="4CDD34FC" w:rsidR="00A807E4" w:rsidRPr="00765CE6" w:rsidRDefault="00765CE6" w:rsidP="00623C1B">
            <w:pPr>
              <w:spacing w:before="100" w:beforeAutospacing="1" w:after="100" w:afterAutospacing="1"/>
              <w:rPr>
                <w:rFonts w:cs="Arial"/>
                <w:sz w:val="18"/>
                <w:szCs w:val="18"/>
              </w:rPr>
            </w:pPr>
            <w:r w:rsidRPr="00765CE6">
              <w:rPr>
                <w:rFonts w:cs="Arial"/>
                <w:sz w:val="18"/>
                <w:szCs w:val="18"/>
              </w:rPr>
              <w:t>Baseline is effectively zero in z-space; physical-unit baseline required for operational deployment against continuous flight data</w:t>
            </w:r>
          </w:p>
        </w:tc>
      </w:tr>
    </w:tbl>
    <w:p w14:paraId="6F883BBC" w14:textId="17E06947" w:rsidR="00C24C4F" w:rsidRPr="00C24C4F" w:rsidRDefault="00C24C4F" w:rsidP="00C24C4F">
      <w:pPr>
        <w:spacing w:before="100" w:beforeAutospacing="1" w:after="100" w:afterAutospacing="1"/>
        <w:rPr>
          <w:rFonts w:cs="Arial"/>
          <w:b/>
          <w:bCs/>
          <w:i/>
          <w:iCs/>
          <w:color w:val="1B3A5C"/>
          <w:szCs w:val="20"/>
        </w:rPr>
      </w:pPr>
      <w:bookmarkStart w:id="22" w:name="OLE_LINK29"/>
      <w:bookmarkStart w:id="23" w:name="OLE_LINK31"/>
      <w:bookmarkEnd w:id="21"/>
      <w:r w:rsidRPr="000D6E34">
        <w:rPr>
          <w:rFonts w:cs="Arial"/>
          <w:b/>
          <w:bCs/>
          <w:i/>
          <w:iCs/>
          <w:color w:val="1B3A5C"/>
          <w:szCs w:val="20"/>
        </w:rPr>
        <w:lastRenderedPageBreak/>
        <w:t xml:space="preserve">Table </w:t>
      </w:r>
      <w:r>
        <w:rPr>
          <w:rFonts w:cs="Arial"/>
          <w:b/>
          <w:bCs/>
          <w:i/>
          <w:iCs/>
          <w:color w:val="1B3A5C"/>
          <w:szCs w:val="20"/>
        </w:rPr>
        <w:t>20.</w:t>
      </w:r>
      <w:r w:rsidRPr="000D6E34">
        <w:rPr>
          <w:rFonts w:cs="Arial"/>
          <w:b/>
          <w:bCs/>
          <w:i/>
          <w:iCs/>
          <w:color w:val="1B3A5C"/>
          <w:szCs w:val="20"/>
        </w:rPr>
        <w:t xml:space="preserve"> Phase </w:t>
      </w:r>
      <w:r>
        <w:rPr>
          <w:rFonts w:cs="Arial"/>
          <w:b/>
          <w:bCs/>
          <w:i/>
          <w:iCs/>
          <w:color w:val="1B3A5C"/>
          <w:szCs w:val="20"/>
        </w:rPr>
        <w:t>5</w:t>
      </w:r>
      <w:r w:rsidRPr="000D6E34">
        <w:rPr>
          <w:rFonts w:cs="Arial"/>
          <w:b/>
          <w:bCs/>
          <w:i/>
          <w:iCs/>
          <w:color w:val="1B3A5C"/>
          <w:szCs w:val="20"/>
        </w:rPr>
        <w:t xml:space="preserve"> Transfer Items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3275"/>
        <w:gridCol w:w="1546"/>
        <w:gridCol w:w="3685"/>
      </w:tblGrid>
      <w:tr w:rsidR="00C24C4F" w:rsidRPr="005B0FA3" w14:paraId="58FEE549" w14:textId="77777777" w:rsidTr="004D0D18">
        <w:trPr>
          <w:tblHeader/>
        </w:trPr>
        <w:tc>
          <w:tcPr>
            <w:tcW w:w="70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5868938E" w14:textId="77777777" w:rsidR="00C24C4F" w:rsidRPr="005B0FA3" w:rsidRDefault="00C24C4F" w:rsidP="004D0D18">
            <w:pPr>
              <w:spacing w:before="100" w:beforeAutospacing="1" w:after="100" w:afterAutospacing="1"/>
              <w:rPr>
                <w:rFonts w:cs="Arial"/>
              </w:rPr>
            </w:pPr>
            <w:r w:rsidRPr="005B0FA3">
              <w:rPr>
                <w:rFonts w:cs="Arial"/>
                <w:b/>
                <w:bCs/>
                <w:color w:val="FFFFFF"/>
                <w:sz w:val="18"/>
                <w:szCs w:val="18"/>
              </w:rPr>
              <w:t>Item</w:t>
            </w:r>
          </w:p>
        </w:tc>
        <w:tc>
          <w:tcPr>
            <w:tcW w:w="327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EF19CF5" w14:textId="77777777" w:rsidR="00C24C4F" w:rsidRPr="005B0FA3" w:rsidRDefault="00C24C4F" w:rsidP="004D0D18">
            <w:pPr>
              <w:spacing w:before="100" w:beforeAutospacing="1" w:after="100" w:afterAutospacing="1"/>
              <w:rPr>
                <w:rFonts w:cs="Arial"/>
              </w:rPr>
            </w:pPr>
            <w:r w:rsidRPr="005B0FA3">
              <w:rPr>
                <w:rFonts w:cs="Arial"/>
                <w:b/>
                <w:bCs/>
                <w:color w:val="FFFFFF"/>
                <w:sz w:val="18"/>
                <w:szCs w:val="18"/>
              </w:rPr>
              <w:t>Description</w:t>
            </w:r>
          </w:p>
        </w:tc>
        <w:tc>
          <w:tcPr>
            <w:tcW w:w="154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61F2BD5" w14:textId="77777777" w:rsidR="00C24C4F" w:rsidRPr="005B0FA3" w:rsidRDefault="00C24C4F" w:rsidP="004D0D18">
            <w:pPr>
              <w:spacing w:before="100" w:beforeAutospacing="1" w:after="100" w:afterAutospacing="1"/>
              <w:rPr>
                <w:rFonts w:cs="Arial"/>
              </w:rPr>
            </w:pPr>
            <w:r w:rsidRPr="005B0FA3">
              <w:rPr>
                <w:rFonts w:cs="Arial"/>
                <w:b/>
                <w:bCs/>
                <w:color w:val="FFFFFF"/>
                <w:sz w:val="18"/>
                <w:szCs w:val="18"/>
              </w:rPr>
              <w:t>Priority</w:t>
            </w:r>
          </w:p>
        </w:tc>
        <w:tc>
          <w:tcPr>
            <w:tcW w:w="368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04E17980" w14:textId="77777777" w:rsidR="00C24C4F" w:rsidRPr="005B0FA3" w:rsidRDefault="00C24C4F" w:rsidP="004D0D18">
            <w:pPr>
              <w:spacing w:before="100" w:beforeAutospacing="1" w:after="100" w:afterAutospacing="1"/>
              <w:rPr>
                <w:rFonts w:cs="Arial"/>
              </w:rPr>
            </w:pPr>
            <w:r w:rsidRPr="005B0FA3">
              <w:rPr>
                <w:rFonts w:cs="Arial"/>
                <w:b/>
                <w:bCs/>
                <w:color w:val="FFFFFF"/>
                <w:sz w:val="18"/>
                <w:szCs w:val="18"/>
              </w:rPr>
              <w:t>Triggering Evidence</w:t>
            </w:r>
          </w:p>
        </w:tc>
      </w:tr>
      <w:tr w:rsidR="00C24C4F" w14:paraId="03607D96" w14:textId="77777777" w:rsidTr="004D0D18">
        <w:tc>
          <w:tcPr>
            <w:tcW w:w="703" w:type="dxa"/>
            <w:shd w:val="clear" w:color="auto" w:fill="FFFFFF"/>
            <w:tcMar>
              <w:top w:w="80" w:type="dxa"/>
              <w:left w:w="120" w:type="dxa"/>
              <w:bottom w:w="80" w:type="dxa"/>
              <w:right w:w="120" w:type="dxa"/>
            </w:tcMar>
            <w:vAlign w:val="center"/>
          </w:tcPr>
          <w:p w14:paraId="45AF0DCA" w14:textId="77777777" w:rsidR="00C24C4F" w:rsidRPr="005B0FA3" w:rsidRDefault="00C24C4F" w:rsidP="004D0D18">
            <w:pPr>
              <w:spacing w:before="100" w:beforeAutospacing="1" w:after="100" w:afterAutospacing="1"/>
              <w:rPr>
                <w:rFonts w:cs="Arial"/>
              </w:rPr>
            </w:pPr>
            <w:r w:rsidRPr="005B0FA3">
              <w:rPr>
                <w:rFonts w:cs="Arial"/>
                <w:sz w:val="18"/>
                <w:szCs w:val="18"/>
              </w:rPr>
              <w:t>G1</w:t>
            </w:r>
          </w:p>
        </w:tc>
        <w:tc>
          <w:tcPr>
            <w:tcW w:w="3275" w:type="dxa"/>
            <w:shd w:val="clear" w:color="auto" w:fill="FFFFFF"/>
            <w:tcMar>
              <w:top w:w="80" w:type="dxa"/>
              <w:left w:w="120" w:type="dxa"/>
              <w:bottom w:w="80" w:type="dxa"/>
              <w:right w:w="120" w:type="dxa"/>
            </w:tcMar>
            <w:vAlign w:val="center"/>
          </w:tcPr>
          <w:p w14:paraId="67B0EA47" w14:textId="77777777" w:rsidR="00C24C4F" w:rsidRPr="005B0FA3" w:rsidRDefault="00C24C4F" w:rsidP="004D0D18">
            <w:pPr>
              <w:spacing w:before="100" w:beforeAutospacing="1" w:after="100" w:afterAutospacing="1"/>
              <w:rPr>
                <w:rFonts w:cs="Arial"/>
              </w:rPr>
            </w:pPr>
            <w:r w:rsidRPr="00D87D92">
              <w:rPr>
                <w:rFonts w:cs="Arial"/>
                <w:sz w:val="18"/>
                <w:szCs w:val="18"/>
              </w:rPr>
              <w:t>G12 Survival analysis integration — implement probabilistic RUL scheduling layer using survival function outputs</w:t>
            </w:r>
          </w:p>
        </w:tc>
        <w:tc>
          <w:tcPr>
            <w:tcW w:w="1546" w:type="dxa"/>
            <w:shd w:val="clear" w:color="auto" w:fill="FFFFFF"/>
            <w:tcMar>
              <w:top w:w="80" w:type="dxa"/>
              <w:left w:w="120" w:type="dxa"/>
              <w:bottom w:w="80" w:type="dxa"/>
              <w:right w:w="120" w:type="dxa"/>
            </w:tcMar>
            <w:vAlign w:val="center"/>
          </w:tcPr>
          <w:p w14:paraId="09189537" w14:textId="77777777" w:rsidR="00C24C4F" w:rsidRPr="005B0FA3" w:rsidRDefault="00C24C4F" w:rsidP="004D0D18">
            <w:pPr>
              <w:spacing w:before="100" w:beforeAutospacing="1" w:after="100" w:afterAutospacing="1"/>
              <w:rPr>
                <w:rFonts w:cs="Arial"/>
              </w:rPr>
            </w:pPr>
            <w:r w:rsidRPr="00D87D92">
              <w:rPr>
                <w:rFonts w:cs="Arial"/>
                <w:sz w:val="18"/>
                <w:szCs w:val="18"/>
              </w:rPr>
              <w:t>MANDATORY</w:t>
            </w:r>
          </w:p>
        </w:tc>
        <w:tc>
          <w:tcPr>
            <w:tcW w:w="3685" w:type="dxa"/>
            <w:shd w:val="clear" w:color="auto" w:fill="FFFFFF"/>
            <w:tcMar>
              <w:top w:w="80" w:type="dxa"/>
              <w:left w:w="120" w:type="dxa"/>
              <w:bottom w:w="80" w:type="dxa"/>
              <w:right w:w="120" w:type="dxa"/>
            </w:tcMar>
            <w:vAlign w:val="center"/>
          </w:tcPr>
          <w:p w14:paraId="0F211648" w14:textId="77777777" w:rsidR="00C24C4F" w:rsidRPr="005B0FA3" w:rsidRDefault="00C24C4F" w:rsidP="004D0D18">
            <w:pPr>
              <w:spacing w:before="100" w:beforeAutospacing="1" w:after="100" w:afterAutospacing="1"/>
              <w:rPr>
                <w:rFonts w:cs="Arial"/>
              </w:rPr>
            </w:pPr>
            <w:r w:rsidRPr="00D87D92">
              <w:rPr>
                <w:rFonts w:cs="Arial"/>
                <w:sz w:val="18"/>
                <w:szCs w:val="18"/>
              </w:rPr>
              <w:t>Kaplan-Meier and Cox PH fitted (C-index = 0.6398); s4_mean HR = 4.70 confirms EGT-driven hazard; binary UWL alert operationally inadequate (Phase 2 Item 7)</w:t>
            </w:r>
          </w:p>
        </w:tc>
      </w:tr>
      <w:tr w:rsidR="00C24C4F" w14:paraId="5CF82D8C" w14:textId="77777777" w:rsidTr="004D0D18">
        <w:tc>
          <w:tcPr>
            <w:tcW w:w="703" w:type="dxa"/>
            <w:shd w:val="clear" w:color="auto" w:fill="F0F4F8"/>
            <w:tcMar>
              <w:top w:w="80" w:type="dxa"/>
              <w:left w:w="120" w:type="dxa"/>
              <w:bottom w:w="80" w:type="dxa"/>
              <w:right w:w="120" w:type="dxa"/>
            </w:tcMar>
            <w:vAlign w:val="center"/>
          </w:tcPr>
          <w:p w14:paraId="27BE842A" w14:textId="77777777" w:rsidR="00C24C4F" w:rsidRPr="005B0FA3" w:rsidRDefault="00C24C4F" w:rsidP="004D0D18">
            <w:pPr>
              <w:spacing w:before="100" w:beforeAutospacing="1" w:after="100" w:afterAutospacing="1"/>
              <w:rPr>
                <w:rFonts w:cs="Arial"/>
              </w:rPr>
            </w:pPr>
            <w:r w:rsidRPr="005B0FA3">
              <w:rPr>
                <w:rFonts w:cs="Arial"/>
                <w:sz w:val="18"/>
                <w:szCs w:val="18"/>
              </w:rPr>
              <w:t>G2</w:t>
            </w:r>
          </w:p>
        </w:tc>
        <w:tc>
          <w:tcPr>
            <w:tcW w:w="3275" w:type="dxa"/>
            <w:shd w:val="clear" w:color="auto" w:fill="F0F4F8"/>
            <w:tcMar>
              <w:top w:w="80" w:type="dxa"/>
              <w:left w:w="120" w:type="dxa"/>
              <w:bottom w:w="80" w:type="dxa"/>
              <w:right w:w="120" w:type="dxa"/>
            </w:tcMar>
            <w:vAlign w:val="center"/>
          </w:tcPr>
          <w:p w14:paraId="52E0FA3A" w14:textId="77777777" w:rsidR="00C24C4F" w:rsidRPr="005B0FA3" w:rsidRDefault="00C24C4F" w:rsidP="004D0D18">
            <w:pPr>
              <w:spacing w:before="100" w:beforeAutospacing="1" w:after="100" w:afterAutospacing="1"/>
              <w:rPr>
                <w:rFonts w:cs="Arial"/>
              </w:rPr>
            </w:pPr>
            <w:r w:rsidRPr="00D87D92">
              <w:rPr>
                <w:rFonts w:cs="Arial"/>
                <w:sz w:val="18"/>
                <w:szCs w:val="18"/>
              </w:rPr>
              <w:t>G13 Adaptive UWL thresholds — deploy family-specific or severity-adaptive alert thresholds calibrated to MRO minimum response time</w:t>
            </w:r>
          </w:p>
        </w:tc>
        <w:tc>
          <w:tcPr>
            <w:tcW w:w="1546" w:type="dxa"/>
            <w:shd w:val="clear" w:color="auto" w:fill="F0F4F8"/>
            <w:tcMar>
              <w:top w:w="80" w:type="dxa"/>
              <w:left w:w="120" w:type="dxa"/>
              <w:bottom w:w="80" w:type="dxa"/>
              <w:right w:w="120" w:type="dxa"/>
            </w:tcMar>
            <w:vAlign w:val="center"/>
          </w:tcPr>
          <w:p w14:paraId="1BEC5B0A" w14:textId="77777777" w:rsidR="00C24C4F" w:rsidRPr="005B0FA3" w:rsidRDefault="00C24C4F" w:rsidP="004D0D18">
            <w:pPr>
              <w:spacing w:before="100" w:beforeAutospacing="1" w:after="100" w:afterAutospacing="1"/>
              <w:rPr>
                <w:rFonts w:cs="Arial"/>
              </w:rPr>
            </w:pPr>
            <w:r w:rsidRPr="00D87D92">
              <w:rPr>
                <w:rFonts w:cs="Arial"/>
                <w:sz w:val="18"/>
                <w:szCs w:val="18"/>
              </w:rPr>
              <w:t>MANDATORY</w:t>
            </w:r>
          </w:p>
        </w:tc>
        <w:tc>
          <w:tcPr>
            <w:tcW w:w="3685" w:type="dxa"/>
            <w:shd w:val="clear" w:color="auto" w:fill="F0F4F8"/>
            <w:tcMar>
              <w:top w:w="80" w:type="dxa"/>
              <w:left w:w="120" w:type="dxa"/>
              <w:bottom w:w="80" w:type="dxa"/>
              <w:right w:w="120" w:type="dxa"/>
            </w:tcMar>
            <w:vAlign w:val="center"/>
          </w:tcPr>
          <w:p w14:paraId="556D4B8C" w14:textId="2DCC1CBB" w:rsidR="00C24C4F" w:rsidRPr="00CF43A3" w:rsidRDefault="00C24C4F" w:rsidP="004D0D18">
            <w:pPr>
              <w:spacing w:before="100" w:beforeAutospacing="1" w:after="100" w:afterAutospacing="1"/>
              <w:rPr>
                <w:rFonts w:cs="Arial"/>
                <w:sz w:val="18"/>
                <w:szCs w:val="18"/>
              </w:rPr>
            </w:pPr>
            <w:r w:rsidRPr="00D87D92">
              <w:rPr>
                <w:rFonts w:cs="Arial"/>
                <w:sz w:val="18"/>
                <w:szCs w:val="18"/>
              </w:rPr>
              <w:t xml:space="preserve">Family-specific threshold </w:t>
            </w:r>
            <w:r w:rsidR="00CF43A3" w:rsidRPr="00CF43A3">
              <w:rPr>
                <w:rFonts w:cs="Arial"/>
                <w:sz w:val="18"/>
                <w:szCs w:val="18"/>
              </w:rPr>
              <w:t xml:space="preserve">identified via sweep; baseline </w:t>
            </w:r>
            <m:oMath>
              <m:r>
                <m:rPr>
                  <m:sty m:val="p"/>
                </m:rPr>
                <w:rPr>
                  <w:rFonts w:ascii="Cambria Math" w:hAnsi="Cambria Math" w:cs="Arial"/>
                  <w:sz w:val="18"/>
                  <w:szCs w:val="18"/>
                </w:rPr>
                <m:t>∣</m:t>
              </m:r>
              <m:r>
                <w:rPr>
                  <w:rFonts w:ascii="Cambria Math" w:hAnsi="Cambria Math" w:cs="Arial"/>
                  <w:sz w:val="18"/>
                  <w:szCs w:val="18"/>
                </w:rPr>
                <m:t>z</m:t>
              </m:r>
              <m:r>
                <m:rPr>
                  <m:sty m:val="p"/>
                </m:rPr>
                <w:rPr>
                  <w:rFonts w:ascii="Cambria Math" w:hAnsi="Cambria Math" w:cs="Arial"/>
                  <w:sz w:val="18"/>
                  <w:szCs w:val="18"/>
                </w:rPr>
                <m:t>∣</m:t>
              </m:r>
              <m:r>
                <w:rPr>
                  <w:rFonts w:ascii="Cambria Math" w:hAnsi="Cambria Math" w:cs="Arial"/>
                  <w:sz w:val="18"/>
                  <w:szCs w:val="18"/>
                </w:rPr>
                <m:t>&gt;2.00</m:t>
              </m:r>
            </m:oMath>
            <w:r w:rsidR="00CF43A3">
              <w:rPr>
                <w:rFonts w:cs="Arial"/>
                <w:sz w:val="18"/>
                <w:szCs w:val="18"/>
              </w:rPr>
              <w:t xml:space="preserve"> </w:t>
            </w:r>
            <w:r w:rsidR="00CF43A3" w:rsidRPr="00CF43A3">
              <w:rPr>
                <w:rFonts w:cs="Arial"/>
                <w:sz w:val="18"/>
                <w:szCs w:val="18"/>
              </w:rPr>
              <w:t>yields P10 = 13 / 12 cycles (single/dual-fault) — both below MRO 20-cycle minimum; recalibrated threshold recovers P10 = 24 cycles for both families (CV = 0.649 / 0.841)</w:t>
            </w:r>
          </w:p>
        </w:tc>
      </w:tr>
      <w:tr w:rsidR="00C24C4F" w14:paraId="05F7D072" w14:textId="77777777" w:rsidTr="004D0D18">
        <w:tc>
          <w:tcPr>
            <w:tcW w:w="703" w:type="dxa"/>
            <w:shd w:val="clear" w:color="auto" w:fill="FFFFFF"/>
            <w:tcMar>
              <w:top w:w="80" w:type="dxa"/>
              <w:left w:w="120" w:type="dxa"/>
              <w:bottom w:w="80" w:type="dxa"/>
              <w:right w:w="120" w:type="dxa"/>
            </w:tcMar>
            <w:vAlign w:val="center"/>
          </w:tcPr>
          <w:p w14:paraId="37F83F15" w14:textId="77777777" w:rsidR="00C24C4F" w:rsidRPr="005B0FA3" w:rsidRDefault="00C24C4F" w:rsidP="004D0D18">
            <w:pPr>
              <w:spacing w:before="100" w:beforeAutospacing="1" w:after="100" w:afterAutospacing="1"/>
              <w:rPr>
                <w:rFonts w:cs="Arial"/>
              </w:rPr>
            </w:pPr>
            <w:r w:rsidRPr="005B0FA3">
              <w:rPr>
                <w:rFonts w:cs="Arial"/>
                <w:sz w:val="18"/>
                <w:szCs w:val="18"/>
              </w:rPr>
              <w:t>G3</w:t>
            </w:r>
          </w:p>
        </w:tc>
        <w:tc>
          <w:tcPr>
            <w:tcW w:w="3275" w:type="dxa"/>
            <w:shd w:val="clear" w:color="auto" w:fill="FFFFFF"/>
            <w:tcMar>
              <w:top w:w="80" w:type="dxa"/>
              <w:left w:w="120" w:type="dxa"/>
              <w:bottom w:w="80" w:type="dxa"/>
              <w:right w:w="120" w:type="dxa"/>
            </w:tcMar>
            <w:vAlign w:val="center"/>
          </w:tcPr>
          <w:p w14:paraId="4998DFB2" w14:textId="77777777" w:rsidR="00C24C4F" w:rsidRPr="005B0FA3" w:rsidRDefault="00C24C4F" w:rsidP="004D0D18">
            <w:pPr>
              <w:spacing w:before="100" w:beforeAutospacing="1" w:after="100" w:afterAutospacing="1"/>
              <w:rPr>
                <w:rFonts w:cs="Arial"/>
              </w:rPr>
            </w:pPr>
            <w:r w:rsidRPr="00D87D92">
              <w:rPr>
                <w:rFonts w:cs="Arial"/>
                <w:sz w:val="18"/>
                <w:szCs w:val="18"/>
              </w:rPr>
              <w:t>Survival model extension — evaluate Weibull AFT or random survival forests for improved discrimination on operational telemetry</w:t>
            </w:r>
          </w:p>
        </w:tc>
        <w:tc>
          <w:tcPr>
            <w:tcW w:w="1546" w:type="dxa"/>
            <w:shd w:val="clear" w:color="auto" w:fill="FFFFFF"/>
            <w:tcMar>
              <w:top w:w="80" w:type="dxa"/>
              <w:left w:w="120" w:type="dxa"/>
              <w:bottom w:w="80" w:type="dxa"/>
              <w:right w:w="120" w:type="dxa"/>
            </w:tcMar>
            <w:vAlign w:val="center"/>
          </w:tcPr>
          <w:p w14:paraId="08CA8C0E" w14:textId="77777777" w:rsidR="00C24C4F" w:rsidRPr="005B0FA3" w:rsidRDefault="00C24C4F" w:rsidP="004D0D18">
            <w:pPr>
              <w:spacing w:before="100" w:beforeAutospacing="1" w:after="100" w:afterAutospacing="1"/>
              <w:rPr>
                <w:rFonts w:cs="Arial"/>
              </w:rPr>
            </w:pPr>
            <w:r w:rsidRPr="00D87D92">
              <w:rPr>
                <w:rFonts w:cs="Arial"/>
                <w:sz w:val="18"/>
                <w:szCs w:val="18"/>
              </w:rPr>
              <w:t>ADVISORY</w:t>
            </w:r>
          </w:p>
        </w:tc>
        <w:tc>
          <w:tcPr>
            <w:tcW w:w="3685" w:type="dxa"/>
            <w:shd w:val="clear" w:color="auto" w:fill="FFFFFF"/>
            <w:tcMar>
              <w:top w:w="80" w:type="dxa"/>
              <w:left w:w="120" w:type="dxa"/>
              <w:bottom w:w="80" w:type="dxa"/>
              <w:right w:w="120" w:type="dxa"/>
            </w:tcMar>
            <w:vAlign w:val="center"/>
          </w:tcPr>
          <w:p w14:paraId="5D6BA723" w14:textId="77777777" w:rsidR="00C24C4F" w:rsidRPr="005B0FA3" w:rsidRDefault="00C24C4F" w:rsidP="004D0D18">
            <w:pPr>
              <w:spacing w:before="100" w:beforeAutospacing="1" w:after="100" w:afterAutospacing="1"/>
              <w:rPr>
                <w:rFonts w:cs="Arial"/>
              </w:rPr>
            </w:pPr>
            <w:r w:rsidRPr="00D87D92">
              <w:rPr>
                <w:rFonts w:cs="Arial"/>
                <w:sz w:val="18"/>
                <w:szCs w:val="18"/>
              </w:rPr>
              <w:t>Cox PH C-index = 0.6398 (moderate); parametric models may improve discrimination if proportional hazards assumption is violated in continuous flight data</w:t>
            </w:r>
          </w:p>
        </w:tc>
      </w:tr>
    </w:tbl>
    <w:p w14:paraId="13053A6A" w14:textId="7EE44044" w:rsidR="00765CE6" w:rsidRPr="000D6E34" w:rsidRDefault="00765CE6" w:rsidP="00765CE6">
      <w:pPr>
        <w:spacing w:before="100" w:beforeAutospacing="1" w:after="100" w:afterAutospacing="1"/>
        <w:rPr>
          <w:rFonts w:cs="Arial"/>
          <w:i/>
          <w:iCs/>
          <w:szCs w:val="20"/>
        </w:rPr>
      </w:pPr>
      <w:r w:rsidRPr="000D6E34">
        <w:rPr>
          <w:rFonts w:cs="Arial"/>
          <w:b/>
          <w:bCs/>
          <w:i/>
          <w:iCs/>
          <w:color w:val="1B3A5C"/>
          <w:szCs w:val="20"/>
        </w:rPr>
        <w:t xml:space="preserve">Table </w:t>
      </w:r>
      <w:r w:rsidR="00B53A9B">
        <w:rPr>
          <w:rFonts w:cs="Arial"/>
          <w:b/>
          <w:bCs/>
          <w:i/>
          <w:iCs/>
          <w:color w:val="1B3A5C"/>
          <w:szCs w:val="20"/>
        </w:rPr>
        <w:t>2</w:t>
      </w:r>
      <w:r w:rsidR="00C24C4F">
        <w:rPr>
          <w:rFonts w:cs="Arial"/>
          <w:b/>
          <w:bCs/>
          <w:i/>
          <w:iCs/>
          <w:color w:val="1B3A5C"/>
          <w:szCs w:val="20"/>
        </w:rPr>
        <w:t>1</w:t>
      </w:r>
      <w:r>
        <w:rPr>
          <w:rFonts w:cs="Arial"/>
          <w:b/>
          <w:bCs/>
          <w:i/>
          <w:iCs/>
          <w:color w:val="1B3A5C"/>
          <w:szCs w:val="20"/>
        </w:rPr>
        <w:t>.</w:t>
      </w:r>
      <w:r w:rsidRPr="000D6E34">
        <w:rPr>
          <w:rFonts w:cs="Arial"/>
          <w:b/>
          <w:bCs/>
          <w:i/>
          <w:iCs/>
          <w:color w:val="1B3A5C"/>
          <w:szCs w:val="20"/>
        </w:rPr>
        <w:t xml:space="preserve"> Phase 4 Transfer Items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3659"/>
        <w:gridCol w:w="1471"/>
        <w:gridCol w:w="3377"/>
      </w:tblGrid>
      <w:tr w:rsidR="00765CE6" w:rsidRPr="005B0FA3" w14:paraId="55FE5E08" w14:textId="77777777" w:rsidTr="00C8282E">
        <w:trPr>
          <w:tblHeader/>
        </w:trPr>
        <w:tc>
          <w:tcPr>
            <w:tcW w:w="70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4A9EB1A6" w14:textId="77777777" w:rsidR="00765CE6" w:rsidRPr="005B0FA3" w:rsidRDefault="00765CE6" w:rsidP="00296B4A">
            <w:pPr>
              <w:spacing w:before="100" w:beforeAutospacing="1" w:after="100" w:afterAutospacing="1"/>
              <w:rPr>
                <w:rFonts w:cs="Arial"/>
              </w:rPr>
            </w:pPr>
            <w:r w:rsidRPr="005B0FA3">
              <w:rPr>
                <w:rFonts w:cs="Arial"/>
                <w:b/>
                <w:bCs/>
                <w:color w:val="FFFFFF"/>
                <w:sz w:val="18"/>
                <w:szCs w:val="18"/>
              </w:rPr>
              <w:t>Item</w:t>
            </w:r>
          </w:p>
        </w:tc>
        <w:tc>
          <w:tcPr>
            <w:tcW w:w="368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5120F89" w14:textId="77777777" w:rsidR="00765CE6" w:rsidRPr="005B0FA3" w:rsidRDefault="00765CE6" w:rsidP="00296B4A">
            <w:pPr>
              <w:spacing w:before="100" w:beforeAutospacing="1" w:after="100" w:afterAutospacing="1"/>
              <w:rPr>
                <w:rFonts w:cs="Arial"/>
              </w:rPr>
            </w:pPr>
            <w:r w:rsidRPr="005B0FA3">
              <w:rPr>
                <w:rFonts w:cs="Arial"/>
                <w:b/>
                <w:bCs/>
                <w:color w:val="FFFFFF"/>
                <w:sz w:val="18"/>
                <w:szCs w:val="18"/>
              </w:rPr>
              <w:t>Description</w:t>
            </w:r>
          </w:p>
        </w:tc>
        <w:tc>
          <w:tcPr>
            <w:tcW w:w="14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0EAD9A1" w14:textId="77777777" w:rsidR="00765CE6" w:rsidRPr="005B0FA3" w:rsidRDefault="00765CE6" w:rsidP="00296B4A">
            <w:pPr>
              <w:spacing w:before="100" w:beforeAutospacing="1" w:after="100" w:afterAutospacing="1"/>
              <w:rPr>
                <w:rFonts w:cs="Arial"/>
              </w:rPr>
            </w:pPr>
            <w:r w:rsidRPr="005B0FA3">
              <w:rPr>
                <w:rFonts w:cs="Arial"/>
                <w:b/>
                <w:bCs/>
                <w:color w:val="FFFFFF"/>
                <w:sz w:val="18"/>
                <w:szCs w:val="18"/>
              </w:rPr>
              <w:t>Priority</w:t>
            </w:r>
          </w:p>
        </w:tc>
        <w:tc>
          <w:tcPr>
            <w:tcW w:w="3402"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CABCDAE" w14:textId="77777777" w:rsidR="00765CE6" w:rsidRPr="005B0FA3" w:rsidRDefault="00765CE6" w:rsidP="00296B4A">
            <w:pPr>
              <w:spacing w:before="100" w:beforeAutospacing="1" w:after="100" w:afterAutospacing="1"/>
              <w:rPr>
                <w:rFonts w:cs="Arial"/>
              </w:rPr>
            </w:pPr>
            <w:r w:rsidRPr="005B0FA3">
              <w:rPr>
                <w:rFonts w:cs="Arial"/>
                <w:b/>
                <w:bCs/>
                <w:color w:val="FFFFFF"/>
                <w:sz w:val="18"/>
                <w:szCs w:val="18"/>
              </w:rPr>
              <w:t>Triggering Evidence</w:t>
            </w:r>
          </w:p>
        </w:tc>
      </w:tr>
      <w:tr w:rsidR="00765CE6" w14:paraId="33ECE3EC" w14:textId="77777777" w:rsidTr="00C8282E">
        <w:tc>
          <w:tcPr>
            <w:tcW w:w="703" w:type="dxa"/>
            <w:shd w:val="clear" w:color="auto" w:fill="FFFFFF"/>
            <w:tcMar>
              <w:top w:w="80" w:type="dxa"/>
              <w:left w:w="120" w:type="dxa"/>
              <w:bottom w:w="80" w:type="dxa"/>
              <w:right w:w="120" w:type="dxa"/>
            </w:tcMar>
            <w:vAlign w:val="center"/>
          </w:tcPr>
          <w:p w14:paraId="1A6A403C" w14:textId="77777777" w:rsidR="00765CE6" w:rsidRPr="005B0FA3" w:rsidRDefault="00765CE6" w:rsidP="00296B4A">
            <w:pPr>
              <w:spacing w:before="100" w:beforeAutospacing="1" w:after="100" w:afterAutospacing="1"/>
              <w:rPr>
                <w:rFonts w:cs="Arial"/>
              </w:rPr>
            </w:pPr>
            <w:r w:rsidRPr="005B0FA3">
              <w:rPr>
                <w:rFonts w:cs="Arial"/>
                <w:sz w:val="18"/>
                <w:szCs w:val="18"/>
              </w:rPr>
              <w:t>G1</w:t>
            </w:r>
          </w:p>
        </w:tc>
        <w:tc>
          <w:tcPr>
            <w:tcW w:w="3687" w:type="dxa"/>
            <w:shd w:val="clear" w:color="auto" w:fill="FFFFFF"/>
            <w:tcMar>
              <w:top w:w="80" w:type="dxa"/>
              <w:left w:w="120" w:type="dxa"/>
              <w:bottom w:w="80" w:type="dxa"/>
              <w:right w:w="120" w:type="dxa"/>
            </w:tcMar>
            <w:vAlign w:val="center"/>
          </w:tcPr>
          <w:p w14:paraId="792F03C7" w14:textId="77777777" w:rsidR="00765CE6" w:rsidRPr="005B0FA3" w:rsidRDefault="00765CE6" w:rsidP="00296B4A">
            <w:pPr>
              <w:spacing w:before="100" w:beforeAutospacing="1" w:after="100" w:afterAutospacing="1"/>
              <w:rPr>
                <w:rFonts w:cs="Arial"/>
              </w:rPr>
            </w:pPr>
            <w:r w:rsidRPr="005B0FA3">
              <w:rPr>
                <w:rFonts w:cs="Arial"/>
                <w:sz w:val="18"/>
                <w:szCs w:val="18"/>
              </w:rPr>
              <w:t>G3 Dataset class imbalance — evaluate subset-stratified sampling if SHAP residuals show terminal bias</w:t>
            </w:r>
          </w:p>
        </w:tc>
        <w:tc>
          <w:tcPr>
            <w:tcW w:w="1417" w:type="dxa"/>
            <w:shd w:val="clear" w:color="auto" w:fill="FFFFFF"/>
            <w:tcMar>
              <w:top w:w="80" w:type="dxa"/>
              <w:left w:w="120" w:type="dxa"/>
              <w:bottom w:w="80" w:type="dxa"/>
              <w:right w:w="120" w:type="dxa"/>
            </w:tcMar>
            <w:vAlign w:val="center"/>
          </w:tcPr>
          <w:p w14:paraId="1BB0DC29" w14:textId="77777777" w:rsidR="00765CE6" w:rsidRPr="005B0FA3" w:rsidRDefault="00765CE6" w:rsidP="00296B4A">
            <w:pPr>
              <w:spacing w:before="100" w:beforeAutospacing="1" w:after="100" w:afterAutospacing="1"/>
              <w:rPr>
                <w:rFonts w:cs="Arial"/>
              </w:rPr>
            </w:pPr>
            <w:r w:rsidRPr="005B0FA3">
              <w:rPr>
                <w:rFonts w:cs="Arial"/>
                <w:sz w:val="18"/>
                <w:szCs w:val="18"/>
              </w:rPr>
              <w:t>CONDITIONAL</w:t>
            </w:r>
          </w:p>
        </w:tc>
        <w:tc>
          <w:tcPr>
            <w:tcW w:w="3402" w:type="dxa"/>
            <w:shd w:val="clear" w:color="auto" w:fill="FFFFFF"/>
            <w:tcMar>
              <w:top w:w="80" w:type="dxa"/>
              <w:left w:w="120" w:type="dxa"/>
              <w:bottom w:w="80" w:type="dxa"/>
              <w:right w:w="120" w:type="dxa"/>
            </w:tcMar>
            <w:vAlign w:val="center"/>
          </w:tcPr>
          <w:p w14:paraId="6AFAD5E7" w14:textId="77777777" w:rsidR="00765CE6" w:rsidRPr="005B0FA3" w:rsidRDefault="00765CE6" w:rsidP="00296B4A">
            <w:pPr>
              <w:spacing w:before="100" w:beforeAutospacing="1" w:after="100" w:afterAutospacing="1"/>
              <w:rPr>
                <w:rFonts w:cs="Arial"/>
              </w:rPr>
            </w:pPr>
            <w:r w:rsidRPr="005B0FA3">
              <w:rPr>
                <w:rFonts w:cs="Arial"/>
                <w:sz w:val="18"/>
                <w:szCs w:val="18"/>
              </w:rPr>
              <w:t xml:space="preserve">Terminal fraction 13.2%; </w:t>
            </w:r>
            <w:r>
              <w:rPr>
                <w:rFonts w:cs="Arial"/>
                <w:sz w:val="18"/>
                <w:szCs w:val="18"/>
              </w:rPr>
              <w:br/>
            </w:r>
            <w:r w:rsidRPr="005B0FA3">
              <w:rPr>
                <w:rFonts w:cs="Arial"/>
                <w:sz w:val="18"/>
                <w:szCs w:val="18"/>
              </w:rPr>
              <w:t>FD002/FD004 disproportionate weight</w:t>
            </w:r>
          </w:p>
        </w:tc>
      </w:tr>
      <w:tr w:rsidR="00765CE6" w14:paraId="183009AB" w14:textId="77777777" w:rsidTr="00C8282E">
        <w:tc>
          <w:tcPr>
            <w:tcW w:w="703" w:type="dxa"/>
            <w:shd w:val="clear" w:color="auto" w:fill="F0F4F8"/>
            <w:tcMar>
              <w:top w:w="80" w:type="dxa"/>
              <w:left w:w="120" w:type="dxa"/>
              <w:bottom w:w="80" w:type="dxa"/>
              <w:right w:w="120" w:type="dxa"/>
            </w:tcMar>
            <w:vAlign w:val="center"/>
          </w:tcPr>
          <w:p w14:paraId="21F0A8E2" w14:textId="77777777" w:rsidR="00765CE6" w:rsidRPr="005B0FA3" w:rsidRDefault="00765CE6" w:rsidP="00296B4A">
            <w:pPr>
              <w:spacing w:before="100" w:beforeAutospacing="1" w:after="100" w:afterAutospacing="1"/>
              <w:rPr>
                <w:rFonts w:cs="Arial"/>
              </w:rPr>
            </w:pPr>
            <w:r w:rsidRPr="005B0FA3">
              <w:rPr>
                <w:rFonts w:cs="Arial"/>
                <w:sz w:val="18"/>
                <w:szCs w:val="18"/>
              </w:rPr>
              <w:t>G2</w:t>
            </w:r>
          </w:p>
        </w:tc>
        <w:tc>
          <w:tcPr>
            <w:tcW w:w="3687" w:type="dxa"/>
            <w:shd w:val="clear" w:color="auto" w:fill="F0F4F8"/>
            <w:tcMar>
              <w:top w:w="80" w:type="dxa"/>
              <w:left w:w="120" w:type="dxa"/>
              <w:bottom w:w="80" w:type="dxa"/>
              <w:right w:w="120" w:type="dxa"/>
            </w:tcMar>
            <w:vAlign w:val="center"/>
          </w:tcPr>
          <w:p w14:paraId="288B98E8" w14:textId="77777777" w:rsidR="00765CE6" w:rsidRPr="005B0FA3" w:rsidRDefault="00765CE6" w:rsidP="00296B4A">
            <w:pPr>
              <w:spacing w:before="100" w:beforeAutospacing="1" w:after="100" w:afterAutospacing="1"/>
              <w:rPr>
                <w:rFonts w:cs="Arial"/>
              </w:rPr>
            </w:pPr>
            <w:r w:rsidRPr="005B0FA3">
              <w:rPr>
                <w:rFonts w:cs="Arial"/>
                <w:sz w:val="18"/>
                <w:szCs w:val="18"/>
              </w:rPr>
              <w:t>G9 s16 ablation — determine whether s16 and its kinematic features contribute signal or noise</w:t>
            </w:r>
          </w:p>
        </w:tc>
        <w:tc>
          <w:tcPr>
            <w:tcW w:w="1417" w:type="dxa"/>
            <w:shd w:val="clear" w:color="auto" w:fill="F0F4F8"/>
            <w:tcMar>
              <w:top w:w="80" w:type="dxa"/>
              <w:left w:w="120" w:type="dxa"/>
              <w:bottom w:w="80" w:type="dxa"/>
              <w:right w:w="120" w:type="dxa"/>
            </w:tcMar>
            <w:vAlign w:val="center"/>
          </w:tcPr>
          <w:p w14:paraId="0E75B59B" w14:textId="77777777" w:rsidR="00765CE6" w:rsidRPr="005B0FA3" w:rsidRDefault="00765CE6" w:rsidP="00296B4A">
            <w:pPr>
              <w:spacing w:before="100" w:beforeAutospacing="1" w:after="100" w:afterAutospacing="1"/>
              <w:rPr>
                <w:rFonts w:cs="Arial"/>
              </w:rPr>
            </w:pPr>
            <w:r w:rsidRPr="005B0FA3">
              <w:rPr>
                <w:rFonts w:cs="Arial"/>
                <w:sz w:val="18"/>
                <w:szCs w:val="18"/>
              </w:rPr>
              <w:t>MANDATORY</w:t>
            </w:r>
          </w:p>
        </w:tc>
        <w:tc>
          <w:tcPr>
            <w:tcW w:w="3402" w:type="dxa"/>
            <w:shd w:val="clear" w:color="auto" w:fill="F0F4F8"/>
            <w:tcMar>
              <w:top w:w="80" w:type="dxa"/>
              <w:left w:w="120" w:type="dxa"/>
              <w:bottom w:w="80" w:type="dxa"/>
              <w:right w:w="120" w:type="dxa"/>
            </w:tcMar>
            <w:vAlign w:val="center"/>
          </w:tcPr>
          <w:p w14:paraId="54C4AD0F" w14:textId="77777777" w:rsidR="00765CE6" w:rsidRPr="005B0FA3" w:rsidRDefault="00765CE6" w:rsidP="00296B4A">
            <w:pPr>
              <w:spacing w:before="100" w:beforeAutospacing="1" w:after="100" w:afterAutospacing="1"/>
              <w:rPr>
                <w:rFonts w:cs="Arial"/>
              </w:rPr>
            </w:pPr>
            <m:oMath>
              <m:r>
                <w:rPr>
                  <w:rFonts w:ascii="Cambria Math" w:hAnsi="Cambria Math" w:cs="Arial"/>
                  <w:sz w:val="18"/>
                  <w:szCs w:val="18"/>
                </w:rPr>
                <m:t>IQR=0</m:t>
              </m:r>
            </m:oMath>
            <w:r w:rsidRPr="005B0FA3">
              <w:rPr>
                <w:rFonts w:cs="Arial"/>
                <w:sz w:val="18"/>
                <w:szCs w:val="18"/>
              </w:rPr>
              <w:t xml:space="preserve"> in FD001/FD003; </w:t>
            </w:r>
            <w:r>
              <w:rPr>
                <w:rFonts w:cs="Arial"/>
                <w:sz w:val="18"/>
                <w:szCs w:val="18"/>
              </w:rPr>
              <w:br/>
            </w:r>
            <w:r w:rsidRPr="005B0FA3">
              <w:rPr>
                <w:rFonts w:cs="Arial"/>
                <w:sz w:val="18"/>
                <w:szCs w:val="18"/>
              </w:rPr>
              <w:t>near-zero variance in FD002/FD004</w:t>
            </w:r>
          </w:p>
        </w:tc>
      </w:tr>
      <w:tr w:rsidR="00765CE6" w14:paraId="2C9B2666" w14:textId="77777777" w:rsidTr="00C8282E">
        <w:tc>
          <w:tcPr>
            <w:tcW w:w="703" w:type="dxa"/>
            <w:shd w:val="clear" w:color="auto" w:fill="FFFFFF"/>
            <w:tcMar>
              <w:top w:w="80" w:type="dxa"/>
              <w:left w:w="120" w:type="dxa"/>
              <w:bottom w:w="80" w:type="dxa"/>
              <w:right w:w="120" w:type="dxa"/>
            </w:tcMar>
            <w:vAlign w:val="center"/>
          </w:tcPr>
          <w:p w14:paraId="05EFAA35" w14:textId="77777777" w:rsidR="00765CE6" w:rsidRPr="005B0FA3" w:rsidRDefault="00765CE6" w:rsidP="00296B4A">
            <w:pPr>
              <w:spacing w:before="100" w:beforeAutospacing="1" w:after="100" w:afterAutospacing="1"/>
              <w:rPr>
                <w:rFonts w:cs="Arial"/>
              </w:rPr>
            </w:pPr>
            <w:r w:rsidRPr="005B0FA3">
              <w:rPr>
                <w:rFonts w:cs="Arial"/>
                <w:sz w:val="18"/>
                <w:szCs w:val="18"/>
              </w:rPr>
              <w:t>G3</w:t>
            </w:r>
          </w:p>
        </w:tc>
        <w:tc>
          <w:tcPr>
            <w:tcW w:w="3687" w:type="dxa"/>
            <w:shd w:val="clear" w:color="auto" w:fill="FFFFFF"/>
            <w:tcMar>
              <w:top w:w="80" w:type="dxa"/>
              <w:left w:w="120" w:type="dxa"/>
              <w:bottom w:w="80" w:type="dxa"/>
              <w:right w:w="120" w:type="dxa"/>
            </w:tcMar>
            <w:vAlign w:val="center"/>
          </w:tcPr>
          <w:p w14:paraId="566178DC" w14:textId="77777777" w:rsidR="00765CE6" w:rsidRPr="005B0FA3" w:rsidRDefault="00765CE6" w:rsidP="00296B4A">
            <w:pPr>
              <w:spacing w:before="100" w:beforeAutospacing="1" w:after="100" w:afterAutospacing="1"/>
              <w:rPr>
                <w:rFonts w:cs="Arial"/>
              </w:rPr>
            </w:pPr>
            <w:r w:rsidRPr="005B0FA3">
              <w:rPr>
                <w:rFonts w:cs="Arial"/>
                <w:sz w:val="18"/>
                <w:szCs w:val="18"/>
              </w:rPr>
              <w:t xml:space="preserve">G7 </w:t>
            </w:r>
            <w:r w:rsidRPr="00EC5E36">
              <w:rPr>
                <w:rFonts w:ascii="Courier New" w:hAnsi="Courier New" w:cs="Courier New"/>
                <w:sz w:val="18"/>
                <w:szCs w:val="18"/>
              </w:rPr>
              <w:t>s9_s14_ratio</w:t>
            </w:r>
            <w:r w:rsidRPr="005B0FA3">
              <w:rPr>
                <w:rFonts w:cs="Arial"/>
                <w:sz w:val="18"/>
                <w:szCs w:val="18"/>
              </w:rPr>
              <w:t xml:space="preserve"> — audit SHAP importance; apply [P1, P99] clip if importance is low or residual variance high</w:t>
            </w:r>
          </w:p>
        </w:tc>
        <w:tc>
          <w:tcPr>
            <w:tcW w:w="1417" w:type="dxa"/>
            <w:shd w:val="clear" w:color="auto" w:fill="FFFFFF"/>
            <w:tcMar>
              <w:top w:w="80" w:type="dxa"/>
              <w:left w:w="120" w:type="dxa"/>
              <w:bottom w:w="80" w:type="dxa"/>
              <w:right w:w="120" w:type="dxa"/>
            </w:tcMar>
            <w:vAlign w:val="center"/>
          </w:tcPr>
          <w:p w14:paraId="7466864E" w14:textId="77777777" w:rsidR="00765CE6" w:rsidRPr="005B0FA3" w:rsidRDefault="00765CE6" w:rsidP="00296B4A">
            <w:pPr>
              <w:spacing w:before="100" w:beforeAutospacing="1" w:after="100" w:afterAutospacing="1"/>
              <w:rPr>
                <w:rFonts w:cs="Arial"/>
              </w:rPr>
            </w:pPr>
            <w:r w:rsidRPr="005B0FA3">
              <w:rPr>
                <w:rFonts w:cs="Arial"/>
                <w:sz w:val="18"/>
                <w:szCs w:val="18"/>
              </w:rPr>
              <w:t>MANDATORY</w:t>
            </w:r>
          </w:p>
        </w:tc>
        <w:tc>
          <w:tcPr>
            <w:tcW w:w="3402" w:type="dxa"/>
            <w:shd w:val="clear" w:color="auto" w:fill="FFFFFF"/>
            <w:tcMar>
              <w:top w:w="80" w:type="dxa"/>
              <w:left w:w="120" w:type="dxa"/>
              <w:bottom w:w="80" w:type="dxa"/>
              <w:right w:w="120" w:type="dxa"/>
            </w:tcMar>
            <w:vAlign w:val="center"/>
          </w:tcPr>
          <w:p w14:paraId="1C3B5E3E" w14:textId="77777777" w:rsidR="00765CE6" w:rsidRPr="005B0FA3" w:rsidRDefault="00765CE6" w:rsidP="00296B4A">
            <w:pPr>
              <w:spacing w:before="100" w:beforeAutospacing="1" w:after="100" w:afterAutospacing="1"/>
              <w:rPr>
                <w:rFonts w:cs="Arial"/>
              </w:rPr>
            </w:pPr>
            <m:oMath>
              <m:r>
                <w:rPr>
                  <w:rFonts w:ascii="Cambria Math" w:hAnsi="Cambria Math" w:cs="Arial"/>
                  <w:sz w:val="18"/>
                  <w:szCs w:val="18"/>
                </w:rPr>
                <m:t>std=650.60</m:t>
              </m:r>
            </m:oMath>
            <w:r w:rsidRPr="005B0FA3">
              <w:rPr>
                <w:rFonts w:cs="Arial"/>
                <w:sz w:val="18"/>
                <w:szCs w:val="18"/>
              </w:rPr>
              <w:t xml:space="preserve">; </w:t>
            </w:r>
            <w:r>
              <w:rPr>
                <w:rFonts w:cs="Arial"/>
                <w:sz w:val="18"/>
                <w:szCs w:val="18"/>
              </w:rPr>
              <w:br/>
            </w:r>
            <w:r w:rsidRPr="005B0FA3">
              <w:rPr>
                <w:rFonts w:cs="Arial"/>
                <w:sz w:val="18"/>
                <w:szCs w:val="18"/>
              </w:rPr>
              <w:t>bimodal distribution from safe-division fill</w:t>
            </w:r>
          </w:p>
        </w:tc>
      </w:tr>
      <w:tr w:rsidR="00765CE6" w14:paraId="1C34A617" w14:textId="77777777" w:rsidTr="00C8282E">
        <w:tc>
          <w:tcPr>
            <w:tcW w:w="703" w:type="dxa"/>
            <w:shd w:val="clear" w:color="auto" w:fill="F0F4F8"/>
            <w:tcMar>
              <w:top w:w="80" w:type="dxa"/>
              <w:left w:w="120" w:type="dxa"/>
              <w:bottom w:w="80" w:type="dxa"/>
              <w:right w:w="120" w:type="dxa"/>
            </w:tcMar>
            <w:vAlign w:val="center"/>
          </w:tcPr>
          <w:p w14:paraId="571CE188" w14:textId="77777777" w:rsidR="00765CE6" w:rsidRPr="005B0FA3" w:rsidRDefault="00765CE6" w:rsidP="00296B4A">
            <w:pPr>
              <w:spacing w:before="100" w:beforeAutospacing="1" w:after="100" w:afterAutospacing="1"/>
              <w:rPr>
                <w:rFonts w:cs="Arial"/>
              </w:rPr>
            </w:pPr>
            <w:r w:rsidRPr="005B0FA3">
              <w:rPr>
                <w:rFonts w:cs="Arial"/>
                <w:sz w:val="18"/>
                <w:szCs w:val="18"/>
              </w:rPr>
              <w:t>G4</w:t>
            </w:r>
          </w:p>
        </w:tc>
        <w:tc>
          <w:tcPr>
            <w:tcW w:w="3687" w:type="dxa"/>
            <w:shd w:val="clear" w:color="auto" w:fill="F0F4F8"/>
            <w:tcMar>
              <w:top w:w="80" w:type="dxa"/>
              <w:left w:w="120" w:type="dxa"/>
              <w:bottom w:w="80" w:type="dxa"/>
              <w:right w:w="120" w:type="dxa"/>
            </w:tcMar>
            <w:vAlign w:val="center"/>
          </w:tcPr>
          <w:p w14:paraId="0A050D61" w14:textId="77777777" w:rsidR="00765CE6" w:rsidRPr="005B0FA3" w:rsidRDefault="00765CE6" w:rsidP="00296B4A">
            <w:pPr>
              <w:spacing w:before="100" w:beforeAutospacing="1" w:after="100" w:afterAutospacing="1"/>
              <w:rPr>
                <w:rFonts w:cs="Arial"/>
              </w:rPr>
            </w:pPr>
            <w:r w:rsidRPr="005B0FA3">
              <w:rPr>
                <w:rFonts w:cs="Arial"/>
                <w:sz w:val="18"/>
                <w:szCs w:val="18"/>
              </w:rPr>
              <w:t xml:space="preserve">G7 </w:t>
            </w:r>
            <w:r w:rsidRPr="00EC5E36">
              <w:rPr>
                <w:rFonts w:ascii="Courier New" w:hAnsi="Courier New" w:cs="Courier New"/>
                <w:sz w:val="18"/>
                <w:szCs w:val="18"/>
              </w:rPr>
              <w:t>s8_s13_ratio</w:t>
            </w:r>
            <w:r w:rsidRPr="005B0FA3">
              <w:rPr>
                <w:rFonts w:cs="Arial"/>
                <w:sz w:val="18"/>
                <w:szCs w:val="18"/>
              </w:rPr>
              <w:t xml:space="preserve"> — audit SHAP importance; confirm ratio adds information beyond raw s8/s13 pair</w:t>
            </w:r>
          </w:p>
        </w:tc>
        <w:tc>
          <w:tcPr>
            <w:tcW w:w="1417" w:type="dxa"/>
            <w:shd w:val="clear" w:color="auto" w:fill="F0F4F8"/>
            <w:tcMar>
              <w:top w:w="80" w:type="dxa"/>
              <w:left w:w="120" w:type="dxa"/>
              <w:bottom w:w="80" w:type="dxa"/>
              <w:right w:w="120" w:type="dxa"/>
            </w:tcMar>
            <w:vAlign w:val="center"/>
          </w:tcPr>
          <w:p w14:paraId="7EDEF616" w14:textId="77777777" w:rsidR="00765CE6" w:rsidRPr="005B0FA3" w:rsidRDefault="00765CE6" w:rsidP="00296B4A">
            <w:pPr>
              <w:spacing w:before="100" w:beforeAutospacing="1" w:after="100" w:afterAutospacing="1"/>
              <w:rPr>
                <w:rFonts w:cs="Arial"/>
              </w:rPr>
            </w:pPr>
            <w:r w:rsidRPr="005B0FA3">
              <w:rPr>
                <w:rFonts w:cs="Arial"/>
                <w:sz w:val="18"/>
                <w:szCs w:val="18"/>
              </w:rPr>
              <w:t>ADVISORY</w:t>
            </w:r>
          </w:p>
        </w:tc>
        <w:tc>
          <w:tcPr>
            <w:tcW w:w="3402" w:type="dxa"/>
            <w:shd w:val="clear" w:color="auto" w:fill="F0F4F8"/>
            <w:tcMar>
              <w:top w:w="80" w:type="dxa"/>
              <w:left w:w="120" w:type="dxa"/>
              <w:bottom w:w="80" w:type="dxa"/>
              <w:right w:w="120" w:type="dxa"/>
            </w:tcMar>
            <w:vAlign w:val="center"/>
          </w:tcPr>
          <w:p w14:paraId="4A939E81" w14:textId="77777777" w:rsidR="00765CE6" w:rsidRPr="005B0FA3" w:rsidRDefault="00765CE6" w:rsidP="00296B4A">
            <w:pPr>
              <w:spacing w:before="100" w:beforeAutospacing="1" w:after="100" w:afterAutospacing="1"/>
              <w:rPr>
                <w:rFonts w:cs="Arial"/>
              </w:rPr>
            </w:pPr>
            <m:oMath>
              <m:r>
                <w:rPr>
                  <w:rFonts w:ascii="Cambria Math" w:hAnsi="Cambria Math" w:cs="Arial"/>
                  <w:sz w:val="18"/>
                  <w:szCs w:val="18"/>
                </w:rPr>
                <m:t>VIF=9.3</m:t>
              </m:r>
            </m:oMath>
            <w:r w:rsidRPr="005B0FA3">
              <w:rPr>
                <w:rFonts w:cs="Arial"/>
                <w:sz w:val="18"/>
                <w:szCs w:val="18"/>
              </w:rPr>
              <w:t xml:space="preserve">; </w:t>
            </w:r>
            <w:r>
              <w:rPr>
                <w:rFonts w:cs="Arial"/>
                <w:sz w:val="18"/>
                <w:szCs w:val="18"/>
              </w:rPr>
              <w:br/>
            </w:r>
            <w:r w:rsidRPr="005B0FA3">
              <w:rPr>
                <w:rFonts w:cs="Arial"/>
                <w:sz w:val="18"/>
                <w:szCs w:val="18"/>
              </w:rPr>
              <w:t xml:space="preserve">ratio </w:t>
            </w:r>
            <m:oMath>
              <m:r>
                <w:rPr>
                  <w:rFonts w:ascii="Cambria Math" w:hAnsi="Cambria Math" w:cs="Arial"/>
                  <w:sz w:val="18"/>
                  <w:szCs w:val="18"/>
                </w:rPr>
                <m:t>std=6.95</m:t>
              </m:r>
            </m:oMath>
            <w:r w:rsidRPr="005B0FA3">
              <w:rPr>
                <w:rFonts w:cs="Arial"/>
                <w:sz w:val="18"/>
                <w:szCs w:val="18"/>
              </w:rPr>
              <w:t xml:space="preserve"> (moderate; less acute than s9/s14)</w:t>
            </w:r>
          </w:p>
        </w:tc>
      </w:tr>
      <w:tr w:rsidR="00765CE6" w14:paraId="7A427203" w14:textId="77777777" w:rsidTr="00C8282E">
        <w:tc>
          <w:tcPr>
            <w:tcW w:w="703" w:type="dxa"/>
            <w:shd w:val="clear" w:color="auto" w:fill="FFFFFF"/>
            <w:tcMar>
              <w:top w:w="80" w:type="dxa"/>
              <w:left w:w="120" w:type="dxa"/>
              <w:bottom w:w="80" w:type="dxa"/>
              <w:right w:w="120" w:type="dxa"/>
            </w:tcMar>
            <w:vAlign w:val="center"/>
          </w:tcPr>
          <w:p w14:paraId="2AD4710F" w14:textId="77777777" w:rsidR="00765CE6" w:rsidRPr="005B0FA3" w:rsidRDefault="00765CE6" w:rsidP="00296B4A">
            <w:pPr>
              <w:spacing w:before="100" w:beforeAutospacing="1" w:after="100" w:afterAutospacing="1"/>
              <w:rPr>
                <w:rFonts w:cs="Arial"/>
              </w:rPr>
            </w:pPr>
            <w:r w:rsidRPr="005B0FA3">
              <w:rPr>
                <w:rFonts w:cs="Arial"/>
                <w:sz w:val="18"/>
                <w:szCs w:val="18"/>
              </w:rPr>
              <w:t>G</w:t>
            </w:r>
            <w:r>
              <w:rPr>
                <w:rFonts w:cs="Arial"/>
                <w:sz w:val="18"/>
                <w:szCs w:val="18"/>
              </w:rPr>
              <w:t>5</w:t>
            </w:r>
          </w:p>
        </w:tc>
        <w:tc>
          <w:tcPr>
            <w:tcW w:w="3687" w:type="dxa"/>
            <w:shd w:val="clear" w:color="auto" w:fill="FFFFFF"/>
            <w:tcMar>
              <w:top w:w="80" w:type="dxa"/>
              <w:left w:w="120" w:type="dxa"/>
              <w:bottom w:w="80" w:type="dxa"/>
              <w:right w:w="120" w:type="dxa"/>
            </w:tcMar>
            <w:vAlign w:val="center"/>
          </w:tcPr>
          <w:p w14:paraId="330228D6" w14:textId="22BDCBC4" w:rsidR="00765CE6" w:rsidRPr="005B0FA3" w:rsidRDefault="00765CE6" w:rsidP="00296B4A">
            <w:pPr>
              <w:spacing w:before="100" w:beforeAutospacing="1" w:after="100" w:afterAutospacing="1"/>
              <w:rPr>
                <w:rFonts w:cs="Arial"/>
              </w:rPr>
            </w:pPr>
            <w:r w:rsidRPr="005B0FA3">
              <w:rPr>
                <w:rFonts w:cs="Arial"/>
                <w:sz w:val="18"/>
                <w:szCs w:val="18"/>
              </w:rPr>
              <w:t xml:space="preserve">CPR and </w:t>
            </w:r>
            <m:oMath>
              <m:sSub>
                <m:sSubPr>
                  <m:ctrlPr>
                    <w:rPr>
                      <w:rFonts w:ascii="Cambria Math" w:hAnsi="Cambria Math" w:cs="Arial"/>
                      <w:i/>
                      <w:sz w:val="18"/>
                      <w:szCs w:val="18"/>
                    </w:rPr>
                  </m:ctrlPr>
                </m:sSubPr>
                <m:e>
                  <m:r>
                    <w:rPr>
                      <w:rFonts w:ascii="Cambria Math" w:hAnsi="Cambria Math" w:cs="Arial"/>
                      <w:sz w:val="18"/>
                      <w:szCs w:val="18"/>
                    </w:rPr>
                    <m:t>E</m:t>
                  </m:r>
                </m:e>
                <m:sub>
                  <m:r>
                    <w:rPr>
                      <w:rFonts w:ascii="Cambria Math" w:hAnsi="Cambria Math" w:cs="Arial"/>
                      <w:sz w:val="18"/>
                      <w:szCs w:val="18"/>
                    </w:rPr>
                    <m:t>thermal</m:t>
                  </m:r>
                </m:sub>
              </m:sSub>
            </m:oMath>
            <w:r w:rsidRPr="005B0FA3">
              <w:rPr>
                <w:rFonts w:cs="Arial"/>
                <w:sz w:val="18"/>
                <w:szCs w:val="18"/>
              </w:rPr>
              <w:t xml:space="preserve"> transformation — apply Yeo-Johnson</w:t>
            </w:r>
            <w:r w:rsidRPr="006A3807">
              <w:rPr>
                <w:rStyle w:val="FootnoteReference"/>
                <w:rFonts w:cs="Arial"/>
                <w:color w:val="E97132" w:themeColor="accent2"/>
                <w:sz w:val="18"/>
                <w:szCs w:val="18"/>
              </w:rPr>
              <w:footnoteReference w:id="15"/>
            </w:r>
            <w:r>
              <w:rPr>
                <w:rFonts w:cs="Arial"/>
                <w:sz w:val="18"/>
                <w:szCs w:val="18"/>
              </w:rPr>
              <w:t xml:space="preserve"> </w:t>
            </w:r>
            <w:sdt>
              <w:sdtPr>
                <w:rPr>
                  <w:rFonts w:cs="Arial"/>
                  <w:sz w:val="18"/>
                  <w:szCs w:val="18"/>
                </w:rPr>
                <w:id w:val="525995007"/>
                <w:citation/>
              </w:sdtPr>
              <w:sdtContent>
                <w:r>
                  <w:rPr>
                    <w:rFonts w:cs="Arial"/>
                    <w:sz w:val="18"/>
                    <w:szCs w:val="18"/>
                  </w:rPr>
                  <w:fldChar w:fldCharType="begin"/>
                </w:r>
                <w:r>
                  <w:rPr>
                    <w:rFonts w:cs="Arial"/>
                    <w:sz w:val="18"/>
                    <w:szCs w:val="18"/>
                  </w:rPr>
                  <w:instrText xml:space="preserve"> CITATION Yeo00 \l 2057 </w:instrText>
                </w:r>
                <w:r>
                  <w:rPr>
                    <w:rFonts w:cs="Arial"/>
                    <w:sz w:val="18"/>
                    <w:szCs w:val="18"/>
                  </w:rPr>
                  <w:fldChar w:fldCharType="separate"/>
                </w:r>
                <w:r w:rsidR="0074017E" w:rsidRPr="0074017E">
                  <w:rPr>
                    <w:rFonts w:cs="Arial"/>
                    <w:noProof/>
                    <w:sz w:val="18"/>
                    <w:szCs w:val="18"/>
                  </w:rPr>
                  <w:t>[17]</w:t>
                </w:r>
                <w:r>
                  <w:rPr>
                    <w:rFonts w:cs="Arial"/>
                    <w:sz w:val="18"/>
                    <w:szCs w:val="18"/>
                  </w:rPr>
                  <w:fldChar w:fldCharType="end"/>
                </w:r>
              </w:sdtContent>
            </w:sdt>
            <w:r w:rsidRPr="005B0FA3">
              <w:rPr>
                <w:rFonts w:cs="Arial"/>
                <w:sz w:val="18"/>
                <w:szCs w:val="18"/>
              </w:rPr>
              <w:t xml:space="preserve"> or rank normalisation before TFT/PatchTST training</w:t>
            </w:r>
          </w:p>
        </w:tc>
        <w:tc>
          <w:tcPr>
            <w:tcW w:w="1417" w:type="dxa"/>
            <w:shd w:val="clear" w:color="auto" w:fill="FFFFFF"/>
            <w:tcMar>
              <w:top w:w="80" w:type="dxa"/>
              <w:left w:w="120" w:type="dxa"/>
              <w:bottom w:w="80" w:type="dxa"/>
              <w:right w:w="120" w:type="dxa"/>
            </w:tcMar>
            <w:vAlign w:val="center"/>
          </w:tcPr>
          <w:p w14:paraId="74E57228" w14:textId="77777777" w:rsidR="00765CE6" w:rsidRPr="005B0FA3" w:rsidRDefault="00765CE6" w:rsidP="00296B4A">
            <w:pPr>
              <w:spacing w:before="100" w:beforeAutospacing="1" w:after="100" w:afterAutospacing="1"/>
              <w:rPr>
                <w:rFonts w:cs="Arial"/>
              </w:rPr>
            </w:pPr>
            <w:r w:rsidRPr="005B0FA3">
              <w:rPr>
                <w:rFonts w:cs="Arial"/>
                <w:sz w:val="18"/>
                <w:szCs w:val="18"/>
              </w:rPr>
              <w:t>MANDATORY</w:t>
            </w:r>
          </w:p>
        </w:tc>
        <w:tc>
          <w:tcPr>
            <w:tcW w:w="3402" w:type="dxa"/>
            <w:shd w:val="clear" w:color="auto" w:fill="FFFFFF"/>
            <w:tcMar>
              <w:top w:w="80" w:type="dxa"/>
              <w:left w:w="120" w:type="dxa"/>
              <w:bottom w:w="80" w:type="dxa"/>
              <w:right w:w="120" w:type="dxa"/>
            </w:tcMar>
            <w:vAlign w:val="center"/>
          </w:tcPr>
          <w:p w14:paraId="21594F43" w14:textId="77777777" w:rsidR="00765CE6" w:rsidRPr="005B0FA3" w:rsidRDefault="00765CE6" w:rsidP="00296B4A">
            <w:pPr>
              <w:spacing w:before="100" w:beforeAutospacing="1" w:after="100" w:afterAutospacing="1"/>
              <w:rPr>
                <w:rFonts w:cs="Arial"/>
              </w:rPr>
            </w:pPr>
            <w:r w:rsidRPr="005B0FA3">
              <w:rPr>
                <w:rFonts w:cs="Arial"/>
                <w:sz w:val="18"/>
                <w:szCs w:val="18"/>
              </w:rPr>
              <w:t xml:space="preserve">CPR </w:t>
            </w:r>
            <m:oMath>
              <m:r>
                <w:rPr>
                  <w:rFonts w:ascii="Cambria Math" w:hAnsi="Cambria Math" w:cs="Arial"/>
                  <w:sz w:val="18"/>
                  <w:szCs w:val="18"/>
                </w:rPr>
                <m:t>skew=41.20</m:t>
              </m:r>
            </m:oMath>
            <w:r w:rsidRPr="005B0FA3">
              <w:rPr>
                <w:rFonts w:cs="Arial"/>
                <w:sz w:val="18"/>
                <w:szCs w:val="18"/>
              </w:rPr>
              <w:t xml:space="preserve">, </w:t>
            </w:r>
            <w:r>
              <w:rPr>
                <w:rFonts w:cs="Arial"/>
                <w:sz w:val="18"/>
                <w:szCs w:val="18"/>
              </w:rPr>
              <w:br/>
            </w:r>
            <m:oMath>
              <m:sSub>
                <m:sSubPr>
                  <m:ctrlPr>
                    <w:rPr>
                      <w:rFonts w:ascii="Cambria Math" w:hAnsi="Cambria Math" w:cs="Arial"/>
                      <w:i/>
                      <w:sz w:val="18"/>
                      <w:szCs w:val="18"/>
                    </w:rPr>
                  </m:ctrlPr>
                </m:sSubPr>
                <m:e>
                  <m:r>
                    <w:rPr>
                      <w:rFonts w:ascii="Cambria Math" w:hAnsi="Cambria Math" w:cs="Arial"/>
                      <w:sz w:val="18"/>
                      <w:szCs w:val="18"/>
                    </w:rPr>
                    <m:t>E</m:t>
                  </m:r>
                </m:e>
                <m:sub>
                  <m:r>
                    <w:rPr>
                      <w:rFonts w:ascii="Cambria Math" w:hAnsi="Cambria Math" w:cs="Arial"/>
                      <w:sz w:val="18"/>
                      <w:szCs w:val="18"/>
                    </w:rPr>
                    <m:t>thermal</m:t>
                  </m:r>
                </m:sub>
              </m:sSub>
            </m:oMath>
            <w:r w:rsidRPr="005B0FA3">
              <w:rPr>
                <w:rFonts w:cs="Arial"/>
                <w:sz w:val="18"/>
                <w:szCs w:val="18"/>
              </w:rPr>
              <w:t xml:space="preserve"> </w:t>
            </w:r>
            <m:oMath>
              <m:r>
                <w:rPr>
                  <w:rFonts w:ascii="Cambria Math" w:hAnsi="Cambria Math" w:cs="Arial"/>
                  <w:sz w:val="18"/>
                  <w:szCs w:val="18"/>
                </w:rPr>
                <m:t>skew=171.82</m:t>
              </m:r>
            </m:oMath>
            <w:r w:rsidRPr="005B0FA3">
              <w:rPr>
                <w:rFonts w:cs="Arial"/>
                <w:sz w:val="18"/>
                <w:szCs w:val="18"/>
              </w:rPr>
              <w:t xml:space="preserve">; </w:t>
            </w:r>
            <w:r>
              <w:rPr>
                <w:rFonts w:cs="Arial"/>
                <w:sz w:val="18"/>
                <w:szCs w:val="18"/>
              </w:rPr>
              <w:br/>
            </w:r>
            <w:r w:rsidRPr="005B0FA3">
              <w:rPr>
                <w:rFonts w:cs="Arial"/>
                <w:sz w:val="18"/>
                <w:szCs w:val="18"/>
              </w:rPr>
              <w:t>XGBoost unaffected</w:t>
            </w:r>
          </w:p>
        </w:tc>
      </w:tr>
      <w:tr w:rsidR="00765CE6" w14:paraId="1D2A1100" w14:textId="77777777" w:rsidTr="00C8282E">
        <w:tc>
          <w:tcPr>
            <w:tcW w:w="703" w:type="dxa"/>
            <w:shd w:val="clear" w:color="auto" w:fill="F0F4F9"/>
            <w:tcMar>
              <w:top w:w="80" w:type="dxa"/>
              <w:left w:w="120" w:type="dxa"/>
              <w:bottom w:w="80" w:type="dxa"/>
              <w:right w:w="120" w:type="dxa"/>
            </w:tcMar>
            <w:vAlign w:val="center"/>
          </w:tcPr>
          <w:p w14:paraId="621CD187" w14:textId="77777777" w:rsidR="00765CE6" w:rsidRPr="005B0FA3" w:rsidRDefault="00765CE6" w:rsidP="00296B4A">
            <w:pPr>
              <w:spacing w:before="100" w:beforeAutospacing="1" w:after="100" w:afterAutospacing="1"/>
              <w:rPr>
                <w:rFonts w:cs="Arial"/>
              </w:rPr>
            </w:pPr>
            <w:r w:rsidRPr="005B0FA3">
              <w:rPr>
                <w:rFonts w:cs="Arial"/>
                <w:sz w:val="18"/>
                <w:szCs w:val="18"/>
              </w:rPr>
              <w:t>G</w:t>
            </w:r>
            <w:r>
              <w:rPr>
                <w:rFonts w:cs="Arial"/>
                <w:sz w:val="18"/>
                <w:szCs w:val="18"/>
              </w:rPr>
              <w:t>6</w:t>
            </w:r>
          </w:p>
        </w:tc>
        <w:tc>
          <w:tcPr>
            <w:tcW w:w="3687" w:type="dxa"/>
            <w:shd w:val="clear" w:color="auto" w:fill="F0F4F9"/>
            <w:tcMar>
              <w:top w:w="80" w:type="dxa"/>
              <w:left w:w="120" w:type="dxa"/>
              <w:bottom w:w="80" w:type="dxa"/>
              <w:right w:w="120" w:type="dxa"/>
            </w:tcMar>
            <w:vAlign w:val="center"/>
          </w:tcPr>
          <w:p w14:paraId="069F0C3A" w14:textId="77777777" w:rsidR="00765CE6" w:rsidRPr="005B0FA3" w:rsidRDefault="00765CE6" w:rsidP="00296B4A">
            <w:pPr>
              <w:spacing w:before="100" w:beforeAutospacing="1" w:after="100" w:afterAutospacing="1"/>
              <w:rPr>
                <w:rFonts w:cs="Arial"/>
              </w:rPr>
            </w:pPr>
            <w:r w:rsidRPr="005B0FA3">
              <w:rPr>
                <w:rFonts w:cs="Arial"/>
                <w:sz w:val="18"/>
                <w:szCs w:val="18"/>
              </w:rPr>
              <w:t>G4 Regime row imbalance — implement inverse-frequency regime weighting for neural network training</w:t>
            </w:r>
          </w:p>
        </w:tc>
        <w:tc>
          <w:tcPr>
            <w:tcW w:w="1417" w:type="dxa"/>
            <w:shd w:val="clear" w:color="auto" w:fill="F0F4F9"/>
            <w:tcMar>
              <w:top w:w="80" w:type="dxa"/>
              <w:left w:w="120" w:type="dxa"/>
              <w:bottom w:w="80" w:type="dxa"/>
              <w:right w:w="120" w:type="dxa"/>
            </w:tcMar>
            <w:vAlign w:val="center"/>
          </w:tcPr>
          <w:p w14:paraId="1EA4BAEE" w14:textId="77777777" w:rsidR="00765CE6" w:rsidRPr="005B0FA3" w:rsidRDefault="00765CE6" w:rsidP="00296B4A">
            <w:pPr>
              <w:spacing w:before="100" w:beforeAutospacing="1" w:after="100" w:afterAutospacing="1"/>
              <w:rPr>
                <w:rFonts w:cs="Arial"/>
              </w:rPr>
            </w:pPr>
            <w:r w:rsidRPr="005B0FA3">
              <w:rPr>
                <w:rFonts w:cs="Arial"/>
                <w:sz w:val="18"/>
                <w:szCs w:val="18"/>
              </w:rPr>
              <w:t>MANDATORY</w:t>
            </w:r>
          </w:p>
        </w:tc>
        <w:tc>
          <w:tcPr>
            <w:tcW w:w="3402" w:type="dxa"/>
            <w:shd w:val="clear" w:color="auto" w:fill="F0F4F9"/>
            <w:tcMar>
              <w:top w:w="80" w:type="dxa"/>
              <w:left w:w="120" w:type="dxa"/>
              <w:bottom w:w="80" w:type="dxa"/>
              <w:right w:w="120" w:type="dxa"/>
            </w:tcMar>
            <w:vAlign w:val="center"/>
          </w:tcPr>
          <w:p w14:paraId="30A3F63B" w14:textId="77777777" w:rsidR="00765CE6" w:rsidRPr="005B0FA3" w:rsidRDefault="00765CE6" w:rsidP="00296B4A">
            <w:pPr>
              <w:spacing w:before="100" w:beforeAutospacing="1" w:after="100" w:afterAutospacing="1"/>
              <w:rPr>
                <w:rFonts w:cs="Arial"/>
              </w:rPr>
            </w:pPr>
            <w:r w:rsidRPr="005B0FA3">
              <w:rPr>
                <w:rFonts w:cs="Arial"/>
                <w:sz w:val="18"/>
                <w:szCs w:val="18"/>
              </w:rPr>
              <w:t xml:space="preserve">Regime 0 = 42.4% of rows; </w:t>
            </w:r>
            <w:r>
              <w:rPr>
                <w:rFonts w:cs="Arial"/>
                <w:sz w:val="18"/>
                <w:szCs w:val="18"/>
              </w:rPr>
              <w:br/>
            </w:r>
            <w:r w:rsidRPr="005B0FA3">
              <w:rPr>
                <w:rFonts w:cs="Arial"/>
                <w:sz w:val="18"/>
                <w:szCs w:val="18"/>
              </w:rPr>
              <w:t>Regime 2/3/4 ≈ 10.7% each</w:t>
            </w:r>
          </w:p>
        </w:tc>
      </w:tr>
      <w:tr w:rsidR="00765CE6" w14:paraId="694A639A" w14:textId="77777777" w:rsidTr="00C8282E">
        <w:tc>
          <w:tcPr>
            <w:tcW w:w="703" w:type="dxa"/>
            <w:tcMar>
              <w:top w:w="80" w:type="dxa"/>
              <w:left w:w="120" w:type="dxa"/>
              <w:bottom w:w="80" w:type="dxa"/>
              <w:right w:w="120" w:type="dxa"/>
            </w:tcMar>
            <w:vAlign w:val="center"/>
          </w:tcPr>
          <w:p w14:paraId="71DADF20"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G7</w:t>
            </w:r>
          </w:p>
        </w:tc>
        <w:tc>
          <w:tcPr>
            <w:tcW w:w="3687" w:type="dxa"/>
            <w:tcMar>
              <w:top w:w="80" w:type="dxa"/>
              <w:left w:w="120" w:type="dxa"/>
              <w:bottom w:w="80" w:type="dxa"/>
              <w:right w:w="120" w:type="dxa"/>
            </w:tcMar>
            <w:vAlign w:val="center"/>
          </w:tcPr>
          <w:p w14:paraId="74AEBC51"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CPR denominator guard — replace z-space safe-division with physical-space ratio computed before normalisation</w:t>
            </w:r>
          </w:p>
        </w:tc>
        <w:tc>
          <w:tcPr>
            <w:tcW w:w="1417" w:type="dxa"/>
            <w:tcMar>
              <w:top w:w="80" w:type="dxa"/>
              <w:left w:w="120" w:type="dxa"/>
              <w:bottom w:w="80" w:type="dxa"/>
              <w:right w:w="120" w:type="dxa"/>
            </w:tcMar>
            <w:vAlign w:val="center"/>
          </w:tcPr>
          <w:p w14:paraId="6E7B6CA1" w14:textId="77777777" w:rsidR="00765CE6" w:rsidRPr="00016383" w:rsidRDefault="00765CE6" w:rsidP="00296B4A">
            <w:pPr>
              <w:spacing w:before="100" w:beforeAutospacing="1" w:after="100" w:afterAutospacing="1"/>
              <w:rPr>
                <w:rFonts w:cs="Arial"/>
                <w:sz w:val="18"/>
                <w:szCs w:val="18"/>
              </w:rPr>
            </w:pPr>
            <w:bookmarkStart w:id="24" w:name="OLE_LINK30"/>
            <w:r w:rsidRPr="00016383">
              <w:rPr>
                <w:rFonts w:cs="Arial"/>
                <w:sz w:val="18"/>
                <w:szCs w:val="18"/>
              </w:rPr>
              <w:t>ADVISORY</w:t>
            </w:r>
            <w:bookmarkEnd w:id="24"/>
          </w:p>
        </w:tc>
        <w:tc>
          <w:tcPr>
            <w:tcW w:w="3402" w:type="dxa"/>
            <w:tcMar>
              <w:top w:w="80" w:type="dxa"/>
              <w:left w:w="120" w:type="dxa"/>
              <w:bottom w:w="80" w:type="dxa"/>
              <w:right w:w="120" w:type="dxa"/>
            </w:tcMar>
            <w:vAlign w:val="center"/>
          </w:tcPr>
          <w:p w14:paraId="10034A69" w14:textId="358A6EA6" w:rsidR="00765CE6" w:rsidRPr="00016383" w:rsidRDefault="00765CE6" w:rsidP="00296B4A">
            <w:pPr>
              <w:spacing w:before="100" w:beforeAutospacing="1" w:after="100" w:afterAutospacing="1"/>
              <w:rPr>
                <w:rFonts w:cs="Arial"/>
                <w:sz w:val="18"/>
                <w:szCs w:val="18"/>
              </w:rPr>
            </w:pPr>
            <w:r w:rsidRPr="00016383">
              <w:rPr>
                <w:rFonts w:cs="Arial"/>
                <w:sz w:val="18"/>
                <w:szCs w:val="18"/>
              </w:rPr>
              <w:t>z-space denominator is regime-mean-relative</w:t>
            </w:r>
          </w:p>
        </w:tc>
      </w:tr>
      <w:tr w:rsidR="00765CE6" w14:paraId="240B02C0" w14:textId="77777777" w:rsidTr="00C8282E">
        <w:tc>
          <w:tcPr>
            <w:tcW w:w="703" w:type="dxa"/>
            <w:shd w:val="clear" w:color="auto" w:fill="F0F4F9"/>
            <w:tcMar>
              <w:top w:w="80" w:type="dxa"/>
              <w:left w:w="120" w:type="dxa"/>
              <w:bottom w:w="80" w:type="dxa"/>
              <w:right w:w="120" w:type="dxa"/>
            </w:tcMar>
            <w:vAlign w:val="center"/>
          </w:tcPr>
          <w:p w14:paraId="65DBF365"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G8</w:t>
            </w:r>
          </w:p>
        </w:tc>
        <w:tc>
          <w:tcPr>
            <w:tcW w:w="3687" w:type="dxa"/>
            <w:shd w:val="clear" w:color="auto" w:fill="F0F4F9"/>
            <w:tcMar>
              <w:top w:w="80" w:type="dxa"/>
              <w:left w:w="120" w:type="dxa"/>
              <w:bottom w:w="80" w:type="dxa"/>
              <w:right w:w="120" w:type="dxa"/>
            </w:tcMar>
          </w:tcPr>
          <w:p w14:paraId="42154B79"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 xml:space="preserve">NaN fill convention review — evaluate whether </w:t>
            </w:r>
            <w:r w:rsidRPr="00016383">
              <w:rPr>
                <w:rStyle w:val="HTMLCode"/>
                <w:rFonts w:ascii="Arial" w:hAnsi="Arial" w:cs="Arial"/>
                <w:sz w:val="18"/>
                <w:szCs w:val="18"/>
              </w:rPr>
              <w:t>fillna(0)</w:t>
            </w:r>
            <w:r w:rsidRPr="00016383">
              <w:rPr>
                <w:rFonts w:cs="Arial"/>
                <w:sz w:val="18"/>
                <w:szCs w:val="18"/>
              </w:rPr>
              <w:t xml:space="preserve"> is appropriate for all kinematic features at trajectory boundaries</w:t>
            </w:r>
          </w:p>
        </w:tc>
        <w:tc>
          <w:tcPr>
            <w:tcW w:w="1417" w:type="dxa"/>
            <w:shd w:val="clear" w:color="auto" w:fill="F0F4F9"/>
            <w:tcMar>
              <w:top w:w="80" w:type="dxa"/>
              <w:left w:w="120" w:type="dxa"/>
              <w:bottom w:w="80" w:type="dxa"/>
              <w:right w:w="120" w:type="dxa"/>
            </w:tcMar>
            <w:vAlign w:val="center"/>
          </w:tcPr>
          <w:p w14:paraId="45FD3C5F"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ADVISORY</w:t>
            </w:r>
          </w:p>
        </w:tc>
        <w:tc>
          <w:tcPr>
            <w:tcW w:w="3402" w:type="dxa"/>
            <w:shd w:val="clear" w:color="auto" w:fill="F0F4F9"/>
            <w:tcMar>
              <w:top w:w="80" w:type="dxa"/>
              <w:left w:w="120" w:type="dxa"/>
              <w:bottom w:w="80" w:type="dxa"/>
              <w:right w:w="120" w:type="dxa"/>
            </w:tcMar>
            <w:vAlign w:val="center"/>
          </w:tcPr>
          <w:p w14:paraId="1F01D311"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Physically reasonable for historical batch data; boundary behaviour at cycle 1 warrants explicit validation</w:t>
            </w:r>
          </w:p>
        </w:tc>
      </w:tr>
      <w:tr w:rsidR="00765CE6" w14:paraId="77242386" w14:textId="77777777" w:rsidTr="00C8282E">
        <w:tc>
          <w:tcPr>
            <w:tcW w:w="703" w:type="dxa"/>
            <w:shd w:val="clear" w:color="auto" w:fill="FFFFFF"/>
            <w:tcMar>
              <w:top w:w="80" w:type="dxa"/>
              <w:left w:w="120" w:type="dxa"/>
              <w:bottom w:w="80" w:type="dxa"/>
              <w:right w:w="120" w:type="dxa"/>
            </w:tcMar>
            <w:vAlign w:val="center"/>
          </w:tcPr>
          <w:p w14:paraId="557555D7"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G9</w:t>
            </w:r>
          </w:p>
        </w:tc>
        <w:tc>
          <w:tcPr>
            <w:tcW w:w="3687" w:type="dxa"/>
            <w:shd w:val="clear" w:color="auto" w:fill="FFFFFF"/>
            <w:tcMar>
              <w:top w:w="80" w:type="dxa"/>
              <w:left w:w="120" w:type="dxa"/>
              <w:bottom w:w="80" w:type="dxa"/>
              <w:right w:w="120" w:type="dxa"/>
            </w:tcMar>
            <w:vAlign w:val="center"/>
          </w:tcPr>
          <w:p w14:paraId="116B0DFF" w14:textId="78790AA8" w:rsidR="00765CE6" w:rsidRPr="00016383" w:rsidRDefault="00765CE6" w:rsidP="00296B4A">
            <w:pPr>
              <w:spacing w:before="100" w:beforeAutospacing="1" w:after="100" w:afterAutospacing="1"/>
              <w:rPr>
                <w:rFonts w:cs="Arial"/>
                <w:sz w:val="18"/>
                <w:szCs w:val="18"/>
              </w:rPr>
            </w:pPr>
            <w:r w:rsidRPr="00016383">
              <w:rPr>
                <w:rFonts w:cs="Arial"/>
                <w:sz w:val="18"/>
                <w:szCs w:val="18"/>
              </w:rPr>
              <w:t xml:space="preserve">Gate 2 reporting fix — correct gap-resolution feature count reporting in Cell </w:t>
            </w:r>
            <w:r w:rsidR="002A3148">
              <w:rPr>
                <w:rFonts w:cs="Arial"/>
                <w:sz w:val="18"/>
                <w:szCs w:val="18"/>
              </w:rPr>
              <w:t>30</w:t>
            </w:r>
            <w:r w:rsidRPr="00016383">
              <w:rPr>
                <w:rFonts w:cs="Arial"/>
                <w:sz w:val="18"/>
                <w:szCs w:val="18"/>
              </w:rPr>
              <w:t>; pre-snapshot sequencing causes gap features to report as 0</w:t>
            </w:r>
          </w:p>
        </w:tc>
        <w:tc>
          <w:tcPr>
            <w:tcW w:w="1417" w:type="dxa"/>
            <w:shd w:val="clear" w:color="auto" w:fill="FFFFFF"/>
            <w:tcMar>
              <w:top w:w="80" w:type="dxa"/>
              <w:left w:w="120" w:type="dxa"/>
              <w:bottom w:w="80" w:type="dxa"/>
              <w:right w:w="120" w:type="dxa"/>
            </w:tcMar>
            <w:vAlign w:val="center"/>
          </w:tcPr>
          <w:p w14:paraId="5304B0E6" w14:textId="77777777" w:rsidR="00765CE6" w:rsidRPr="00016383" w:rsidRDefault="00765CE6" w:rsidP="00296B4A">
            <w:pPr>
              <w:spacing w:before="100" w:beforeAutospacing="1" w:after="100" w:afterAutospacing="1"/>
              <w:rPr>
                <w:rFonts w:cs="Arial"/>
                <w:sz w:val="18"/>
                <w:szCs w:val="18"/>
              </w:rPr>
            </w:pPr>
            <w:r w:rsidRPr="00016383">
              <w:rPr>
                <w:rFonts w:cs="Arial"/>
                <w:sz w:val="18"/>
                <w:szCs w:val="18"/>
              </w:rPr>
              <w:t>ADVISORY</w:t>
            </w:r>
          </w:p>
        </w:tc>
        <w:tc>
          <w:tcPr>
            <w:tcW w:w="3402" w:type="dxa"/>
            <w:shd w:val="clear" w:color="auto" w:fill="FFFFFF"/>
            <w:tcMar>
              <w:top w:w="80" w:type="dxa"/>
              <w:left w:w="120" w:type="dxa"/>
              <w:bottom w:w="80" w:type="dxa"/>
              <w:right w:w="120" w:type="dxa"/>
            </w:tcMar>
            <w:vAlign w:val="center"/>
          </w:tcPr>
          <w:p w14:paraId="76034968" w14:textId="3EB155AE" w:rsidR="00765CE6" w:rsidRPr="00016383" w:rsidRDefault="00765CE6" w:rsidP="00296B4A">
            <w:pPr>
              <w:spacing w:before="100" w:beforeAutospacing="1" w:after="100" w:afterAutospacing="1"/>
              <w:rPr>
                <w:rFonts w:cs="Arial"/>
                <w:sz w:val="18"/>
                <w:szCs w:val="18"/>
              </w:rPr>
            </w:pPr>
            <w:r w:rsidRPr="00016383">
              <w:rPr>
                <w:rFonts w:cs="Arial"/>
                <w:sz w:val="18"/>
                <w:szCs w:val="18"/>
              </w:rPr>
              <w:t xml:space="preserve">Gap features report as 0 in Cell </w:t>
            </w:r>
            <w:r w:rsidR="002A3148">
              <w:rPr>
                <w:rFonts w:cs="Arial"/>
                <w:sz w:val="18"/>
                <w:szCs w:val="18"/>
              </w:rPr>
              <w:t>30</w:t>
            </w:r>
            <w:r w:rsidRPr="00016383">
              <w:rPr>
                <w:rFonts w:cs="Arial"/>
                <w:sz w:val="18"/>
                <w:szCs w:val="18"/>
              </w:rPr>
              <w:t xml:space="preserve"> output despite being present in </w:t>
            </w:r>
            <m:oMath>
              <m:r>
                <m:rPr>
                  <m:sty m:val="b"/>
                </m:rPr>
                <w:rPr>
                  <w:rFonts w:ascii="Cambria Math" w:hAnsi="Cambria Math" w:cs="Arial"/>
                  <w:sz w:val="18"/>
                  <w:szCs w:val="18"/>
                </w:rPr>
                <m:t>X</m:t>
              </m:r>
            </m:oMath>
            <w:r w:rsidRPr="00016383">
              <w:rPr>
                <w:rFonts w:cs="Arial"/>
                <w:sz w:val="18"/>
                <w:szCs w:val="18"/>
              </w:rPr>
              <w:t>; arithmetic correct but diagnostic misleading</w:t>
            </w:r>
          </w:p>
        </w:tc>
      </w:tr>
    </w:tbl>
    <w:bookmarkEnd w:id="22"/>
    <w:bookmarkEnd w:id="23"/>
    <w:p w14:paraId="57564E95" w14:textId="795740EB" w:rsidR="00A807E4" w:rsidRPr="005B0FA3" w:rsidRDefault="00000000" w:rsidP="00623C1B">
      <w:pPr>
        <w:pStyle w:val="Heading1"/>
        <w:spacing w:before="100" w:beforeAutospacing="1" w:after="100" w:afterAutospacing="1"/>
      </w:pPr>
      <w:r w:rsidRPr="005B0FA3">
        <w:lastRenderedPageBreak/>
        <w:t>11. Conclusion</w:t>
      </w:r>
    </w:p>
    <w:p w14:paraId="10A4F2EB" w14:textId="77777777" w:rsidR="00C24C4F" w:rsidRPr="00D87D92" w:rsidRDefault="00C24C4F" w:rsidP="00C24C4F">
      <w:pPr>
        <w:spacing w:before="100" w:beforeAutospacing="1" w:after="100" w:afterAutospacing="1"/>
        <w:jc w:val="both"/>
        <w:rPr>
          <w:rFonts w:cs="Arial"/>
          <w:szCs w:val="20"/>
        </w:rPr>
      </w:pPr>
      <w:r w:rsidRPr="00D87D92">
        <w:rPr>
          <w:rFonts w:cs="Arial"/>
          <w:szCs w:val="20"/>
        </w:rPr>
        <w:t xml:space="preserve">Phase 3 of the FusionCore </w:t>
      </w:r>
      <m:oMath>
        <m:sSub>
          <m:sSubPr>
            <m:ctrlPr>
              <w:rPr>
                <w:rFonts w:ascii="Cambria Math" w:hAnsi="Cambria Math" w:cs="Arial"/>
                <w:szCs w:val="20"/>
              </w:rPr>
            </m:ctrlPr>
          </m:sSubPr>
          <m:e>
            <m:r>
              <w:rPr>
                <w:rFonts w:ascii="Cambria Math" w:hAnsi="Cambria Math" w:cs="Arial"/>
                <w:szCs w:val="20"/>
              </w:rPr>
              <m:t>v</m:t>
            </m:r>
          </m:e>
          <m:sub>
            <m:r>
              <w:rPr>
                <w:rFonts w:ascii="Cambria Math" w:hAnsi="Cambria Math" w:cs="Arial"/>
                <w:szCs w:val="20"/>
              </w:rPr>
              <m:t>0</m:t>
            </m:r>
          </m:sub>
        </m:sSub>
      </m:oMath>
      <w:r>
        <w:rPr>
          <w:rFonts w:cs="Arial"/>
          <w:szCs w:val="20"/>
        </w:rPr>
        <w:t xml:space="preserve"> </w:t>
      </w:r>
      <w:r w:rsidRPr="00D87D92">
        <w:rPr>
          <w:rFonts w:cs="Arial"/>
          <w:szCs w:val="20"/>
        </w:rPr>
        <w:t xml:space="preserve">pipeline successfully resolves seven of the thirteen outstanding gaps from Phases 1 and 2, documents the remaining six with justified deferrals, and constructs a 91-feature physics-aware dynamic feature vector that constitutes the complete input to Phase 4 model training. All seven gap resolution assertions and all six Feature Engineering Gates pass, confirming pipeline integrity, zero data leakage, and physical consistency of the engineered features. </w:t>
      </w:r>
    </w:p>
    <w:p w14:paraId="2307E243" w14:textId="77777777" w:rsidR="00C24C4F" w:rsidRPr="00D87D92" w:rsidRDefault="00C24C4F" w:rsidP="00C24C4F">
      <w:pPr>
        <w:spacing w:before="100" w:beforeAutospacing="1" w:after="100" w:afterAutospacing="1"/>
        <w:jc w:val="both"/>
        <w:rPr>
          <w:rFonts w:cs="Arial"/>
          <w:szCs w:val="20"/>
        </w:rPr>
      </w:pPr>
      <w:r w:rsidRPr="00D87D92">
        <w:rPr>
          <w:rFonts w:cs="Arial"/>
          <w:szCs w:val="20"/>
        </w:rPr>
        <w:t>The feature engineering strategy is grounded in established aerospace thermodynamics (isentropic efficiency, EGT margin, corrected speed theory), statistical degradation modelling (Miner's Rule cumulative damage), time-series analysis principles (first-difference operators, rolling window estimation), and survival analysis (Kaplan-Meier estimation, Cox Proportional Hazards modelling). The resulting feature matrix provides the Phase 4 XGBoost baseline and SOTA benchmark architectures (DeepAR, TFT, PatchTST) with a common, physically interpretable input representation.</w:t>
      </w:r>
    </w:p>
    <w:p w14:paraId="007FE35C" w14:textId="17DFE73C" w:rsidR="00C24C4F" w:rsidRPr="00D87D92" w:rsidRDefault="00C24C4F" w:rsidP="00C24C4F">
      <w:pPr>
        <w:spacing w:before="100" w:beforeAutospacing="1" w:after="100" w:afterAutospacing="1"/>
        <w:jc w:val="both"/>
        <w:rPr>
          <w:rFonts w:cs="Arial"/>
          <w:szCs w:val="20"/>
        </w:rPr>
      </w:pPr>
      <w:r w:rsidRPr="00D87D92">
        <w:rPr>
          <w:rFonts w:cs="Arial"/>
          <w:szCs w:val="20"/>
        </w:rPr>
        <w:t xml:space="preserve">The G12 survival analysis confirms s4 (EGT) as the dominant failure hazard predictor (HR = 4.70, </w:t>
      </w:r>
      <m:oMath>
        <m:r>
          <w:rPr>
            <w:rFonts w:ascii="Cambria Math" w:hAnsi="Cambria Math" w:cs="Arial"/>
            <w:szCs w:val="20"/>
          </w:rPr>
          <m:t>p&lt;0.005</m:t>
        </m:r>
      </m:oMath>
      <w:r w:rsidRPr="00D87D92">
        <w:rPr>
          <w:rFonts w:cs="Arial"/>
          <w:szCs w:val="20"/>
        </w:rPr>
        <w:t xml:space="preserve">) and establishes the Kaplan-Meier empirical survival function as the foundation for probabilistic maintenance scheduling. The G13 UWL recalibration demonstrates that tightening the alert threshold from </w:t>
      </w:r>
      <m:oMath>
        <m:r>
          <m:rPr>
            <m:sty m:val="p"/>
          </m:rPr>
          <w:rPr>
            <w:rFonts w:ascii="Cambria Math" w:hAnsi="Cambria Math" w:cs="Arial"/>
            <w:szCs w:val="20"/>
          </w:rPr>
          <m:t>∣</m:t>
        </m:r>
        <m:r>
          <w:rPr>
            <w:rFonts w:ascii="Cambria Math" w:hAnsi="Cambria Math" w:cs="Arial"/>
            <w:szCs w:val="20"/>
          </w:rPr>
          <m:t>z</m:t>
        </m:r>
        <m:r>
          <m:rPr>
            <m:sty m:val="p"/>
          </m:rPr>
          <w:rPr>
            <w:rFonts w:ascii="Cambria Math" w:hAnsi="Cambria Math" w:cs="Arial"/>
            <w:szCs w:val="20"/>
          </w:rPr>
          <m:t>∣</m:t>
        </m:r>
        <m:r>
          <w:rPr>
            <w:rFonts w:ascii="Cambria Math" w:hAnsi="Cambria Math" w:cs="Arial"/>
            <w:szCs w:val="20"/>
          </w:rPr>
          <m:t>&gt;2.00</m:t>
        </m:r>
      </m:oMath>
      <w:r>
        <w:rPr>
          <w:rFonts w:cs="Arial"/>
          <w:szCs w:val="20"/>
        </w:rPr>
        <w:t xml:space="preserve"> </w:t>
      </w:r>
      <w:r w:rsidRPr="00D87D92">
        <w:rPr>
          <w:rFonts w:cs="Arial"/>
          <w:szCs w:val="20"/>
        </w:rPr>
        <w:t xml:space="preserve">to </w:t>
      </w:r>
      <m:oMath>
        <m:r>
          <m:rPr>
            <m:sty m:val="p"/>
          </m:rPr>
          <w:rPr>
            <w:rFonts w:ascii="Cambria Math" w:hAnsi="Cambria Math" w:cs="Arial"/>
            <w:szCs w:val="20"/>
          </w:rPr>
          <m:t>∣</m:t>
        </m:r>
        <m:r>
          <w:rPr>
            <w:rFonts w:ascii="Cambria Math" w:hAnsi="Cambria Math" w:cs="Arial"/>
            <w:szCs w:val="20"/>
          </w:rPr>
          <m:t>z</m:t>
        </m:r>
        <m:r>
          <m:rPr>
            <m:sty m:val="p"/>
          </m:rPr>
          <w:rPr>
            <w:rFonts w:ascii="Cambria Math" w:hAnsi="Cambria Math" w:cs="Arial"/>
            <w:szCs w:val="20"/>
          </w:rPr>
          <m:t>∣</m:t>
        </m:r>
        <m:r>
          <w:rPr>
            <w:rFonts w:ascii="Cambria Math" w:hAnsi="Cambria Math" w:cs="Arial"/>
            <w:szCs w:val="20"/>
          </w:rPr>
          <m:t>&gt;1.75</m:t>
        </m:r>
      </m:oMath>
      <w:r>
        <w:rPr>
          <w:rFonts w:cs="Arial"/>
          <w:szCs w:val="20"/>
        </w:rPr>
        <w:t xml:space="preserve"> </w:t>
      </w:r>
      <w:r w:rsidRPr="00D87D92">
        <w:rPr>
          <w:rFonts w:cs="Arial"/>
          <w:szCs w:val="20"/>
        </w:rPr>
        <w:t xml:space="preserve">recovers sufficient P10 lead time (24 cycles) for both fault mode families while reducing the P-F interval CV from 0.912/1.196 to 0.649/0.841. Both survival analysis integration and adaptive threshold deployment are formally transferred to Phase 5 via Table </w:t>
      </w:r>
      <w:r>
        <w:rPr>
          <w:rFonts w:cs="Arial"/>
          <w:szCs w:val="20"/>
        </w:rPr>
        <w:t>20</w:t>
      </w:r>
      <w:r w:rsidRPr="00D87D92">
        <w:rPr>
          <w:rFonts w:cs="Arial"/>
          <w:szCs w:val="20"/>
        </w:rPr>
        <w:t xml:space="preserve">. </w:t>
      </w:r>
    </w:p>
    <w:p w14:paraId="4541EAAE" w14:textId="56D998E9" w:rsidR="00C24C4F" w:rsidRPr="00D87D92" w:rsidRDefault="00C24C4F" w:rsidP="00C24C4F">
      <w:pPr>
        <w:spacing w:before="100" w:beforeAutospacing="1" w:after="100" w:afterAutospacing="1"/>
        <w:jc w:val="both"/>
        <w:rPr>
          <w:rFonts w:cs="Arial"/>
          <w:szCs w:val="20"/>
        </w:rPr>
      </w:pPr>
      <w:r w:rsidRPr="00D87D92">
        <w:rPr>
          <w:rFonts w:cs="Arial"/>
          <w:szCs w:val="20"/>
        </w:rPr>
        <w:t xml:space="preserve">Nine residual concerns are formally transferred to Phase 4 via Table </w:t>
      </w:r>
      <w:r>
        <w:rPr>
          <w:rFonts w:cs="Arial"/>
          <w:szCs w:val="20"/>
        </w:rPr>
        <w:t>21</w:t>
      </w:r>
      <w:r w:rsidRPr="00D87D92">
        <w:rPr>
          <w:rFonts w:cs="Arial"/>
          <w:szCs w:val="20"/>
        </w:rPr>
        <w:t xml:space="preserve">. The primary risk is the extreme tail behaviour of CPR and </w:t>
      </w:r>
      <m:oMath>
        <m:sSub>
          <m:sSubPr>
            <m:ctrlPr>
              <w:rPr>
                <w:rFonts w:ascii="Cambria Math" w:hAnsi="Cambria Math" w:cs="Arial"/>
                <w:szCs w:val="20"/>
              </w:rPr>
            </m:ctrlPr>
          </m:sSubPr>
          <m:e>
            <m:r>
              <w:rPr>
                <w:rFonts w:ascii="Cambria Math" w:hAnsi="Cambria Math" w:cs="Arial"/>
                <w:szCs w:val="20"/>
              </w:rPr>
              <m:t>E</m:t>
            </m:r>
          </m:e>
          <m:sub>
            <m:r>
              <m:rPr>
                <m:nor/>
              </m:rPr>
              <w:rPr>
                <w:rFonts w:cs="Arial"/>
                <w:szCs w:val="20"/>
              </w:rPr>
              <m:t>thermal</m:t>
            </m:r>
          </m:sub>
        </m:sSub>
      </m:oMath>
      <w:r w:rsidR="0071243C">
        <w:rPr>
          <w:rFonts w:cs="Arial"/>
          <w:szCs w:val="20"/>
        </w:rPr>
        <w:t xml:space="preserve"> </w:t>
      </w:r>
      <w:r w:rsidRPr="00D87D92">
        <w:rPr>
          <w:rFonts w:cs="Arial"/>
          <w:szCs w:val="20"/>
        </w:rPr>
        <w:t xml:space="preserve">(skewness 41.20 and 171.82 respectively), which requires SHAP monitoring in Phase 4 and mandatory Yeo-Johnson transformation before neural network training. The </w:t>
      </w:r>
      <w:r w:rsidRPr="00D87D92">
        <w:rPr>
          <w:rFonts w:ascii="Courier New" w:hAnsi="Courier New" w:cs="Courier New"/>
          <w:szCs w:val="20"/>
        </w:rPr>
        <w:t>s9_s14_ratio</w:t>
      </w:r>
      <w:r w:rsidRPr="00D87D92">
        <w:rPr>
          <w:rFonts w:cs="Arial"/>
          <w:szCs w:val="20"/>
        </w:rPr>
        <w:t xml:space="preserve"> high-variance distribution (</w:t>
      </w:r>
      <m:oMath>
        <m:r>
          <w:rPr>
            <w:rFonts w:ascii="Cambria Math" w:hAnsi="Cambria Math" w:cs="Arial"/>
            <w:szCs w:val="20"/>
          </w:rPr>
          <m:t>std=650.60</m:t>
        </m:r>
      </m:oMath>
      <w:r w:rsidRPr="00D87D92">
        <w:rPr>
          <w:rFonts w:cs="Arial"/>
          <w:szCs w:val="20"/>
        </w:rPr>
        <w:t xml:space="preserve">) is a secondary risk requiring SHAP-based triage. All remaining transfer items are documented with priority classifications and triggering evidence in Table </w:t>
      </w:r>
      <w:r>
        <w:rPr>
          <w:rFonts w:cs="Arial"/>
          <w:szCs w:val="20"/>
        </w:rPr>
        <w:t>21</w:t>
      </w:r>
      <w:r w:rsidRPr="00D87D92">
        <w:rPr>
          <w:rFonts w:cs="Arial"/>
          <w:szCs w:val="20"/>
        </w:rPr>
        <w:t>.</w:t>
      </w:r>
    </w:p>
    <w:p w14:paraId="0E775D4B" w14:textId="77777777" w:rsidR="00656B77" w:rsidRDefault="00656B77">
      <w:pPr>
        <w:rPr>
          <w:rFonts w:cs="Arial"/>
        </w:rPr>
      </w:pPr>
      <w:r>
        <w:rPr>
          <w:rFonts w:cs="Arial"/>
        </w:rPr>
        <w:br w:type="page"/>
      </w:r>
    </w:p>
    <w:sdt>
      <w:sdtPr>
        <w:rPr>
          <w:rFonts w:ascii="Times New Roman" w:eastAsia="Times New Roman" w:hAnsi="Times New Roman" w:cs="Times New Roman"/>
          <w:b w:val="0"/>
          <w:bCs w:val="0"/>
          <w:color w:val="2D2D2D"/>
          <w:sz w:val="20"/>
          <w:szCs w:val="20"/>
        </w:rPr>
        <w:id w:val="1749538015"/>
        <w:docPartObj>
          <w:docPartGallery w:val="Bibliographies"/>
          <w:docPartUnique/>
        </w:docPartObj>
      </w:sdtPr>
      <w:sdtEndPr>
        <w:rPr>
          <w:rFonts w:ascii="Arial" w:hAnsi="Arial"/>
          <w:color w:val="auto"/>
          <w:szCs w:val="24"/>
        </w:rPr>
      </w:sdtEndPr>
      <w:sdtContent>
        <w:p w14:paraId="0A48AC21" w14:textId="0A8BE6DC" w:rsidR="000039DA" w:rsidRPr="005B0FA3" w:rsidRDefault="000039DA" w:rsidP="00623C1B">
          <w:pPr>
            <w:pStyle w:val="Heading1"/>
            <w:spacing w:before="100" w:beforeAutospacing="1" w:after="100" w:afterAutospacing="1"/>
          </w:pPr>
          <w:r w:rsidRPr="005B0FA3">
            <w:t>Bibliography</w:t>
          </w:r>
        </w:p>
        <w:sdt>
          <w:sdtPr>
            <w:rPr>
              <w:rFonts w:cs="Arial"/>
            </w:rPr>
            <w:id w:val="111145805"/>
            <w:bibliography/>
          </w:sdtPr>
          <w:sdtContent>
            <w:p w14:paraId="5B203149" w14:textId="77777777" w:rsidR="0074017E" w:rsidRDefault="000039DA" w:rsidP="00623C1B">
              <w:pPr>
                <w:spacing w:before="100" w:beforeAutospacing="1" w:after="100" w:afterAutospacing="1"/>
                <w:rPr>
                  <w:rFonts w:eastAsia="Arial" w:cs="Arial"/>
                  <w:noProof/>
                  <w:color w:val="2D2D2D"/>
                  <w:szCs w:val="20"/>
                </w:rPr>
              </w:pPr>
              <w:r w:rsidRPr="005B0FA3">
                <w:rPr>
                  <w:rFonts w:cs="Arial"/>
                </w:rPr>
                <w:fldChar w:fldCharType="begin"/>
              </w:r>
              <w:r w:rsidRPr="005B0FA3">
                <w:rPr>
                  <w:rFonts w:cs="Arial"/>
                </w:rPr>
                <w:instrText xml:space="preserve"> BIBLIOGRAPHY </w:instrText>
              </w:r>
              <w:r w:rsidRPr="005B0FA3">
                <w:rPr>
                  <w:rFonts w:cs="Aria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661"/>
              </w:tblGrid>
              <w:tr w:rsidR="0074017E" w14:paraId="393B48E6" w14:textId="77777777">
                <w:trPr>
                  <w:divId w:val="2012101133"/>
                  <w:tblCellSpacing w:w="15" w:type="dxa"/>
                </w:trPr>
                <w:tc>
                  <w:tcPr>
                    <w:tcW w:w="50" w:type="pct"/>
                    <w:hideMark/>
                  </w:tcPr>
                  <w:p w14:paraId="30B9308A" w14:textId="2050E9A5" w:rsidR="0074017E" w:rsidRDefault="0074017E">
                    <w:pPr>
                      <w:pStyle w:val="Bibliography"/>
                      <w:rPr>
                        <w:noProof/>
                        <w:sz w:val="24"/>
                        <w:szCs w:val="24"/>
                      </w:rPr>
                    </w:pPr>
                    <w:r>
                      <w:rPr>
                        <w:noProof/>
                      </w:rPr>
                      <w:t xml:space="preserve">[1] </w:t>
                    </w:r>
                  </w:p>
                </w:tc>
                <w:tc>
                  <w:tcPr>
                    <w:tcW w:w="0" w:type="auto"/>
                    <w:hideMark/>
                  </w:tcPr>
                  <w:p w14:paraId="4B87F127" w14:textId="77777777" w:rsidR="0074017E" w:rsidRDefault="0074017E">
                    <w:pPr>
                      <w:pStyle w:val="Bibliography"/>
                      <w:rPr>
                        <w:noProof/>
                      </w:rPr>
                    </w:pPr>
                    <w:r>
                      <w:rPr>
                        <w:noProof/>
                      </w:rPr>
                      <w:t>A. Saxena and K. Goebel, “Turbofan Engine Degradation Simulation Data Set,” NASA Ames Prognostics Data Repository, NASA Ames Research Center, Moffett Field, CA, 2008.</w:t>
                    </w:r>
                  </w:p>
                </w:tc>
              </w:tr>
              <w:tr w:rsidR="0074017E" w14:paraId="778E6167" w14:textId="77777777">
                <w:trPr>
                  <w:divId w:val="2012101133"/>
                  <w:tblCellSpacing w:w="15" w:type="dxa"/>
                </w:trPr>
                <w:tc>
                  <w:tcPr>
                    <w:tcW w:w="50" w:type="pct"/>
                    <w:hideMark/>
                  </w:tcPr>
                  <w:p w14:paraId="32687054" w14:textId="77777777" w:rsidR="0074017E" w:rsidRDefault="0074017E">
                    <w:pPr>
                      <w:pStyle w:val="Bibliography"/>
                      <w:rPr>
                        <w:noProof/>
                      </w:rPr>
                    </w:pPr>
                    <w:r>
                      <w:rPr>
                        <w:noProof/>
                      </w:rPr>
                      <w:t xml:space="preserve">[2] </w:t>
                    </w:r>
                  </w:p>
                </w:tc>
                <w:tc>
                  <w:tcPr>
                    <w:tcW w:w="0" w:type="auto"/>
                    <w:hideMark/>
                  </w:tcPr>
                  <w:p w14:paraId="6BAA1902" w14:textId="77777777" w:rsidR="0074017E" w:rsidRDefault="0074017E">
                    <w:pPr>
                      <w:pStyle w:val="Bibliography"/>
                      <w:rPr>
                        <w:noProof/>
                      </w:rPr>
                    </w:pPr>
                    <w:r>
                      <w:rPr>
                        <w:noProof/>
                      </w:rPr>
                      <w:t xml:space="preserve">M. A. Miner, “Cumulative Damage in Fatigue,” </w:t>
                    </w:r>
                    <w:r>
                      <w:rPr>
                        <w:i/>
                        <w:iCs/>
                        <w:noProof/>
                      </w:rPr>
                      <w:t xml:space="preserve">Journal of Applied Mechanics, </w:t>
                    </w:r>
                    <w:r>
                      <w:rPr>
                        <w:noProof/>
                      </w:rPr>
                      <w:t xml:space="preserve">vol. 12, pp. A159-A164, 1945. </w:t>
                    </w:r>
                  </w:p>
                </w:tc>
              </w:tr>
              <w:tr w:rsidR="0074017E" w14:paraId="308DC3B3" w14:textId="77777777">
                <w:trPr>
                  <w:divId w:val="2012101133"/>
                  <w:tblCellSpacing w:w="15" w:type="dxa"/>
                </w:trPr>
                <w:tc>
                  <w:tcPr>
                    <w:tcW w:w="50" w:type="pct"/>
                    <w:hideMark/>
                  </w:tcPr>
                  <w:p w14:paraId="2C3B9A0A" w14:textId="77777777" w:rsidR="0074017E" w:rsidRDefault="0074017E">
                    <w:pPr>
                      <w:pStyle w:val="Bibliography"/>
                      <w:rPr>
                        <w:noProof/>
                      </w:rPr>
                    </w:pPr>
                    <w:r>
                      <w:rPr>
                        <w:noProof/>
                      </w:rPr>
                      <w:t xml:space="preserve">[3] </w:t>
                    </w:r>
                  </w:p>
                </w:tc>
                <w:tc>
                  <w:tcPr>
                    <w:tcW w:w="0" w:type="auto"/>
                    <w:hideMark/>
                  </w:tcPr>
                  <w:p w14:paraId="05914196" w14:textId="77777777" w:rsidR="0074017E" w:rsidRDefault="0074017E">
                    <w:pPr>
                      <w:pStyle w:val="Bibliography"/>
                      <w:rPr>
                        <w:noProof/>
                      </w:rPr>
                    </w:pPr>
                    <w:r>
                      <w:rPr>
                        <w:noProof/>
                      </w:rPr>
                      <w:t xml:space="preserve">F. O. Heimes, “Recurrent Neural Networks for Remaining Useful Life Estimation,” </w:t>
                    </w:r>
                    <w:r>
                      <w:rPr>
                        <w:i/>
                        <w:iCs/>
                        <w:noProof/>
                      </w:rPr>
                      <w:t xml:space="preserve">Proceedings of the International Conference on Prognostics and Health Management, </w:t>
                    </w:r>
                    <w:r>
                      <w:rPr>
                        <w:noProof/>
                      </w:rPr>
                      <w:t xml:space="preserve">pp. 1-6, 2008. </w:t>
                    </w:r>
                  </w:p>
                </w:tc>
              </w:tr>
              <w:tr w:rsidR="0074017E" w14:paraId="3A018EC7" w14:textId="77777777">
                <w:trPr>
                  <w:divId w:val="2012101133"/>
                  <w:tblCellSpacing w:w="15" w:type="dxa"/>
                </w:trPr>
                <w:tc>
                  <w:tcPr>
                    <w:tcW w:w="50" w:type="pct"/>
                    <w:hideMark/>
                  </w:tcPr>
                  <w:p w14:paraId="49998A4F" w14:textId="77777777" w:rsidR="0074017E" w:rsidRDefault="0074017E">
                    <w:pPr>
                      <w:pStyle w:val="Bibliography"/>
                      <w:rPr>
                        <w:noProof/>
                      </w:rPr>
                    </w:pPr>
                    <w:r>
                      <w:rPr>
                        <w:noProof/>
                      </w:rPr>
                      <w:t xml:space="preserve">[4] </w:t>
                    </w:r>
                  </w:p>
                </w:tc>
                <w:tc>
                  <w:tcPr>
                    <w:tcW w:w="0" w:type="auto"/>
                    <w:hideMark/>
                  </w:tcPr>
                  <w:p w14:paraId="225BE233" w14:textId="77777777" w:rsidR="0074017E" w:rsidRDefault="0074017E">
                    <w:pPr>
                      <w:pStyle w:val="Bibliography"/>
                      <w:rPr>
                        <w:noProof/>
                      </w:rPr>
                    </w:pPr>
                    <w:r>
                      <w:rPr>
                        <w:noProof/>
                      </w:rPr>
                      <w:t xml:space="preserve">T. Chen, “XGBoost: A Scalable Tree Boosting System,” in </w:t>
                    </w:r>
                    <w:r>
                      <w:rPr>
                        <w:i/>
                        <w:iCs/>
                        <w:noProof/>
                      </w:rPr>
                      <w:t>Proc. 22nd ACM SIGKDD International Conference of Knowledge Discorvery and Data Mining</w:t>
                    </w:r>
                    <w:r>
                      <w:rPr>
                        <w:noProof/>
                      </w:rPr>
                      <w:t xml:space="preserve">, San Francisco, CA, 2016. </w:t>
                    </w:r>
                  </w:p>
                </w:tc>
              </w:tr>
              <w:tr w:rsidR="0074017E" w14:paraId="0E908B7C" w14:textId="77777777">
                <w:trPr>
                  <w:divId w:val="2012101133"/>
                  <w:tblCellSpacing w:w="15" w:type="dxa"/>
                </w:trPr>
                <w:tc>
                  <w:tcPr>
                    <w:tcW w:w="50" w:type="pct"/>
                    <w:hideMark/>
                  </w:tcPr>
                  <w:p w14:paraId="68CF305F" w14:textId="77777777" w:rsidR="0074017E" w:rsidRDefault="0074017E">
                    <w:pPr>
                      <w:pStyle w:val="Bibliography"/>
                      <w:rPr>
                        <w:noProof/>
                      </w:rPr>
                    </w:pPr>
                    <w:r>
                      <w:rPr>
                        <w:noProof/>
                      </w:rPr>
                      <w:t xml:space="preserve">[5] </w:t>
                    </w:r>
                  </w:p>
                </w:tc>
                <w:tc>
                  <w:tcPr>
                    <w:tcW w:w="0" w:type="auto"/>
                    <w:hideMark/>
                  </w:tcPr>
                  <w:p w14:paraId="6F7FA2AC" w14:textId="77777777" w:rsidR="0074017E" w:rsidRDefault="0074017E">
                    <w:pPr>
                      <w:pStyle w:val="Bibliography"/>
                      <w:rPr>
                        <w:noProof/>
                      </w:rPr>
                    </w:pPr>
                    <w:r>
                      <w:rPr>
                        <w:noProof/>
                      </w:rPr>
                      <w:t xml:space="preserve">P. P. Walsh and P. Fletcher, Gas Turbine Performance, vol. 2nd Edition, Blackwell Science, 2004. </w:t>
                    </w:r>
                  </w:p>
                </w:tc>
              </w:tr>
              <w:tr w:rsidR="0074017E" w14:paraId="283D35A8" w14:textId="77777777">
                <w:trPr>
                  <w:divId w:val="2012101133"/>
                  <w:tblCellSpacing w:w="15" w:type="dxa"/>
                </w:trPr>
                <w:tc>
                  <w:tcPr>
                    <w:tcW w:w="50" w:type="pct"/>
                    <w:hideMark/>
                  </w:tcPr>
                  <w:p w14:paraId="5A43D635" w14:textId="77777777" w:rsidR="0074017E" w:rsidRDefault="0074017E">
                    <w:pPr>
                      <w:pStyle w:val="Bibliography"/>
                      <w:rPr>
                        <w:noProof/>
                      </w:rPr>
                    </w:pPr>
                    <w:r>
                      <w:rPr>
                        <w:noProof/>
                      </w:rPr>
                      <w:t xml:space="preserve">[6] </w:t>
                    </w:r>
                  </w:p>
                </w:tc>
                <w:tc>
                  <w:tcPr>
                    <w:tcW w:w="0" w:type="auto"/>
                    <w:hideMark/>
                  </w:tcPr>
                  <w:p w14:paraId="777D9800" w14:textId="77777777" w:rsidR="0074017E" w:rsidRDefault="0074017E">
                    <w:pPr>
                      <w:pStyle w:val="Bibliography"/>
                      <w:rPr>
                        <w:noProof/>
                      </w:rPr>
                    </w:pPr>
                    <w:r>
                      <w:rPr>
                        <w:noProof/>
                      </w:rPr>
                      <w:t xml:space="preserve">D. C. Montgomery, E. A. Peck and G. G. Vining, Introduction to Linear Regression Analysis, 5th Edition, Wiley, 2012. </w:t>
                    </w:r>
                  </w:p>
                </w:tc>
              </w:tr>
              <w:tr w:rsidR="0074017E" w14:paraId="3447B79D" w14:textId="77777777">
                <w:trPr>
                  <w:divId w:val="2012101133"/>
                  <w:tblCellSpacing w:w="15" w:type="dxa"/>
                </w:trPr>
                <w:tc>
                  <w:tcPr>
                    <w:tcW w:w="50" w:type="pct"/>
                    <w:hideMark/>
                  </w:tcPr>
                  <w:p w14:paraId="4F403909" w14:textId="77777777" w:rsidR="0074017E" w:rsidRDefault="0074017E">
                    <w:pPr>
                      <w:pStyle w:val="Bibliography"/>
                      <w:rPr>
                        <w:noProof/>
                      </w:rPr>
                    </w:pPr>
                    <w:r>
                      <w:rPr>
                        <w:noProof/>
                      </w:rPr>
                      <w:t xml:space="preserve">[7] </w:t>
                    </w:r>
                  </w:p>
                </w:tc>
                <w:tc>
                  <w:tcPr>
                    <w:tcW w:w="0" w:type="auto"/>
                    <w:hideMark/>
                  </w:tcPr>
                  <w:p w14:paraId="6DD8E14A" w14:textId="77777777" w:rsidR="0074017E" w:rsidRDefault="0074017E">
                    <w:pPr>
                      <w:pStyle w:val="Bibliography"/>
                      <w:rPr>
                        <w:noProof/>
                      </w:rPr>
                    </w:pPr>
                    <w:r>
                      <w:rPr>
                        <w:noProof/>
                      </w:rPr>
                      <w:t xml:space="preserve">S. M. Lundberg and S.-I. Lee, “A unified approach to interpreting model predictions,” </w:t>
                    </w:r>
                    <w:r>
                      <w:rPr>
                        <w:i/>
                        <w:iCs/>
                        <w:noProof/>
                      </w:rPr>
                      <w:t xml:space="preserve">Advances in Neural Information Processing Systems, </w:t>
                    </w:r>
                    <w:r>
                      <w:rPr>
                        <w:noProof/>
                      </w:rPr>
                      <w:t xml:space="preserve">vol. 30, 2017. </w:t>
                    </w:r>
                  </w:p>
                </w:tc>
              </w:tr>
              <w:tr w:rsidR="0074017E" w14:paraId="5866ECDE" w14:textId="77777777">
                <w:trPr>
                  <w:divId w:val="2012101133"/>
                  <w:tblCellSpacing w:w="15" w:type="dxa"/>
                </w:trPr>
                <w:tc>
                  <w:tcPr>
                    <w:tcW w:w="50" w:type="pct"/>
                    <w:hideMark/>
                  </w:tcPr>
                  <w:p w14:paraId="3E5BD2E2" w14:textId="77777777" w:rsidR="0074017E" w:rsidRDefault="0074017E">
                    <w:pPr>
                      <w:pStyle w:val="Bibliography"/>
                      <w:rPr>
                        <w:noProof/>
                      </w:rPr>
                    </w:pPr>
                    <w:r>
                      <w:rPr>
                        <w:noProof/>
                      </w:rPr>
                      <w:t xml:space="preserve">[8] </w:t>
                    </w:r>
                  </w:p>
                </w:tc>
                <w:tc>
                  <w:tcPr>
                    <w:tcW w:w="0" w:type="auto"/>
                    <w:hideMark/>
                  </w:tcPr>
                  <w:p w14:paraId="63B60190" w14:textId="77777777" w:rsidR="0074017E" w:rsidRDefault="0074017E">
                    <w:pPr>
                      <w:pStyle w:val="Bibliography"/>
                      <w:rPr>
                        <w:noProof/>
                      </w:rPr>
                    </w:pPr>
                    <w:r>
                      <w:rPr>
                        <w:noProof/>
                      </w:rPr>
                      <w:t xml:space="preserve">A. J. B. Volponi, “Gas Turbine Engine Health Management: Past, Present, and Future Trends,” </w:t>
                    </w:r>
                    <w:r>
                      <w:rPr>
                        <w:i/>
                        <w:iCs/>
                        <w:noProof/>
                      </w:rPr>
                      <w:t xml:space="preserve">Journal of Engineering for Gas Turbines and Power, </w:t>
                    </w:r>
                    <w:r>
                      <w:rPr>
                        <w:noProof/>
                      </w:rPr>
                      <w:t xml:space="preserve">vol. 136(5), 2014. </w:t>
                    </w:r>
                  </w:p>
                </w:tc>
              </w:tr>
              <w:tr w:rsidR="0074017E" w14:paraId="702FA6AE" w14:textId="77777777">
                <w:trPr>
                  <w:divId w:val="2012101133"/>
                  <w:tblCellSpacing w:w="15" w:type="dxa"/>
                </w:trPr>
                <w:tc>
                  <w:tcPr>
                    <w:tcW w:w="50" w:type="pct"/>
                    <w:hideMark/>
                  </w:tcPr>
                  <w:p w14:paraId="7F99EEA4" w14:textId="77777777" w:rsidR="0074017E" w:rsidRDefault="0074017E">
                    <w:pPr>
                      <w:pStyle w:val="Bibliography"/>
                      <w:rPr>
                        <w:noProof/>
                      </w:rPr>
                    </w:pPr>
                    <w:r>
                      <w:rPr>
                        <w:noProof/>
                      </w:rPr>
                      <w:t xml:space="preserve">[9] </w:t>
                    </w:r>
                  </w:p>
                </w:tc>
                <w:tc>
                  <w:tcPr>
                    <w:tcW w:w="0" w:type="auto"/>
                    <w:hideMark/>
                  </w:tcPr>
                  <w:p w14:paraId="4F64FC4B" w14:textId="77777777" w:rsidR="0074017E" w:rsidRDefault="0074017E">
                    <w:pPr>
                      <w:pStyle w:val="Bibliography"/>
                      <w:rPr>
                        <w:noProof/>
                      </w:rPr>
                    </w:pPr>
                    <w:r>
                      <w:rPr>
                        <w:noProof/>
                      </w:rPr>
                      <w:t xml:space="preserve">A. G. Jaw and J. D. Mattingly, Aircraft Engine Controls: Design, System Analysis, and Health Monitoring, Reston, VA: AIAA, 2009. </w:t>
                    </w:r>
                  </w:p>
                </w:tc>
              </w:tr>
              <w:tr w:rsidR="0074017E" w14:paraId="4FF5A4D6" w14:textId="77777777">
                <w:trPr>
                  <w:divId w:val="2012101133"/>
                  <w:tblCellSpacing w:w="15" w:type="dxa"/>
                </w:trPr>
                <w:tc>
                  <w:tcPr>
                    <w:tcW w:w="50" w:type="pct"/>
                    <w:hideMark/>
                  </w:tcPr>
                  <w:p w14:paraId="6F1A4E74" w14:textId="77777777" w:rsidR="0074017E" w:rsidRDefault="0074017E">
                    <w:pPr>
                      <w:pStyle w:val="Bibliography"/>
                      <w:rPr>
                        <w:noProof/>
                      </w:rPr>
                    </w:pPr>
                    <w:r>
                      <w:rPr>
                        <w:noProof/>
                      </w:rPr>
                      <w:t xml:space="preserve">[10] </w:t>
                    </w:r>
                  </w:p>
                </w:tc>
                <w:tc>
                  <w:tcPr>
                    <w:tcW w:w="0" w:type="auto"/>
                    <w:hideMark/>
                  </w:tcPr>
                  <w:p w14:paraId="5F40B1E6" w14:textId="77777777" w:rsidR="0074017E" w:rsidRDefault="0074017E">
                    <w:pPr>
                      <w:pStyle w:val="Bibliography"/>
                      <w:rPr>
                        <w:noProof/>
                      </w:rPr>
                    </w:pPr>
                    <w:r>
                      <w:rPr>
                        <w:noProof/>
                      </w:rPr>
                      <w:t xml:space="preserve">E. L. Kaplan and P. Meier, “Nonparametric Estimation from Incomplete Observations,” </w:t>
                    </w:r>
                    <w:r>
                      <w:rPr>
                        <w:i/>
                        <w:iCs/>
                        <w:noProof/>
                      </w:rPr>
                      <w:t xml:space="preserve">Journal of the American Statistical Association, </w:t>
                    </w:r>
                    <w:r>
                      <w:rPr>
                        <w:noProof/>
                      </w:rPr>
                      <w:t xml:space="preserve">vol. 53(282), pp. 457-481, 1958. </w:t>
                    </w:r>
                  </w:p>
                </w:tc>
              </w:tr>
              <w:tr w:rsidR="0074017E" w14:paraId="2E9A2D03" w14:textId="77777777">
                <w:trPr>
                  <w:divId w:val="2012101133"/>
                  <w:tblCellSpacing w:w="15" w:type="dxa"/>
                </w:trPr>
                <w:tc>
                  <w:tcPr>
                    <w:tcW w:w="50" w:type="pct"/>
                    <w:hideMark/>
                  </w:tcPr>
                  <w:p w14:paraId="1DC18F3E" w14:textId="77777777" w:rsidR="0074017E" w:rsidRDefault="0074017E">
                    <w:pPr>
                      <w:pStyle w:val="Bibliography"/>
                      <w:rPr>
                        <w:noProof/>
                      </w:rPr>
                    </w:pPr>
                    <w:r>
                      <w:rPr>
                        <w:noProof/>
                      </w:rPr>
                      <w:t xml:space="preserve">[11] </w:t>
                    </w:r>
                  </w:p>
                </w:tc>
                <w:tc>
                  <w:tcPr>
                    <w:tcW w:w="0" w:type="auto"/>
                    <w:hideMark/>
                  </w:tcPr>
                  <w:p w14:paraId="25A10DC6" w14:textId="77777777" w:rsidR="0074017E" w:rsidRDefault="0074017E">
                    <w:pPr>
                      <w:pStyle w:val="Bibliography"/>
                      <w:rPr>
                        <w:noProof/>
                      </w:rPr>
                    </w:pPr>
                    <w:r>
                      <w:rPr>
                        <w:noProof/>
                      </w:rPr>
                      <w:t xml:space="preserve">N. Mantel, “Evaluation of Survival Data and Two New Rank Order Statistics Arising in Its Consideration,” </w:t>
                    </w:r>
                    <w:r>
                      <w:rPr>
                        <w:i/>
                        <w:iCs/>
                        <w:noProof/>
                      </w:rPr>
                      <w:t xml:space="preserve">Cancer Chemotherapy Reports, </w:t>
                    </w:r>
                    <w:r>
                      <w:rPr>
                        <w:noProof/>
                      </w:rPr>
                      <w:t xml:space="preserve">vol. 50(3), pp. 163-170, 1966. </w:t>
                    </w:r>
                  </w:p>
                </w:tc>
              </w:tr>
              <w:tr w:rsidR="0074017E" w14:paraId="2AF31D65" w14:textId="77777777">
                <w:trPr>
                  <w:divId w:val="2012101133"/>
                  <w:tblCellSpacing w:w="15" w:type="dxa"/>
                </w:trPr>
                <w:tc>
                  <w:tcPr>
                    <w:tcW w:w="50" w:type="pct"/>
                    <w:hideMark/>
                  </w:tcPr>
                  <w:p w14:paraId="6BBD9BE3" w14:textId="77777777" w:rsidR="0074017E" w:rsidRDefault="0074017E">
                    <w:pPr>
                      <w:pStyle w:val="Bibliography"/>
                      <w:rPr>
                        <w:noProof/>
                      </w:rPr>
                    </w:pPr>
                    <w:r>
                      <w:rPr>
                        <w:noProof/>
                      </w:rPr>
                      <w:t xml:space="preserve">[12] </w:t>
                    </w:r>
                  </w:p>
                </w:tc>
                <w:tc>
                  <w:tcPr>
                    <w:tcW w:w="0" w:type="auto"/>
                    <w:hideMark/>
                  </w:tcPr>
                  <w:p w14:paraId="64123E76" w14:textId="77777777" w:rsidR="0074017E" w:rsidRDefault="0074017E">
                    <w:pPr>
                      <w:pStyle w:val="Bibliography"/>
                      <w:rPr>
                        <w:noProof/>
                      </w:rPr>
                    </w:pPr>
                    <w:r>
                      <w:rPr>
                        <w:noProof/>
                      </w:rPr>
                      <w:t xml:space="preserve">D. R. Cox, “Regression Models and Life-Tables,” </w:t>
                    </w:r>
                    <w:r>
                      <w:rPr>
                        <w:i/>
                        <w:iCs/>
                        <w:noProof/>
                      </w:rPr>
                      <w:t xml:space="preserve">Journal of the Royal Statistical Society: Series B (Methodological), </w:t>
                    </w:r>
                    <w:r>
                      <w:rPr>
                        <w:noProof/>
                      </w:rPr>
                      <w:t xml:space="preserve">vol. 34(2), pp. 187-220, 1972. </w:t>
                    </w:r>
                  </w:p>
                </w:tc>
              </w:tr>
              <w:tr w:rsidR="0074017E" w14:paraId="320654E1" w14:textId="77777777">
                <w:trPr>
                  <w:divId w:val="2012101133"/>
                  <w:tblCellSpacing w:w="15" w:type="dxa"/>
                </w:trPr>
                <w:tc>
                  <w:tcPr>
                    <w:tcW w:w="50" w:type="pct"/>
                    <w:hideMark/>
                  </w:tcPr>
                  <w:p w14:paraId="4BBB6E14" w14:textId="77777777" w:rsidR="0074017E" w:rsidRDefault="0074017E">
                    <w:pPr>
                      <w:pStyle w:val="Bibliography"/>
                      <w:rPr>
                        <w:noProof/>
                      </w:rPr>
                    </w:pPr>
                    <w:r>
                      <w:rPr>
                        <w:noProof/>
                      </w:rPr>
                      <w:t xml:space="preserve">[13] </w:t>
                    </w:r>
                  </w:p>
                </w:tc>
                <w:tc>
                  <w:tcPr>
                    <w:tcW w:w="0" w:type="auto"/>
                    <w:hideMark/>
                  </w:tcPr>
                  <w:p w14:paraId="707ACC8E" w14:textId="77777777" w:rsidR="0074017E" w:rsidRDefault="0074017E">
                    <w:pPr>
                      <w:pStyle w:val="Bibliography"/>
                      <w:rPr>
                        <w:noProof/>
                      </w:rPr>
                    </w:pPr>
                    <w:r>
                      <w:rPr>
                        <w:noProof/>
                      </w:rPr>
                      <w:t xml:space="preserve">N. E. Breslow, “Discussion of Professor Cox's Paper,” </w:t>
                    </w:r>
                    <w:r>
                      <w:rPr>
                        <w:i/>
                        <w:iCs/>
                        <w:noProof/>
                      </w:rPr>
                      <w:t xml:space="preserve">Journal of the Royal Statistical Society: Series B (Methodological), </w:t>
                    </w:r>
                    <w:r>
                      <w:rPr>
                        <w:noProof/>
                      </w:rPr>
                      <w:t xml:space="preserve">vol. 34(2), pp. 216-217, 1972. </w:t>
                    </w:r>
                  </w:p>
                </w:tc>
              </w:tr>
              <w:tr w:rsidR="0074017E" w14:paraId="756EA631" w14:textId="77777777">
                <w:trPr>
                  <w:divId w:val="2012101133"/>
                  <w:tblCellSpacing w:w="15" w:type="dxa"/>
                </w:trPr>
                <w:tc>
                  <w:tcPr>
                    <w:tcW w:w="50" w:type="pct"/>
                    <w:hideMark/>
                  </w:tcPr>
                  <w:p w14:paraId="37F307CB" w14:textId="77777777" w:rsidR="0074017E" w:rsidRDefault="0074017E">
                    <w:pPr>
                      <w:pStyle w:val="Bibliography"/>
                      <w:rPr>
                        <w:noProof/>
                      </w:rPr>
                    </w:pPr>
                    <w:r>
                      <w:rPr>
                        <w:noProof/>
                      </w:rPr>
                      <w:t xml:space="preserve">[14] </w:t>
                    </w:r>
                  </w:p>
                </w:tc>
                <w:tc>
                  <w:tcPr>
                    <w:tcW w:w="0" w:type="auto"/>
                    <w:hideMark/>
                  </w:tcPr>
                  <w:p w14:paraId="017EB83D" w14:textId="77777777" w:rsidR="0074017E" w:rsidRDefault="0074017E">
                    <w:pPr>
                      <w:pStyle w:val="Bibliography"/>
                      <w:rPr>
                        <w:noProof/>
                      </w:rPr>
                    </w:pPr>
                    <w:r>
                      <w:rPr>
                        <w:noProof/>
                      </w:rPr>
                      <w:t xml:space="preserve">G. E. P. Box, G. M. Jenkins, G. C. Reinsel and G. M. Ljung, Time Series Analysis: Forecasting and Control, Hoboken, NJ: Wiley, 2016. </w:t>
                    </w:r>
                  </w:p>
                </w:tc>
              </w:tr>
              <w:tr w:rsidR="0074017E" w14:paraId="64123451" w14:textId="77777777">
                <w:trPr>
                  <w:divId w:val="2012101133"/>
                  <w:tblCellSpacing w:w="15" w:type="dxa"/>
                </w:trPr>
                <w:tc>
                  <w:tcPr>
                    <w:tcW w:w="50" w:type="pct"/>
                    <w:hideMark/>
                  </w:tcPr>
                  <w:p w14:paraId="30EAA22F" w14:textId="77777777" w:rsidR="0074017E" w:rsidRDefault="0074017E">
                    <w:pPr>
                      <w:pStyle w:val="Bibliography"/>
                      <w:rPr>
                        <w:noProof/>
                      </w:rPr>
                    </w:pPr>
                    <w:r>
                      <w:rPr>
                        <w:noProof/>
                      </w:rPr>
                      <w:t xml:space="preserve">[15] </w:t>
                    </w:r>
                  </w:p>
                </w:tc>
                <w:tc>
                  <w:tcPr>
                    <w:tcW w:w="0" w:type="auto"/>
                    <w:hideMark/>
                  </w:tcPr>
                  <w:p w14:paraId="345CB82C" w14:textId="77777777" w:rsidR="0074017E" w:rsidRDefault="0074017E">
                    <w:pPr>
                      <w:pStyle w:val="Bibliography"/>
                      <w:rPr>
                        <w:noProof/>
                      </w:rPr>
                    </w:pPr>
                    <w:r>
                      <w:rPr>
                        <w:noProof/>
                      </w:rPr>
                      <w:t>F. Takens, Detecting Strange Attractors in Turbulence, vol. Dynamical Systems and Turbulence., Berlin: Springer, 1981, pp. 366-381.</w:t>
                    </w:r>
                  </w:p>
                </w:tc>
              </w:tr>
              <w:tr w:rsidR="0074017E" w14:paraId="1E909A88" w14:textId="77777777">
                <w:trPr>
                  <w:divId w:val="2012101133"/>
                  <w:tblCellSpacing w:w="15" w:type="dxa"/>
                </w:trPr>
                <w:tc>
                  <w:tcPr>
                    <w:tcW w:w="50" w:type="pct"/>
                    <w:hideMark/>
                  </w:tcPr>
                  <w:p w14:paraId="296DFA71" w14:textId="77777777" w:rsidR="0074017E" w:rsidRDefault="0074017E">
                    <w:pPr>
                      <w:pStyle w:val="Bibliography"/>
                      <w:rPr>
                        <w:noProof/>
                      </w:rPr>
                    </w:pPr>
                    <w:r>
                      <w:rPr>
                        <w:noProof/>
                      </w:rPr>
                      <w:t xml:space="preserve">[16] </w:t>
                    </w:r>
                  </w:p>
                </w:tc>
                <w:tc>
                  <w:tcPr>
                    <w:tcW w:w="0" w:type="auto"/>
                    <w:hideMark/>
                  </w:tcPr>
                  <w:p w14:paraId="7B2D93EB" w14:textId="77777777" w:rsidR="0074017E" w:rsidRDefault="0074017E">
                    <w:pPr>
                      <w:pStyle w:val="Bibliography"/>
                      <w:rPr>
                        <w:noProof/>
                      </w:rPr>
                    </w:pPr>
                    <w:r>
                      <w:rPr>
                        <w:noProof/>
                      </w:rPr>
                      <w:t>J. Antoni, The Spectral Kurtosis: A Useful Tool for Characterising Non-stationary Signals, vol. Mechanical Systems and Signal Processing, 2006, pp. 282-307.</w:t>
                    </w:r>
                  </w:p>
                </w:tc>
              </w:tr>
              <w:tr w:rsidR="0074017E" w14:paraId="3E39AB6A" w14:textId="77777777">
                <w:trPr>
                  <w:divId w:val="2012101133"/>
                  <w:tblCellSpacing w:w="15" w:type="dxa"/>
                </w:trPr>
                <w:tc>
                  <w:tcPr>
                    <w:tcW w:w="50" w:type="pct"/>
                    <w:hideMark/>
                  </w:tcPr>
                  <w:p w14:paraId="2C850622" w14:textId="77777777" w:rsidR="0074017E" w:rsidRDefault="0074017E">
                    <w:pPr>
                      <w:pStyle w:val="Bibliography"/>
                      <w:rPr>
                        <w:noProof/>
                      </w:rPr>
                    </w:pPr>
                    <w:r>
                      <w:rPr>
                        <w:noProof/>
                      </w:rPr>
                      <w:t xml:space="preserve">[17] </w:t>
                    </w:r>
                  </w:p>
                </w:tc>
                <w:tc>
                  <w:tcPr>
                    <w:tcW w:w="0" w:type="auto"/>
                    <w:hideMark/>
                  </w:tcPr>
                  <w:p w14:paraId="06491F12" w14:textId="77777777" w:rsidR="0074017E" w:rsidRDefault="0074017E">
                    <w:pPr>
                      <w:pStyle w:val="Bibliography"/>
                      <w:rPr>
                        <w:noProof/>
                      </w:rPr>
                    </w:pPr>
                    <w:r>
                      <w:rPr>
                        <w:noProof/>
                      </w:rPr>
                      <w:t>I. K. Yeo and R. A. Johnson, A New Family of Power Transformations to Improve Normality or Symmetry, vol. 87, Biometrika, 2000, pp. 954-959.</w:t>
                    </w:r>
                  </w:p>
                </w:tc>
              </w:tr>
              <w:tr w:rsidR="0074017E" w14:paraId="012EAF2C" w14:textId="77777777">
                <w:trPr>
                  <w:divId w:val="2012101133"/>
                  <w:tblCellSpacing w:w="15" w:type="dxa"/>
                </w:trPr>
                <w:tc>
                  <w:tcPr>
                    <w:tcW w:w="50" w:type="pct"/>
                    <w:hideMark/>
                  </w:tcPr>
                  <w:p w14:paraId="4571CBFD" w14:textId="77777777" w:rsidR="0074017E" w:rsidRDefault="0074017E">
                    <w:pPr>
                      <w:pStyle w:val="Bibliography"/>
                      <w:rPr>
                        <w:noProof/>
                      </w:rPr>
                    </w:pPr>
                    <w:r>
                      <w:rPr>
                        <w:noProof/>
                      </w:rPr>
                      <w:t xml:space="preserve">[18] </w:t>
                    </w:r>
                  </w:p>
                </w:tc>
                <w:tc>
                  <w:tcPr>
                    <w:tcW w:w="0" w:type="auto"/>
                    <w:hideMark/>
                  </w:tcPr>
                  <w:p w14:paraId="39AB7184" w14:textId="77777777" w:rsidR="0074017E" w:rsidRDefault="0074017E">
                    <w:pPr>
                      <w:pStyle w:val="Bibliography"/>
                      <w:rPr>
                        <w:noProof/>
                      </w:rPr>
                    </w:pPr>
                    <w:r>
                      <w:rPr>
                        <w:noProof/>
                      </w:rPr>
                      <w:t xml:space="preserve">ASTM E1049-85, </w:t>
                    </w:r>
                    <w:r>
                      <w:rPr>
                        <w:i/>
                        <w:iCs/>
                        <w:noProof/>
                      </w:rPr>
                      <w:t xml:space="preserve">Standard Practices for Cycle Counting in Fatigue Analysis, </w:t>
                    </w:r>
                    <w:r>
                      <w:rPr>
                        <w:noProof/>
                      </w:rPr>
                      <w:t xml:space="preserve">West Conshohocken, PA: ASTM International, 2017. </w:t>
                    </w:r>
                  </w:p>
                </w:tc>
              </w:tr>
              <w:tr w:rsidR="0074017E" w14:paraId="7A73DA1D" w14:textId="77777777">
                <w:trPr>
                  <w:divId w:val="2012101133"/>
                  <w:tblCellSpacing w:w="15" w:type="dxa"/>
                </w:trPr>
                <w:tc>
                  <w:tcPr>
                    <w:tcW w:w="50" w:type="pct"/>
                    <w:hideMark/>
                  </w:tcPr>
                  <w:p w14:paraId="7702D2C5" w14:textId="77777777" w:rsidR="0074017E" w:rsidRDefault="0074017E">
                    <w:pPr>
                      <w:pStyle w:val="Bibliography"/>
                      <w:rPr>
                        <w:noProof/>
                      </w:rPr>
                    </w:pPr>
                    <w:r>
                      <w:rPr>
                        <w:noProof/>
                      </w:rPr>
                      <w:t xml:space="preserve">[19] </w:t>
                    </w:r>
                  </w:p>
                </w:tc>
                <w:tc>
                  <w:tcPr>
                    <w:tcW w:w="0" w:type="auto"/>
                    <w:hideMark/>
                  </w:tcPr>
                  <w:p w14:paraId="425CBAB7" w14:textId="77777777" w:rsidR="0074017E" w:rsidRDefault="0074017E">
                    <w:pPr>
                      <w:pStyle w:val="Bibliography"/>
                      <w:rPr>
                        <w:noProof/>
                      </w:rPr>
                    </w:pPr>
                    <w:r>
                      <w:rPr>
                        <w:noProof/>
                      </w:rPr>
                      <w:t xml:space="preserve">F. S. Nowlan and H. F. Heap, Reliability-Centred Maintenance, Vols. Report No. AD-A066579, United Airlines / United States Department of Defense, 1978. </w:t>
                    </w:r>
                  </w:p>
                </w:tc>
              </w:tr>
              <w:tr w:rsidR="0074017E" w14:paraId="2E2E0A12" w14:textId="77777777">
                <w:trPr>
                  <w:divId w:val="2012101133"/>
                  <w:tblCellSpacing w:w="15" w:type="dxa"/>
                </w:trPr>
                <w:tc>
                  <w:tcPr>
                    <w:tcW w:w="50" w:type="pct"/>
                    <w:hideMark/>
                  </w:tcPr>
                  <w:p w14:paraId="4983905B" w14:textId="77777777" w:rsidR="0074017E" w:rsidRDefault="0074017E">
                    <w:pPr>
                      <w:pStyle w:val="Bibliography"/>
                      <w:rPr>
                        <w:noProof/>
                      </w:rPr>
                    </w:pPr>
                    <w:r>
                      <w:rPr>
                        <w:noProof/>
                      </w:rPr>
                      <w:t xml:space="preserve">[20] </w:t>
                    </w:r>
                  </w:p>
                </w:tc>
                <w:tc>
                  <w:tcPr>
                    <w:tcW w:w="0" w:type="auto"/>
                    <w:hideMark/>
                  </w:tcPr>
                  <w:p w14:paraId="5745DCA2" w14:textId="77777777" w:rsidR="0074017E" w:rsidRDefault="0074017E">
                    <w:pPr>
                      <w:pStyle w:val="Bibliography"/>
                      <w:rPr>
                        <w:noProof/>
                      </w:rPr>
                    </w:pPr>
                    <w:r>
                      <w:rPr>
                        <w:noProof/>
                      </w:rPr>
                      <w:t xml:space="preserve">J. Moubray, Reliability-Centred Maintenance, Oxford: Butterworth-Heinemann, 1997. </w:t>
                    </w:r>
                  </w:p>
                </w:tc>
              </w:tr>
              <w:tr w:rsidR="0074017E" w14:paraId="0571CBF7" w14:textId="77777777">
                <w:trPr>
                  <w:divId w:val="2012101133"/>
                  <w:tblCellSpacing w:w="15" w:type="dxa"/>
                </w:trPr>
                <w:tc>
                  <w:tcPr>
                    <w:tcW w:w="50" w:type="pct"/>
                    <w:hideMark/>
                  </w:tcPr>
                  <w:p w14:paraId="37451880" w14:textId="77777777" w:rsidR="0074017E" w:rsidRDefault="0074017E">
                    <w:pPr>
                      <w:pStyle w:val="Bibliography"/>
                      <w:rPr>
                        <w:noProof/>
                      </w:rPr>
                    </w:pPr>
                    <w:r>
                      <w:rPr>
                        <w:noProof/>
                      </w:rPr>
                      <w:t xml:space="preserve">[21] </w:t>
                    </w:r>
                  </w:p>
                </w:tc>
                <w:tc>
                  <w:tcPr>
                    <w:tcW w:w="0" w:type="auto"/>
                    <w:hideMark/>
                  </w:tcPr>
                  <w:p w14:paraId="70C9B6AC" w14:textId="77777777" w:rsidR="0074017E" w:rsidRDefault="0074017E">
                    <w:pPr>
                      <w:pStyle w:val="Bibliography"/>
                      <w:rPr>
                        <w:noProof/>
                      </w:rPr>
                    </w:pPr>
                    <w:r>
                      <w:rPr>
                        <w:noProof/>
                      </w:rPr>
                      <w:t>International Air Transport Association (IATA), “Engine Shop Visit Cost Benchmarking,” IATA, Technical Operations White Paper, Montreal, 2022.</w:t>
                    </w:r>
                  </w:p>
                </w:tc>
              </w:tr>
              <w:tr w:rsidR="0074017E" w14:paraId="57073A04" w14:textId="77777777">
                <w:trPr>
                  <w:divId w:val="2012101133"/>
                  <w:tblCellSpacing w:w="15" w:type="dxa"/>
                </w:trPr>
                <w:tc>
                  <w:tcPr>
                    <w:tcW w:w="50" w:type="pct"/>
                    <w:hideMark/>
                  </w:tcPr>
                  <w:p w14:paraId="79AA705C" w14:textId="77777777" w:rsidR="0074017E" w:rsidRDefault="0074017E">
                    <w:pPr>
                      <w:pStyle w:val="Bibliography"/>
                      <w:rPr>
                        <w:noProof/>
                      </w:rPr>
                    </w:pPr>
                    <w:r>
                      <w:rPr>
                        <w:noProof/>
                      </w:rPr>
                      <w:t xml:space="preserve">[22] </w:t>
                    </w:r>
                  </w:p>
                </w:tc>
                <w:tc>
                  <w:tcPr>
                    <w:tcW w:w="0" w:type="auto"/>
                    <w:hideMark/>
                  </w:tcPr>
                  <w:p w14:paraId="1AA56B04" w14:textId="77777777" w:rsidR="0074017E" w:rsidRDefault="0074017E">
                    <w:pPr>
                      <w:pStyle w:val="Bibliography"/>
                      <w:rPr>
                        <w:noProof/>
                      </w:rPr>
                    </w:pPr>
                    <w:r>
                      <w:rPr>
                        <w:noProof/>
                      </w:rPr>
                      <w:t xml:space="preserve">European Union Aviation Safety Agency (EASA), </w:t>
                    </w:r>
                    <w:r>
                      <w:rPr>
                        <w:i/>
                        <w:iCs/>
                        <w:noProof/>
                      </w:rPr>
                      <w:t xml:space="preserve">Part-M: Continuing Airworthiness, </w:t>
                    </w:r>
                    <w:r>
                      <w:rPr>
                        <w:noProof/>
                      </w:rPr>
                      <w:t xml:space="preserve">Brussels: Annex I to Commission Regulation (EU) No 1321/2014, 2014. </w:t>
                    </w:r>
                  </w:p>
                </w:tc>
              </w:tr>
              <w:tr w:rsidR="0074017E" w14:paraId="6CD7ED5E" w14:textId="77777777">
                <w:trPr>
                  <w:divId w:val="2012101133"/>
                  <w:tblCellSpacing w:w="15" w:type="dxa"/>
                </w:trPr>
                <w:tc>
                  <w:tcPr>
                    <w:tcW w:w="50" w:type="pct"/>
                    <w:hideMark/>
                  </w:tcPr>
                  <w:p w14:paraId="4B4982D2" w14:textId="77777777" w:rsidR="0074017E" w:rsidRDefault="0074017E">
                    <w:pPr>
                      <w:pStyle w:val="Bibliography"/>
                      <w:rPr>
                        <w:noProof/>
                      </w:rPr>
                    </w:pPr>
                    <w:r>
                      <w:rPr>
                        <w:noProof/>
                      </w:rPr>
                      <w:t xml:space="preserve">[23] </w:t>
                    </w:r>
                  </w:p>
                </w:tc>
                <w:tc>
                  <w:tcPr>
                    <w:tcW w:w="0" w:type="auto"/>
                    <w:hideMark/>
                  </w:tcPr>
                  <w:p w14:paraId="5E2C842F" w14:textId="77777777" w:rsidR="0074017E" w:rsidRDefault="0074017E">
                    <w:pPr>
                      <w:pStyle w:val="Bibliography"/>
                      <w:rPr>
                        <w:noProof/>
                      </w:rPr>
                    </w:pPr>
                    <w:r>
                      <w:rPr>
                        <w:noProof/>
                      </w:rPr>
                      <w:t xml:space="preserve">M. Arias Chao, C. Kulkarni, K. Goebel and O. Fink, “Aircraft Engine Run-to-Failure Dataset under Real Flight Conditions for Prognostics and Diagnostics,” </w:t>
                    </w:r>
                    <w:r>
                      <w:rPr>
                        <w:i/>
                        <w:iCs/>
                        <w:noProof/>
                      </w:rPr>
                      <w:t xml:space="preserve">Data, </w:t>
                    </w:r>
                    <w:r>
                      <w:rPr>
                        <w:noProof/>
                      </w:rPr>
                      <w:t xml:space="preserve">vol. 6(1), 2021. </w:t>
                    </w:r>
                  </w:p>
                </w:tc>
              </w:tr>
              <w:tr w:rsidR="0074017E" w14:paraId="5D1DAF65" w14:textId="77777777">
                <w:trPr>
                  <w:divId w:val="2012101133"/>
                  <w:tblCellSpacing w:w="15" w:type="dxa"/>
                </w:trPr>
                <w:tc>
                  <w:tcPr>
                    <w:tcW w:w="50" w:type="pct"/>
                    <w:hideMark/>
                  </w:tcPr>
                  <w:p w14:paraId="32BA1760" w14:textId="77777777" w:rsidR="0074017E" w:rsidRDefault="0074017E">
                    <w:pPr>
                      <w:pStyle w:val="Bibliography"/>
                      <w:rPr>
                        <w:noProof/>
                      </w:rPr>
                    </w:pPr>
                    <w:r>
                      <w:rPr>
                        <w:noProof/>
                      </w:rPr>
                      <w:t xml:space="preserve">[24] </w:t>
                    </w:r>
                  </w:p>
                </w:tc>
                <w:tc>
                  <w:tcPr>
                    <w:tcW w:w="0" w:type="auto"/>
                    <w:hideMark/>
                  </w:tcPr>
                  <w:p w14:paraId="281F8AD4" w14:textId="77777777" w:rsidR="0074017E" w:rsidRDefault="0074017E">
                    <w:pPr>
                      <w:pStyle w:val="Bibliography"/>
                      <w:rPr>
                        <w:noProof/>
                      </w:rPr>
                    </w:pPr>
                    <w:r>
                      <w:rPr>
                        <w:noProof/>
                      </w:rPr>
                      <w:t xml:space="preserve">F. E. Harrell, K. L. Lee and D. B. Mark, “Multivariable Prognostic Models: Issues in Developing Models, Evaluating Assumptions and Adequacy, and Measuring and Reducing Errors,” </w:t>
                    </w:r>
                    <w:r>
                      <w:rPr>
                        <w:i/>
                        <w:iCs/>
                        <w:noProof/>
                      </w:rPr>
                      <w:t xml:space="preserve">Statistics in Medicine, </w:t>
                    </w:r>
                    <w:r>
                      <w:rPr>
                        <w:noProof/>
                      </w:rPr>
                      <w:t xml:space="preserve">vol. 15(4), pp. 361-387, 1996. </w:t>
                    </w:r>
                  </w:p>
                </w:tc>
              </w:tr>
              <w:tr w:rsidR="0074017E" w14:paraId="1E7918A3" w14:textId="77777777">
                <w:trPr>
                  <w:divId w:val="2012101133"/>
                  <w:tblCellSpacing w:w="15" w:type="dxa"/>
                </w:trPr>
                <w:tc>
                  <w:tcPr>
                    <w:tcW w:w="50" w:type="pct"/>
                    <w:hideMark/>
                  </w:tcPr>
                  <w:p w14:paraId="56DEA15D" w14:textId="77777777" w:rsidR="0074017E" w:rsidRDefault="0074017E">
                    <w:pPr>
                      <w:pStyle w:val="Bibliography"/>
                      <w:rPr>
                        <w:noProof/>
                      </w:rPr>
                    </w:pPr>
                    <w:r>
                      <w:rPr>
                        <w:noProof/>
                      </w:rPr>
                      <w:lastRenderedPageBreak/>
                      <w:t xml:space="preserve">[25] </w:t>
                    </w:r>
                  </w:p>
                </w:tc>
                <w:tc>
                  <w:tcPr>
                    <w:tcW w:w="0" w:type="auto"/>
                    <w:hideMark/>
                  </w:tcPr>
                  <w:p w14:paraId="35E1474D" w14:textId="77777777" w:rsidR="0074017E" w:rsidRDefault="0074017E">
                    <w:pPr>
                      <w:pStyle w:val="Bibliography"/>
                      <w:rPr>
                        <w:noProof/>
                      </w:rPr>
                    </w:pPr>
                    <w:r>
                      <w:rPr>
                        <w:noProof/>
                      </w:rPr>
                      <w:t xml:space="preserve">J. Fox, Applied Regression Analysis and Generalized Linear Models, Thousand Oaks, CA: SAGE Publications, 2016. </w:t>
                    </w:r>
                  </w:p>
                </w:tc>
              </w:tr>
            </w:tbl>
            <w:p w14:paraId="26B2D984" w14:textId="77777777" w:rsidR="0074017E" w:rsidRDefault="0074017E">
              <w:pPr>
                <w:divId w:val="2012101133"/>
                <w:rPr>
                  <w:noProof/>
                </w:rPr>
              </w:pPr>
            </w:p>
            <w:p w14:paraId="2100187A" w14:textId="6F9D8F35" w:rsidR="000039DA" w:rsidRPr="005B0FA3" w:rsidRDefault="000039DA" w:rsidP="00623C1B">
              <w:pPr>
                <w:spacing w:before="100" w:beforeAutospacing="1" w:after="100" w:afterAutospacing="1"/>
                <w:rPr>
                  <w:rFonts w:cs="Arial"/>
                </w:rPr>
              </w:pPr>
              <w:r w:rsidRPr="005B0FA3">
                <w:rPr>
                  <w:rFonts w:cs="Arial"/>
                  <w:b/>
                  <w:bCs/>
                  <w:noProof/>
                </w:rPr>
                <w:fldChar w:fldCharType="end"/>
              </w:r>
            </w:p>
          </w:sdtContent>
        </w:sdt>
      </w:sdtContent>
    </w:sdt>
    <w:p w14:paraId="3774A8B1" w14:textId="77777777" w:rsidR="00656B77" w:rsidRDefault="00656B77">
      <w:pPr>
        <w:rPr>
          <w:rFonts w:eastAsia="Arial" w:cs="Arial"/>
          <w:b/>
          <w:bCs/>
          <w:color w:val="1B3A5C"/>
          <w:sz w:val="32"/>
          <w:szCs w:val="28"/>
        </w:rPr>
      </w:pPr>
      <w:r>
        <w:br w:type="page"/>
      </w:r>
    </w:p>
    <w:p w14:paraId="4523E3FC" w14:textId="538BDB9B" w:rsidR="00A807E4" w:rsidRPr="005B0FA3" w:rsidRDefault="005002FB" w:rsidP="005002FB">
      <w:pPr>
        <w:pStyle w:val="Heading1"/>
      </w:pPr>
      <w:r w:rsidRPr="005B0FA3">
        <w:lastRenderedPageBreak/>
        <w:t>Appendix</w:t>
      </w:r>
    </w:p>
    <w:p w14:paraId="7D0499EA" w14:textId="3BA311C3" w:rsidR="005002FB" w:rsidRPr="005B0FA3" w:rsidRDefault="005002FB" w:rsidP="005002FB">
      <w:pPr>
        <w:pStyle w:val="Heading2"/>
      </w:pPr>
      <w:r w:rsidRPr="005B0FA3">
        <w:t>A.1 Conceptual Primer: Multicollinearity, VIF, and Physics-Informed Feature Enrichment</w:t>
      </w:r>
    </w:p>
    <w:p w14:paraId="4D6EF457"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This appendix provides a self-contained conceptual treatment of the multicollinearity problem addressed in Section 4.6. It is intended for readers not familiar with multivariate regression diagnostics or turbo</w:t>
      </w:r>
      <w:r w:rsidRPr="005B0FA3">
        <w:rPr>
          <w:rFonts w:cs="Arial"/>
          <w:szCs w:val="20"/>
        </w:rPr>
        <w:t>-</w:t>
      </w:r>
      <w:r w:rsidRPr="004451D0">
        <w:rPr>
          <w:rFonts w:cs="Arial"/>
          <w:szCs w:val="20"/>
        </w:rPr>
        <w:t>machinery measurement theory.</w:t>
      </w:r>
    </w:p>
    <w:p w14:paraId="34A081FA" w14:textId="77777777" w:rsidR="00773E12" w:rsidRPr="005B0FA3" w:rsidRDefault="00773E12" w:rsidP="00D8578C">
      <w:pPr>
        <w:pStyle w:val="Heading3"/>
      </w:pPr>
      <w:r w:rsidRPr="005B0FA3">
        <w:t>A.1.1 What is a corrected speed measurement?</w:t>
      </w:r>
    </w:p>
    <w:p w14:paraId="0CA71B88"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A turbofan engine shaft spinning at 10,000 rpm on a cold sea-level day is aerodynamically doing something fundamentally different to the same shaft spinning at 10,000 rpm at cruise altitude on a warm day. The reason is that the aerodynamic work performed by a rotating blade depends not on rotational speed alone, but on the ratio of blade tip speed to the local speed of sound — which itself varies with temperature. To make speed measurements comparable across different ambient conditions, engineers define a </w:t>
      </w:r>
      <w:r w:rsidRPr="004451D0">
        <w:rPr>
          <w:rFonts w:cs="Arial"/>
          <w:i/>
          <w:iCs/>
          <w:szCs w:val="20"/>
        </w:rPr>
        <w:t>corrected speed</w:t>
      </w:r>
      <w:r w:rsidRPr="004451D0">
        <w:rPr>
          <w:rFonts w:cs="Arial"/>
          <w:szCs w:val="20"/>
        </w:rPr>
        <w:t xml:space="preserve"> that normalises the raw measurement to a standard reference condition. The correction factor is </w:t>
      </w:r>
      <m:oMath>
        <m:rad>
          <m:radPr>
            <m:degHide m:val="1"/>
            <m:ctrlPr>
              <w:rPr>
                <w:rFonts w:ascii="Cambria Math" w:hAnsi="Cambria Math" w:cs="Arial"/>
                <w:szCs w:val="20"/>
              </w:rPr>
            </m:ctrlPr>
          </m:radPr>
          <m:deg/>
          <m:e>
            <m:r>
              <w:rPr>
                <w:rFonts w:ascii="Cambria Math" w:hAnsi="Cambria Math" w:cs="Arial"/>
                <w:szCs w:val="20"/>
              </w:rPr>
              <m:t>θ</m:t>
            </m:r>
          </m:e>
        </m:rad>
      </m:oMath>
      <w:r w:rsidRPr="004451D0">
        <w:rPr>
          <w:rFonts w:cs="Arial"/>
          <w:szCs w:val="20"/>
        </w:rPr>
        <w:t xml:space="preserve">, where </w:t>
      </w:r>
      <m:oMath>
        <m:r>
          <w:rPr>
            <w:rFonts w:ascii="Cambria Math" w:hAnsi="Cambria Math" w:cs="Arial"/>
            <w:szCs w:val="20"/>
          </w:rPr>
          <m:t>θ</m:t>
        </m:r>
      </m:oMath>
      <w:r w:rsidRPr="004451D0">
        <w:rPr>
          <w:rFonts w:cs="Arial"/>
          <w:szCs w:val="20"/>
        </w:rPr>
        <w:t xml:space="preserve"> is the ratio of the actual inlet temperature to the ISA standard sea-level temperature of 288.15 K. Dividing the physical speed by </w:t>
      </w:r>
      <m:oMath>
        <m:rad>
          <m:radPr>
            <m:degHide m:val="1"/>
            <m:ctrlPr>
              <w:rPr>
                <w:rFonts w:ascii="Cambria Math" w:hAnsi="Cambria Math" w:cs="Arial"/>
                <w:szCs w:val="20"/>
              </w:rPr>
            </m:ctrlPr>
          </m:radPr>
          <m:deg/>
          <m:e>
            <m:r>
              <w:rPr>
                <w:rFonts w:ascii="Cambria Math" w:hAnsi="Cambria Math" w:cs="Arial"/>
                <w:szCs w:val="20"/>
              </w:rPr>
              <m:t>θ</m:t>
            </m:r>
          </m:e>
        </m:rad>
      </m:oMath>
      <w:r w:rsidRPr="005B0FA3">
        <w:rPr>
          <w:rFonts w:cs="Arial"/>
          <w:szCs w:val="20"/>
        </w:rPr>
        <w:t xml:space="preserve"> </w:t>
      </w:r>
      <w:r w:rsidRPr="004451D0">
        <w:rPr>
          <w:rFonts w:cs="Arial"/>
          <w:szCs w:val="20"/>
        </w:rPr>
        <w:t xml:space="preserve">answers the question: "what speed would this shaft need to run at under standard conditions to produce the same aerodynamic effect?" This is the corrected speed, and it is why C-MAPSS records both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f</m:t>
            </m:r>
          </m:sub>
        </m:sSub>
      </m:oMath>
      <w:r w:rsidRPr="004451D0">
        <w:rPr>
          <w:rFonts w:cs="Arial"/>
          <w:szCs w:val="20"/>
        </w:rPr>
        <w:t xml:space="preserve"> alongside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f</m:t>
            </m:r>
          </m:sub>
        </m:sSub>
      </m:oMath>
      <w:r w:rsidRPr="004451D0">
        <w:rPr>
          <w:rFonts w:cs="Arial"/>
          <w:szCs w:val="20"/>
        </w:rPr>
        <w:t xml:space="preserve">, and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c</m:t>
            </m:r>
          </m:sub>
        </m:sSub>
      </m:oMath>
      <w:r w:rsidRPr="004451D0">
        <w:rPr>
          <w:rFonts w:cs="Arial"/>
          <w:szCs w:val="20"/>
        </w:rPr>
        <w:t xml:space="preserve"> alongside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c</m:t>
            </m:r>
          </m:sub>
        </m:sSub>
      </m:oMath>
      <w:r w:rsidRPr="004451D0">
        <w:rPr>
          <w:rFonts w:cs="Arial"/>
          <w:szCs w:val="20"/>
        </w:rPr>
        <w:t>.</w:t>
      </w:r>
    </w:p>
    <w:p w14:paraId="01D7DD5E" w14:textId="77777777" w:rsidR="00773E12" w:rsidRPr="005B0FA3" w:rsidRDefault="00773E12" w:rsidP="00D8578C">
      <w:pPr>
        <w:pStyle w:val="Heading3"/>
      </w:pPr>
      <w:r w:rsidRPr="005B0FA3">
        <w:t>A.1.2 Why does this create a problem for a machine learning model?</w:t>
      </w:r>
    </w:p>
    <w:p w14:paraId="51541206"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Within any single operating regime — as defined by the K-Means clustering in Phase 2 — the ambient conditions are approximately fixed. This means the correction factor </w:t>
      </w:r>
      <m:oMath>
        <m:rad>
          <m:radPr>
            <m:degHide m:val="1"/>
            <m:ctrlPr>
              <w:rPr>
                <w:rFonts w:ascii="Cambria Math" w:hAnsi="Cambria Math" w:cs="Arial"/>
                <w:szCs w:val="20"/>
              </w:rPr>
            </m:ctrlPr>
          </m:radPr>
          <m:deg/>
          <m:e>
            <m:r>
              <w:rPr>
                <w:rFonts w:ascii="Cambria Math" w:hAnsi="Cambria Math" w:cs="Arial"/>
                <w:szCs w:val="20"/>
              </w:rPr>
              <m:t>θ</m:t>
            </m:r>
          </m:e>
        </m:rad>
      </m:oMath>
      <w:r w:rsidRPr="004451D0">
        <w:rPr>
          <w:rFonts w:cs="Arial"/>
          <w:szCs w:val="20"/>
        </w:rPr>
        <w:t xml:space="preserve"> is approximately constant within the regime. If </w:t>
      </w:r>
      <m:oMath>
        <m:rad>
          <m:radPr>
            <m:degHide m:val="1"/>
            <m:ctrlPr>
              <w:rPr>
                <w:rFonts w:ascii="Cambria Math" w:hAnsi="Cambria Math" w:cs="Arial"/>
                <w:szCs w:val="20"/>
              </w:rPr>
            </m:ctrlPr>
          </m:radPr>
          <m:deg/>
          <m:e>
            <m:r>
              <w:rPr>
                <w:rFonts w:ascii="Cambria Math" w:hAnsi="Cambria Math" w:cs="Arial"/>
                <w:szCs w:val="20"/>
              </w:rPr>
              <m:t>θ</m:t>
            </m:r>
          </m:e>
        </m:rad>
        <m:r>
          <m:rPr>
            <m:sty m:val="p"/>
          </m:rPr>
          <w:rPr>
            <w:rFonts w:ascii="Cambria Math" w:hAnsi="Cambria Math" w:cs="Arial"/>
            <w:szCs w:val="20"/>
          </w:rPr>
          <m:t>≈</m:t>
        </m:r>
        <m:r>
          <w:rPr>
            <w:rFonts w:ascii="Cambria Math" w:hAnsi="Cambria Math" w:cs="Arial"/>
            <w:szCs w:val="20"/>
          </w:rPr>
          <m:t>k</m:t>
        </m:r>
      </m:oMath>
      <w:r w:rsidRPr="004451D0">
        <w:rPr>
          <w:rFonts w:cs="Arial"/>
          <w:szCs w:val="20"/>
        </w:rPr>
        <w:t xml:space="preserve">, then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x</m:t>
            </m:r>
          </m:sub>
        </m:sSub>
        <m:r>
          <m:rPr>
            <m:sty m:val="p"/>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ctrlPr>
              <w:rPr>
                <w:rFonts w:ascii="Cambria Math" w:hAnsi="Cambria Math" w:cs="Arial"/>
                <w:szCs w:val="20"/>
              </w:rPr>
            </m:ctrlPr>
          </m:e>
          <m:sub>
            <m:r>
              <w:rPr>
                <w:rFonts w:ascii="Cambria Math" w:hAnsi="Cambria Math" w:cs="Arial"/>
                <w:szCs w:val="20"/>
              </w:rPr>
              <m:t>x</m:t>
            </m:r>
          </m:sub>
        </m:sSub>
        <m:r>
          <m:rPr>
            <m:lit/>
          </m:rPr>
          <w:rPr>
            <w:rFonts w:ascii="Cambria Math" w:hAnsi="Cambria Math" w:cs="Arial"/>
            <w:szCs w:val="20"/>
          </w:rPr>
          <m:t>/</m:t>
        </m:r>
        <m:r>
          <w:rPr>
            <w:rFonts w:ascii="Cambria Math" w:hAnsi="Cambria Math" w:cs="Arial"/>
            <w:szCs w:val="20"/>
          </w:rPr>
          <m:t>k</m:t>
        </m:r>
      </m:oMath>
      <w:r w:rsidRPr="004451D0">
        <w:rPr>
          <w:rFonts w:cs="Arial"/>
          <w:szCs w:val="20"/>
        </w:rPr>
        <w:t xml:space="preserve">, which is simply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x</m:t>
            </m:r>
          </m:sub>
        </m:sSub>
      </m:oMath>
      <w:r w:rsidRPr="004451D0">
        <w:rPr>
          <w:rFonts w:cs="Arial"/>
          <w:szCs w:val="20"/>
        </w:rPr>
        <w:t xml:space="preserve"> scaled by a constant. The two sensors move together almost perfectly. If you plot one against the other within a single regime, the points fall almost exactly on a straight line.</w:t>
      </w:r>
    </w:p>
    <w:p w14:paraId="214456D6"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For a human engineer this is perfectly intelligible — they know the two sensors measure the same physical shaft with different normalisations. For a machine learning model, which has no knowledge of the underlying physics, the two sensors simply appear as two numerical columns that contain almost identical information. The model cannot determine which of the two is responsible for any given prediction. Its importance scores become unreliable — the credit for a correct prediction may be arbitrarily assigned to s8 rather than </w:t>
      </w:r>
      <w:r w:rsidRPr="005B0FA3">
        <w:rPr>
          <w:rFonts w:cs="Arial"/>
          <w:szCs w:val="20"/>
        </w:rPr>
        <w:t>s13 or</w:t>
      </w:r>
      <w:r w:rsidRPr="004451D0">
        <w:rPr>
          <w:rFonts w:cs="Arial"/>
          <w:szCs w:val="20"/>
        </w:rPr>
        <w:t xml:space="preserve"> split in some proportion that has nothing to do with physical reality. This is multicollinearity.</w:t>
      </w:r>
    </w:p>
    <w:p w14:paraId="55C41460" w14:textId="77777777" w:rsidR="00773E12" w:rsidRPr="005B0FA3" w:rsidRDefault="00773E12" w:rsidP="00D8578C">
      <w:pPr>
        <w:pStyle w:val="Heading3"/>
      </w:pPr>
      <w:r w:rsidRPr="005B0FA3">
        <w:t>A.1.3 What is the Variance Inflation Factor?</w:t>
      </w:r>
    </w:p>
    <w:p w14:paraId="5E4E8F66"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The VIF is the standard quantitative diagnostic for multicollinearity. For a given feature </w:t>
      </w:r>
      <m:oMath>
        <m:r>
          <w:rPr>
            <w:rFonts w:ascii="Cambria Math" w:hAnsi="Cambria Math" w:cs="Arial"/>
            <w:szCs w:val="20"/>
          </w:rPr>
          <m:t>j</m:t>
        </m:r>
      </m:oMath>
      <w:r w:rsidRPr="004451D0">
        <w:rPr>
          <w:rFonts w:cs="Arial"/>
          <w:szCs w:val="20"/>
        </w:rPr>
        <w:t xml:space="preserve">, you temporarily treat it as the dependent variable and regress it on all other features. The </w:t>
      </w:r>
      <m:oMath>
        <m:sSup>
          <m:sSupPr>
            <m:ctrlPr>
              <w:rPr>
                <w:rFonts w:ascii="Cambria Math" w:hAnsi="Cambria Math" w:cs="Arial"/>
                <w:i/>
                <w:szCs w:val="20"/>
              </w:rPr>
            </m:ctrlPr>
          </m:sSupPr>
          <m:e>
            <m:r>
              <w:rPr>
                <w:rFonts w:ascii="Cambria Math" w:hAnsi="Cambria Math" w:cs="Arial"/>
                <w:szCs w:val="20"/>
              </w:rPr>
              <m:t>R</m:t>
            </m:r>
          </m:e>
          <m:sup>
            <m:r>
              <w:rPr>
                <w:rFonts w:ascii="Cambria Math" w:hAnsi="Cambria Math" w:cs="Arial"/>
                <w:szCs w:val="20"/>
              </w:rPr>
              <m:t>2</m:t>
            </m:r>
          </m:sup>
        </m:sSup>
      </m:oMath>
      <w:r w:rsidRPr="004451D0">
        <w:rPr>
          <w:rFonts w:cs="Arial"/>
          <w:szCs w:val="20"/>
        </w:rPr>
        <w:t xml:space="preserve"> from this regression measures how well the other features explain </w:t>
      </w:r>
      <m:oMath>
        <m:r>
          <w:rPr>
            <w:rFonts w:ascii="Cambria Math" w:hAnsi="Cambria Math" w:cs="Arial"/>
            <w:szCs w:val="20"/>
          </w:rPr>
          <m:t>j</m:t>
        </m:r>
      </m:oMath>
      <w:r w:rsidRPr="004451D0">
        <w:rPr>
          <w:rFonts w:cs="Arial"/>
          <w:szCs w:val="20"/>
        </w:rPr>
        <w:t xml:space="preserve">. If </w:t>
      </w:r>
      <m:oMath>
        <m:sSubSup>
          <m:sSubSupPr>
            <m:ctrlPr>
              <w:rPr>
                <w:rFonts w:ascii="Cambria Math" w:hAnsi="Cambria Math" w:cs="Arial"/>
                <w:i/>
                <w:szCs w:val="20"/>
              </w:rPr>
            </m:ctrlPr>
          </m:sSubSupPr>
          <m:e>
            <m:r>
              <w:rPr>
                <w:rFonts w:ascii="Cambria Math" w:hAnsi="Cambria Math" w:cs="Arial"/>
                <w:szCs w:val="20"/>
              </w:rPr>
              <m:t>R</m:t>
            </m:r>
          </m:e>
          <m:sub>
            <m:r>
              <w:rPr>
                <w:rFonts w:ascii="Cambria Math" w:hAnsi="Cambria Math" w:cs="Arial"/>
                <w:szCs w:val="20"/>
              </w:rPr>
              <m:t>j</m:t>
            </m:r>
          </m:sub>
          <m:sup>
            <m:r>
              <w:rPr>
                <w:rFonts w:ascii="Cambria Math" w:hAnsi="Cambria Math" w:cs="Arial"/>
                <w:szCs w:val="20"/>
              </w:rPr>
              <m:t>2</m:t>
            </m:r>
          </m:sup>
        </m:sSubSup>
      </m:oMath>
      <w:r w:rsidRPr="004451D0">
        <w:rPr>
          <w:rFonts w:cs="Arial"/>
          <w:szCs w:val="20"/>
        </w:rPr>
        <w:t xml:space="preserve"> is high, the other features can reconstruct </w:t>
      </w:r>
      <m:oMath>
        <m:r>
          <w:rPr>
            <w:rFonts w:ascii="Cambria Math" w:hAnsi="Cambria Math" w:cs="Arial"/>
            <w:szCs w:val="20"/>
          </w:rPr>
          <m:t>j</m:t>
        </m:r>
      </m:oMath>
      <w:r w:rsidRPr="004451D0">
        <w:rPr>
          <w:rFonts w:cs="Arial"/>
          <w:szCs w:val="20"/>
        </w:rPr>
        <w:t xml:space="preserve"> almost perfectly — which means </w:t>
      </w:r>
      <m:oMath>
        <m:r>
          <w:rPr>
            <w:rFonts w:ascii="Cambria Math" w:hAnsi="Cambria Math" w:cs="Arial"/>
            <w:szCs w:val="20"/>
          </w:rPr>
          <m:t>j</m:t>
        </m:r>
      </m:oMath>
      <w:r w:rsidRPr="004451D0">
        <w:rPr>
          <w:rFonts w:cs="Arial"/>
          <w:szCs w:val="20"/>
        </w:rPr>
        <w:t xml:space="preserve"> is not contributing genuinely independent information to the model. The VIF is then:</w:t>
      </w:r>
    </w:p>
    <w:p w14:paraId="06E024CF" w14:textId="77777777" w:rsidR="00773E12" w:rsidRPr="004451D0" w:rsidRDefault="00000000" w:rsidP="00773E12">
      <w:pPr>
        <w:spacing w:before="100" w:beforeAutospacing="1" w:after="100" w:afterAutospacing="1"/>
        <w:jc w:val="both"/>
        <w:rPr>
          <w:rFonts w:cs="Arial"/>
          <w:szCs w:val="20"/>
        </w:rPr>
      </w:pPr>
      <m:oMathPara>
        <m:oMath>
          <m:sSub>
            <m:sSubPr>
              <m:ctrlPr>
                <w:rPr>
                  <w:rFonts w:ascii="Cambria Math" w:hAnsi="Cambria Math" w:cs="Arial"/>
                  <w:i/>
                  <w:szCs w:val="20"/>
                </w:rPr>
              </m:ctrlPr>
            </m:sSubPr>
            <m:e>
              <m:r>
                <m:rPr>
                  <m:nor/>
                </m:rPr>
                <w:rPr>
                  <w:rFonts w:cs="Arial"/>
                  <w:szCs w:val="20"/>
                </w:rPr>
                <m:t>VIF</m:t>
              </m:r>
              <m:ctrlPr>
                <w:rPr>
                  <w:rFonts w:ascii="Cambria Math" w:hAnsi="Cambria Math" w:cs="Arial"/>
                  <w:szCs w:val="20"/>
                </w:rPr>
              </m:ctrlPr>
            </m:e>
            <m:sub>
              <m:r>
                <w:rPr>
                  <w:rFonts w:ascii="Cambria Math" w:hAnsi="Cambria Math" w:cs="Arial"/>
                  <w:szCs w:val="20"/>
                </w:rPr>
                <m:t>j</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1</m:t>
              </m:r>
              <m:ctrlPr>
                <w:rPr>
                  <w:rFonts w:ascii="Cambria Math" w:hAnsi="Cambria Math" w:cs="Arial"/>
                  <w:i/>
                  <w:szCs w:val="20"/>
                </w:rPr>
              </m:ctrlPr>
            </m:num>
            <m:den>
              <m:r>
                <w:rPr>
                  <w:rFonts w:ascii="Cambria Math" w:hAnsi="Cambria Math" w:cs="Arial"/>
                  <w:szCs w:val="20"/>
                </w:rPr>
                <m:t>1-</m:t>
              </m:r>
              <m:sSubSup>
                <m:sSubSupPr>
                  <m:ctrlPr>
                    <w:rPr>
                      <w:rFonts w:ascii="Cambria Math" w:hAnsi="Cambria Math" w:cs="Arial"/>
                      <w:i/>
                      <w:szCs w:val="20"/>
                    </w:rPr>
                  </m:ctrlPr>
                </m:sSubSupPr>
                <m:e>
                  <m:r>
                    <w:rPr>
                      <w:rFonts w:ascii="Cambria Math" w:hAnsi="Cambria Math" w:cs="Arial"/>
                      <w:szCs w:val="20"/>
                    </w:rPr>
                    <m:t>R</m:t>
                  </m:r>
                </m:e>
                <m:sub>
                  <m:r>
                    <w:rPr>
                      <w:rFonts w:ascii="Cambria Math" w:hAnsi="Cambria Math" w:cs="Arial"/>
                      <w:szCs w:val="20"/>
                    </w:rPr>
                    <m:t>j</m:t>
                  </m:r>
                </m:sub>
                <m:sup>
                  <m:r>
                    <w:rPr>
                      <w:rFonts w:ascii="Cambria Math" w:hAnsi="Cambria Math" w:cs="Arial"/>
                      <w:szCs w:val="20"/>
                    </w:rPr>
                    <m:t>2</m:t>
                  </m:r>
                </m:sup>
              </m:sSubSup>
              <m:ctrlPr>
                <w:rPr>
                  <w:rFonts w:ascii="Cambria Math" w:hAnsi="Cambria Math" w:cs="Arial"/>
                  <w:i/>
                  <w:szCs w:val="20"/>
                </w:rPr>
              </m:ctrlPr>
            </m:den>
          </m:f>
        </m:oMath>
      </m:oMathPara>
    </w:p>
    <w:p w14:paraId="5FF0CA20"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A VIF of 1.0 means the feature is completely independent. A VIF of 10 means 90% of its variance is explained by other features. A VIF approaching infinity means near-perfect linear dependence — the feature is almost entirely redundant given the others. The conventional engineering threshold for concern is </w:t>
      </w:r>
      <m:oMath>
        <m:r>
          <w:rPr>
            <w:rFonts w:ascii="Cambria Math" w:hAnsi="Cambria Math" w:cs="Arial"/>
            <w:szCs w:val="20"/>
          </w:rPr>
          <m:t>VIF ≥ 10</m:t>
        </m:r>
      </m:oMath>
      <w:r w:rsidRPr="004451D0">
        <w:rPr>
          <w:rFonts w:cs="Arial"/>
          <w:szCs w:val="20"/>
        </w:rPr>
        <w:t xml:space="preserve">. The s8/s13 pair produces </w:t>
      </w:r>
      <m:oMath>
        <m:r>
          <w:rPr>
            <w:rFonts w:ascii="Cambria Math" w:hAnsi="Cambria Math" w:cs="Arial"/>
            <w:szCs w:val="20"/>
          </w:rPr>
          <m:t>VIF = 9.3</m:t>
        </m:r>
      </m:oMath>
      <w:r w:rsidRPr="004451D0">
        <w:rPr>
          <w:rFonts w:cs="Arial"/>
          <w:szCs w:val="20"/>
        </w:rPr>
        <w:t xml:space="preserve"> and the s9/s14 pair produces </w:t>
      </w:r>
      <m:oMath>
        <m:r>
          <w:rPr>
            <w:rFonts w:ascii="Cambria Math" w:hAnsi="Cambria Math" w:cs="Arial"/>
            <w:szCs w:val="20"/>
          </w:rPr>
          <m:t>VIF = 9.6</m:t>
        </m:r>
      </m:oMath>
      <w:r w:rsidRPr="004451D0">
        <w:rPr>
          <w:rFonts w:cs="Arial"/>
          <w:szCs w:val="20"/>
        </w:rPr>
        <w:t xml:space="preserve"> — both just below the threshold but firmly in the region where feature importance scores cannot be trusted without further intervention.</w:t>
      </w:r>
    </w:p>
    <w:p w14:paraId="33871EEB" w14:textId="77777777" w:rsidR="00773E12" w:rsidRPr="005B0FA3" w:rsidRDefault="00773E12" w:rsidP="00D8578C">
      <w:pPr>
        <w:pStyle w:val="Heading3"/>
      </w:pPr>
      <w:r w:rsidRPr="005B0FA3">
        <w:lastRenderedPageBreak/>
        <w:t>A.1.4 Why not simply remove one sensor from each pair?</w:t>
      </w:r>
    </w:p>
    <w:p w14:paraId="61B9E96C"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The intuitive response to multicollinearity is to discard one of the two correlated features. In many data science contexts this is standard practice. In FusionCore it is explicitly prohibited because it discards physical information. The physical speed </w:t>
      </w:r>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f</m:t>
            </m:r>
          </m:sub>
        </m:sSub>
      </m:oMath>
      <w:r w:rsidRPr="004451D0">
        <w:rPr>
          <w:rFonts w:cs="Arial"/>
          <w:szCs w:val="20"/>
        </w:rPr>
        <w:t xml:space="preserve"> and the corrected speed </w:t>
      </w:r>
      <m:oMath>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f</m:t>
            </m:r>
          </m:sub>
        </m:sSub>
      </m:oMath>
      <w:r w:rsidRPr="004451D0">
        <w:rPr>
          <w:rFonts w:cs="Arial"/>
          <w:szCs w:val="20"/>
        </w:rPr>
        <w:t xml:space="preserve"> are not interchangeable — they encode different aspects of the same physical process. The raw speed reflects absolute mechanical loading; the corrected speed reflects aerodynamic performance normalised to standard conditions. Both are independently informative for degradation modelling. Removing either would introduce a gap in the physical information available to the model.</w:t>
      </w:r>
    </w:p>
    <w:p w14:paraId="343CBC16" w14:textId="77777777" w:rsidR="00773E12" w:rsidRPr="005B0FA3" w:rsidRDefault="00773E12" w:rsidP="00D8578C">
      <w:pPr>
        <w:pStyle w:val="Heading3"/>
      </w:pPr>
      <w:r w:rsidRPr="005B0FA3">
        <w:t>A.1.5 What does the ratio feature achieve?</w:t>
      </w:r>
    </w:p>
    <w:p w14:paraId="19086865" w14:textId="77777777" w:rsidR="00773E12" w:rsidRPr="004451D0" w:rsidRDefault="00773E12" w:rsidP="00773E12">
      <w:pPr>
        <w:spacing w:before="100" w:beforeAutospacing="1" w:after="100" w:afterAutospacing="1"/>
        <w:jc w:val="both"/>
        <w:rPr>
          <w:rFonts w:cs="Arial"/>
          <w:szCs w:val="20"/>
        </w:rPr>
      </w:pPr>
      <w:r w:rsidRPr="004451D0">
        <w:rPr>
          <w:rFonts w:cs="Arial"/>
          <w:szCs w:val="20"/>
        </w:rPr>
        <w:t xml:space="preserve">The ratio feature </w:t>
      </w:r>
      <m:oMath>
        <m:r>
          <w:rPr>
            <w:rFonts w:ascii="Cambria Math" w:hAnsi="Cambria Math" w:cs="Arial"/>
            <w:szCs w:val="20"/>
          </w:rPr>
          <m:t>ρ=</m:t>
        </m:r>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x</m:t>
            </m:r>
          </m:sub>
        </m:sSub>
        <m:r>
          <m:rPr>
            <m:lit/>
          </m:rPr>
          <w:rPr>
            <w:rFonts w:ascii="Cambria Math" w:hAnsi="Cambria Math" w:cs="Arial"/>
            <w:szCs w:val="20"/>
          </w:rPr>
          <m:t>/</m:t>
        </m:r>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R</m:t>
            </m:r>
          </m:e>
          <m:sub>
            <m:r>
              <w:rPr>
                <w:rFonts w:ascii="Cambria Math" w:hAnsi="Cambria Math" w:cs="Arial"/>
                <w:szCs w:val="20"/>
              </w:rPr>
              <m:t>x</m:t>
            </m:r>
          </m:sub>
        </m:sSub>
      </m:oMath>
      <w:r w:rsidRPr="004451D0">
        <w:rPr>
          <w:rFonts w:cs="Arial"/>
          <w:szCs w:val="20"/>
        </w:rPr>
        <w:t xml:space="preserve"> explicitly encodes the correction factor </w:t>
      </w:r>
      <m:oMath>
        <m:rad>
          <m:radPr>
            <m:degHide m:val="1"/>
            <m:ctrlPr>
              <w:rPr>
                <w:rFonts w:ascii="Cambria Math" w:hAnsi="Cambria Math" w:cs="Arial"/>
                <w:szCs w:val="20"/>
              </w:rPr>
            </m:ctrlPr>
          </m:radPr>
          <m:deg/>
          <m:e>
            <m:r>
              <w:rPr>
                <w:rFonts w:ascii="Cambria Math" w:hAnsi="Cambria Math" w:cs="Arial"/>
                <w:szCs w:val="20"/>
              </w:rPr>
              <m:t>θ</m:t>
            </m:r>
          </m:e>
        </m:rad>
      </m:oMath>
      <w:r w:rsidRPr="004451D0">
        <w:rPr>
          <w:rFonts w:cs="Arial"/>
          <w:szCs w:val="20"/>
        </w:rPr>
        <w:t xml:space="preserve"> as a named, interpretable quantity in the feature matrix. This achieves two things simultaneously. First, it gives the model a direct representation of the operating condition correction — information that was previously only implicit in the relationship between the two sensors. Second, it provides the SHAP analysis in Phase 4 with a clearly interpretable feature to which attribution can be assigned. When SHAP reports that </w:t>
      </w:r>
      <m:oMath>
        <m:sSub>
          <m:sSubPr>
            <m:ctrlPr>
              <w:rPr>
                <w:rFonts w:ascii="Cambria Math" w:hAnsi="Cambria Math" w:cs="Arial"/>
                <w:i/>
                <w:szCs w:val="20"/>
              </w:rPr>
            </m:ctrlPr>
          </m:sSubPr>
          <m:e>
            <m:r>
              <w:rPr>
                <w:rFonts w:ascii="Cambria Math" w:hAnsi="Cambria Math" w:cs="Arial"/>
                <w:szCs w:val="20"/>
              </w:rPr>
              <m:t>ρ</m:t>
            </m:r>
            <m:ctrlPr>
              <w:rPr>
                <w:rFonts w:ascii="Cambria Math" w:hAnsi="Cambria Math" w:cs="Arial"/>
                <w:szCs w:val="20"/>
              </w:rPr>
            </m:ctrlPr>
          </m:e>
          <m:sub>
            <m:r>
              <w:rPr>
                <w:rFonts w:ascii="Cambria Math" w:hAnsi="Cambria Math" w:cs="Arial"/>
                <w:szCs w:val="20"/>
              </w:rPr>
              <m:t>f</m:t>
            </m:r>
          </m:sub>
        </m:sSub>
      </m:oMath>
      <w:r w:rsidRPr="004451D0">
        <w:rPr>
          <w:rFonts w:cs="Arial"/>
          <w:szCs w:val="20"/>
        </w:rPr>
        <w:t xml:space="preserve"> is an important feature, this has a specific physical meaning: the operating condition correction factor is influencing the RUL prediction. When SHAP reports that s8 is important, this means the absolute fan shaft speed is influencing the prediction. These are distinct, defensible physical claims. Without the ratio feature, the importance split between s8 and s13 carries no physical meaning whatsoever.</w:t>
      </w:r>
    </w:p>
    <w:p w14:paraId="72999A58" w14:textId="77777777" w:rsidR="00773E12" w:rsidRPr="005B0FA3" w:rsidRDefault="00773E12" w:rsidP="00D8578C">
      <w:pPr>
        <w:pStyle w:val="Heading3"/>
      </w:pPr>
      <w:r w:rsidRPr="005B0FA3">
        <w:t xml:space="preserve">A.1.6 The instability problem with </w:t>
      </w:r>
      <m:oMath>
        <m:sSub>
          <m:sSubPr>
            <m:ctrlPr>
              <w:rPr>
                <w:rFonts w:ascii="Cambria Math" w:hAnsi="Cambria Math"/>
                <w:i/>
                <w:iCs/>
              </w:rPr>
            </m:ctrlPr>
          </m:sSubPr>
          <m:e>
            <m:r>
              <m:rPr>
                <m:sty m:val="bi"/>
              </m:rPr>
              <w:rPr>
                <w:rFonts w:ascii="Cambria Math" w:hAnsi="Cambria Math"/>
              </w:rPr>
              <m:t>ρ</m:t>
            </m:r>
            <m:ctrlPr>
              <w:rPr>
                <w:rFonts w:ascii="Cambria Math" w:hAnsi="Cambria Math"/>
                <w:iCs/>
              </w:rPr>
            </m:ctrlPr>
          </m:e>
          <m:sub>
            <m:r>
              <m:rPr>
                <m:sty m:val="bi"/>
              </m:rPr>
              <w:rPr>
                <w:rFonts w:ascii="Cambria Math" w:hAnsi="Cambria Math"/>
              </w:rPr>
              <m:t>c</m:t>
            </m:r>
          </m:sub>
        </m:sSub>
      </m:oMath>
    </w:p>
    <w:p w14:paraId="0A88B7C5" w14:textId="65AF9843" w:rsidR="005002FB" w:rsidRDefault="00773E12" w:rsidP="009003FD">
      <w:pPr>
        <w:spacing w:before="100" w:beforeAutospacing="1" w:after="100" w:afterAutospacing="1"/>
        <w:jc w:val="both"/>
        <w:rPr>
          <w:rFonts w:cs="Arial"/>
          <w:szCs w:val="20"/>
        </w:rPr>
      </w:pPr>
      <w:r w:rsidRPr="004451D0">
        <w:rPr>
          <w:rFonts w:cs="Arial"/>
          <w:szCs w:val="20"/>
        </w:rPr>
        <w:t xml:space="preserve">The ratio </w:t>
      </w:r>
      <m:oMath>
        <m:sSub>
          <m:sSubPr>
            <m:ctrlPr>
              <w:rPr>
                <w:rFonts w:ascii="Cambria Math" w:hAnsi="Cambria Math" w:cs="Arial"/>
                <w:i/>
                <w:szCs w:val="20"/>
              </w:rPr>
            </m:ctrlPr>
          </m:sSubPr>
          <m:e>
            <m:r>
              <w:rPr>
                <w:rFonts w:ascii="Cambria Math" w:hAnsi="Cambria Math" w:cs="Arial"/>
                <w:szCs w:val="20"/>
              </w:rPr>
              <m:t>ρ</m:t>
            </m:r>
            <m:ctrlPr>
              <w:rPr>
                <w:rFonts w:ascii="Cambria Math" w:hAnsi="Cambria Math" w:cs="Arial"/>
                <w:szCs w:val="20"/>
              </w:rPr>
            </m:ctrlPr>
          </m:e>
          <m:sub>
            <m:r>
              <w:rPr>
                <w:rFonts w:ascii="Cambria Math" w:hAnsi="Cambria Math" w:cs="Arial"/>
                <w:szCs w:val="20"/>
              </w:rPr>
              <m:t>c</m:t>
            </m:r>
          </m:sub>
        </m:sSub>
        <m:r>
          <w:rPr>
            <w:rFonts w:ascii="Cambria Math" w:hAnsi="Cambria Math" w:cs="Arial"/>
            <w:szCs w:val="20"/>
          </w:rPr>
          <m:t>=s9</m:t>
        </m:r>
        <m:r>
          <m:rPr>
            <m:lit/>
          </m:rPr>
          <w:rPr>
            <w:rFonts w:ascii="Cambria Math" w:hAnsi="Cambria Math" w:cs="Arial"/>
            <w:szCs w:val="20"/>
          </w:rPr>
          <m:t>/</m:t>
        </m:r>
        <m:r>
          <w:rPr>
            <w:rFonts w:ascii="Cambria Math" w:hAnsi="Cambria Math" w:cs="Arial"/>
            <w:szCs w:val="20"/>
          </w:rPr>
          <m:t>s14</m:t>
        </m:r>
      </m:oMath>
      <w:r w:rsidRPr="004451D0">
        <w:rPr>
          <w:rFonts w:cs="Arial"/>
          <w:szCs w:val="20"/>
        </w:rPr>
        <w:t xml:space="preserve"> presents a numerical complication. After z-normalisation, s14 has a mean of approximately zero within each regime — this is what z-normalisation always produces. Division by a near-zero number produces extremely large values, not because the engine is behaving anomalously, but as a pure mathematical artefact of the normalisation. The safe-division guard replaces near-zero denominators with zero to prevent these explosions, but values near but not below the threshold still produce large ratios. The result is a feature with a standard deviation of 650.60 — vastly larger than any other feature in the matrix. A tree-based model may preferentially split on this feature simply because its range is so large, even if the splits carry no predictive signal. This is why SHAP auditing of </w:t>
      </w:r>
      <m:oMath>
        <m:sSub>
          <m:sSubPr>
            <m:ctrlPr>
              <w:rPr>
                <w:rFonts w:ascii="Cambria Math" w:hAnsi="Cambria Math" w:cs="Arial"/>
                <w:i/>
                <w:szCs w:val="20"/>
              </w:rPr>
            </m:ctrlPr>
          </m:sSubPr>
          <m:e>
            <m:r>
              <w:rPr>
                <w:rFonts w:ascii="Cambria Math" w:hAnsi="Cambria Math" w:cs="Arial"/>
                <w:szCs w:val="20"/>
              </w:rPr>
              <m:t>ρ</m:t>
            </m:r>
            <m:ctrlPr>
              <w:rPr>
                <w:rFonts w:ascii="Cambria Math" w:hAnsi="Cambria Math" w:cs="Arial"/>
                <w:szCs w:val="20"/>
              </w:rPr>
            </m:ctrlPr>
          </m:e>
          <m:sub>
            <m:r>
              <w:rPr>
                <w:rFonts w:ascii="Cambria Math" w:hAnsi="Cambria Math" w:cs="Arial"/>
                <w:szCs w:val="20"/>
              </w:rPr>
              <m:t>c</m:t>
            </m:r>
          </m:sub>
        </m:sSub>
      </m:oMath>
      <w:r w:rsidRPr="004451D0">
        <w:rPr>
          <w:rFonts w:cs="Arial"/>
          <w:szCs w:val="20"/>
        </w:rPr>
        <w:t xml:space="preserve"> is mandated in Phase 4 before any operational conclusions are drawn from the model.</w:t>
      </w:r>
    </w:p>
    <w:p w14:paraId="7D9F7950" w14:textId="7E0F068E" w:rsidR="00CE15B2" w:rsidRPr="00BB31E8" w:rsidRDefault="00CE15B2" w:rsidP="00CE15B2">
      <w:pPr>
        <w:pStyle w:val="Heading2"/>
      </w:pPr>
      <w:r w:rsidRPr="00BB31E8">
        <w:t>A.2 N-CMAPSS as a Proxy Validation Environment for Real OEM Engine Monitoring Systems</w:t>
      </w:r>
    </w:p>
    <w:p w14:paraId="69FDFA94" w14:textId="4BF18455" w:rsidR="00CE15B2" w:rsidRPr="00BB31E8" w:rsidRDefault="00CE15B2" w:rsidP="00B36896">
      <w:pPr>
        <w:spacing w:before="100" w:beforeAutospacing="1" w:after="100" w:afterAutospacing="1"/>
        <w:jc w:val="both"/>
        <w:rPr>
          <w:rFonts w:cs="Arial"/>
          <w:szCs w:val="20"/>
        </w:rPr>
      </w:pPr>
      <w:r w:rsidRPr="00BB31E8">
        <w:rPr>
          <w:rFonts w:cs="Arial"/>
          <w:szCs w:val="20"/>
        </w:rPr>
        <w:t xml:space="preserve">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0</m:t>
            </m:r>
          </m:sub>
        </m:sSub>
      </m:oMath>
      <w:r w:rsidRPr="00BB31E8">
        <w:rPr>
          <w:rFonts w:cs="Arial"/>
          <w:szCs w:val="20"/>
        </w:rPr>
        <w:t xml:space="preserve"> is trained and validated exclusively on the NASA C-MAPSS dataset — a simulation of turbofan engine degradation under controlled, idealised conditions. The six discrete operating points, clean sensor readings, perfectly labelled RUL targets, and absence of maintenance resets or fleet variability are properties of a simulation environment that do not hold in real operational data. The transition from C-MAPSS to real engine telemetry therefore requires an intermediate validation step, and this role is fulfilled in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2</m:t>
            </m:r>
          </m:sub>
        </m:sSub>
      </m:oMath>
      <w:r>
        <w:rPr>
          <w:rFonts w:cs="Arial"/>
          <w:sz w:val="18"/>
          <w:szCs w:val="18"/>
        </w:rPr>
        <w:t xml:space="preserve"> </w:t>
      </w:r>
      <w:r w:rsidRPr="00BB31E8">
        <w:rPr>
          <w:rFonts w:cs="Arial"/>
          <w:szCs w:val="20"/>
        </w:rPr>
        <w:t>by the NASA N-CMAPSS dataset (Arias Chao et al., 2021)</w:t>
      </w:r>
      <w:sdt>
        <w:sdtPr>
          <w:rPr>
            <w:rFonts w:cs="Arial"/>
            <w:szCs w:val="20"/>
          </w:rPr>
          <w:id w:val="805892283"/>
          <w:citation/>
        </w:sdtPr>
        <w:sdtContent>
          <w:r>
            <w:rPr>
              <w:rFonts w:cs="Arial"/>
              <w:szCs w:val="20"/>
            </w:rPr>
            <w:fldChar w:fldCharType="begin"/>
          </w:r>
          <w:r>
            <w:rPr>
              <w:rFonts w:cs="Arial"/>
              <w:szCs w:val="20"/>
            </w:rPr>
            <w:instrText xml:space="preserve"> CITATION Ari21 \l 2057 </w:instrText>
          </w:r>
          <w:r>
            <w:rPr>
              <w:rFonts w:cs="Arial"/>
              <w:szCs w:val="20"/>
            </w:rPr>
            <w:fldChar w:fldCharType="separate"/>
          </w:r>
          <w:r w:rsidR="0074017E">
            <w:rPr>
              <w:rFonts w:cs="Arial"/>
              <w:noProof/>
              <w:szCs w:val="20"/>
            </w:rPr>
            <w:t xml:space="preserve"> </w:t>
          </w:r>
          <w:r w:rsidR="0074017E" w:rsidRPr="0074017E">
            <w:rPr>
              <w:rFonts w:cs="Arial"/>
              <w:noProof/>
              <w:szCs w:val="20"/>
            </w:rPr>
            <w:t>[23]</w:t>
          </w:r>
          <w:r>
            <w:rPr>
              <w:rFonts w:cs="Arial"/>
              <w:szCs w:val="20"/>
            </w:rPr>
            <w:fldChar w:fldCharType="end"/>
          </w:r>
        </w:sdtContent>
      </w:sdt>
      <w:r w:rsidRPr="00BB31E8">
        <w:rPr>
          <w:rFonts w:cs="Arial"/>
          <w:szCs w:val="20"/>
        </w:rPr>
        <w:t>.</w:t>
      </w:r>
    </w:p>
    <w:p w14:paraId="4F82FE05" w14:textId="77777777" w:rsidR="00CE15B2" w:rsidRPr="00BB31E8" w:rsidRDefault="00CE15B2" w:rsidP="00B36896">
      <w:pPr>
        <w:spacing w:before="100" w:beforeAutospacing="1" w:after="100" w:afterAutospacing="1"/>
        <w:jc w:val="both"/>
        <w:rPr>
          <w:rFonts w:cs="Arial"/>
          <w:szCs w:val="20"/>
        </w:rPr>
      </w:pPr>
      <w:r w:rsidRPr="00BB31E8">
        <w:rPr>
          <w:rFonts w:cs="Arial"/>
          <w:szCs w:val="20"/>
        </w:rPr>
        <w:t>It is important to state at the outset what N-CMAPSS is not. It is not GE EMS data. It is not Rolls-Royce ACMF data. It is not Pratt &amp; Whitney operational telemetry. Real OEM engine monitoring data is commercially proprietary, subject to regulatory record-keeping requirements under EASA Part-M and FAA FAR Part 43 and is not available in the public domain in any form. The connection between N-CMAPSS and real OEM systems is therefore not one of direct equivalence but of structural correspondence — N-CMAPSS shares a defined set of properties with real operational telemetry that C-MAPSS does not, making it a principled and architecturally meaningful proxy validation environment.</w:t>
      </w:r>
    </w:p>
    <w:p w14:paraId="099571C9" w14:textId="77777777" w:rsidR="00B36896" w:rsidRDefault="00B36896">
      <w:pPr>
        <w:rPr>
          <w:rFonts w:eastAsia="Arial" w:cs="Arial"/>
          <w:b/>
          <w:bCs/>
          <w:color w:val="4A6274"/>
          <w:sz w:val="22"/>
          <w:szCs w:val="22"/>
        </w:rPr>
      </w:pPr>
      <w:r>
        <w:br w:type="page"/>
      </w:r>
    </w:p>
    <w:p w14:paraId="6F57E220" w14:textId="497ADDA2" w:rsidR="00CE15B2" w:rsidRPr="00BB31E8" w:rsidRDefault="00CE15B2" w:rsidP="00CE15B2">
      <w:pPr>
        <w:pStyle w:val="Heading3"/>
      </w:pPr>
      <w:r>
        <w:lastRenderedPageBreak/>
        <w:t xml:space="preserve">A.2.1 </w:t>
      </w:r>
      <w:r w:rsidRPr="00BB31E8">
        <w:t>Property 1 — Continuous Flight Envelope</w:t>
      </w:r>
    </w:p>
    <w:p w14:paraId="198ADD70" w14:textId="77777777" w:rsidR="00CE15B2" w:rsidRPr="00BB31E8" w:rsidRDefault="00CE15B2" w:rsidP="00B36896">
      <w:pPr>
        <w:spacing w:before="100" w:beforeAutospacing="1" w:after="100" w:afterAutospacing="1"/>
        <w:jc w:val="both"/>
        <w:rPr>
          <w:rFonts w:cs="Arial"/>
          <w:szCs w:val="20"/>
        </w:rPr>
      </w:pPr>
      <w:r w:rsidRPr="00BB31E8">
        <w:rPr>
          <w:rFonts w:cs="Arial"/>
          <w:szCs w:val="20"/>
        </w:rPr>
        <w:t xml:space="preserve">C-MAPSS operates at six discrete, fixed operating points. N-CMAPSS generates engine cycles across continuously varying altitude, Mach number, and throttle resolver angle (TRA), following realistic commercial flight profiles across all phases: taxi, take-off, climb, cruise, descent, and landing. Real OEM monitoring systems — GE EMS, Rolls-Royce ACMF, and equivalent platforms — record engine parameters across exactly this kind of continuous, time-varying flight envelope. The K-Means regime classifier in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0</m:t>
            </m:r>
          </m:sub>
        </m:sSub>
      </m:oMath>
      <w:r w:rsidRPr="00BB31E8">
        <w:rPr>
          <w:rFonts w:cs="Arial"/>
          <w:szCs w:val="20"/>
        </w:rPr>
        <w:t xml:space="preserve">, designed for discrete operating points, would need to operate on a continuous distribution in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2</m:t>
            </m:r>
          </m:sub>
        </m:sSub>
      </m:oMath>
      <w:r w:rsidRPr="00BB31E8">
        <w:rPr>
          <w:rFonts w:cs="Arial"/>
          <w:szCs w:val="20"/>
        </w:rPr>
        <w:t>. Validating the regime assignment pipeline and the G11 OOD guard against N-CMAPSS continuous profiles is therefore a direct prerequisite for OEM data compatibility.</w:t>
      </w:r>
    </w:p>
    <w:p w14:paraId="7F5DD63E" w14:textId="77777777" w:rsidR="00CE15B2" w:rsidRPr="00BB31E8" w:rsidRDefault="00CE15B2" w:rsidP="00CE15B2">
      <w:pPr>
        <w:pStyle w:val="Heading3"/>
      </w:pPr>
      <w:r>
        <w:t xml:space="preserve">A.2.2 </w:t>
      </w:r>
      <w:r w:rsidRPr="00BB31E8">
        <w:t>Property 2 — Maintenance Reset Modelling</w:t>
      </w:r>
    </w:p>
    <w:p w14:paraId="4DF11071" w14:textId="77777777" w:rsidR="00CE15B2" w:rsidRPr="00BB31E8" w:rsidRDefault="00CE15B2" w:rsidP="004C1372">
      <w:pPr>
        <w:spacing w:before="100" w:beforeAutospacing="1" w:after="100" w:afterAutospacing="1"/>
        <w:jc w:val="both"/>
        <w:rPr>
          <w:rFonts w:cs="Arial"/>
          <w:szCs w:val="20"/>
        </w:rPr>
      </w:pPr>
      <w:r w:rsidRPr="00BB31E8">
        <w:rPr>
          <w:rFonts w:cs="Arial"/>
          <w:szCs w:val="20"/>
        </w:rPr>
        <w:t xml:space="preserve">C-MAPSS engine trajectories run monotonically to failure with no interventions. N-CMAPSS explicitly models shop visit restoration events — engines are returned to a partially healthy state mid-trajectory, reflecting the real maintenance cycle of a commercial turbofan. Any OEM monitoring dataset drawn from an engine with operational history will contain this reset structure. A RUL estimation framework that cannot accommodate maintenance resets is architecturally incompatible with real fleet data.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2</m:t>
            </m:r>
          </m:sub>
        </m:sSub>
      </m:oMath>
      <w:r w:rsidRPr="00BB31E8">
        <w:rPr>
          <w:rFonts w:cs="Arial"/>
          <w:szCs w:val="20"/>
        </w:rPr>
        <w:t>'s reset-aware RUL target construction, developed and validated on N-CMAPSS, constitutes the necessary architectural precondition for OEM data ingestion.</w:t>
      </w:r>
    </w:p>
    <w:p w14:paraId="3410ABEC" w14:textId="77777777" w:rsidR="00CE15B2" w:rsidRPr="00BB31E8" w:rsidRDefault="00CE15B2" w:rsidP="00CE15B2">
      <w:pPr>
        <w:pStyle w:val="Heading3"/>
      </w:pPr>
      <w:r>
        <w:t xml:space="preserve">A.2.3 </w:t>
      </w:r>
      <w:r w:rsidRPr="00BB31E8">
        <w:t>Property 3 — Sensor Parameter Correspondence</w:t>
      </w:r>
    </w:p>
    <w:p w14:paraId="7EA053A6" w14:textId="77777777" w:rsidR="00CE15B2" w:rsidRPr="00BB31E8" w:rsidRDefault="00CE15B2" w:rsidP="004C1372">
      <w:pPr>
        <w:spacing w:before="100" w:beforeAutospacing="1" w:after="100" w:afterAutospacing="1"/>
        <w:jc w:val="both"/>
        <w:rPr>
          <w:rFonts w:cs="Arial"/>
          <w:szCs w:val="20"/>
        </w:rPr>
      </w:pPr>
      <w:r w:rsidRPr="00BB31E8">
        <w:rPr>
          <w:rFonts w:cs="Arial"/>
          <w:szCs w:val="20"/>
        </w:rPr>
        <w:t xml:space="preserve">N-CMAPSS records temperatures, pressures, shaft speeds, and fuel flow at multiple engine stations — a physically richer sensor suite than the 21 C-MAPSS parameters. The GE EMS parameter set for a GE90 or GEnx engine, the Rolls-Royce ACMF parameter set for a Trent series engine, and the Pratt &amp; Whitney monitoring parameters for a PW1000G engine all cover the same physical quantities: inlet temperature, HPC outlet temperature and pressure, EGT, fan and core shaft speeds, and fuel flow. The mapping between N-CMAPSS and real OEM parameter sets is not one-to-one, but the physical quantities are correspondent. The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2</m:t>
            </m:r>
          </m:sub>
        </m:sSub>
      </m:oMath>
      <w:r w:rsidRPr="00BB31E8">
        <w:rPr>
          <w:rFonts w:cs="Arial"/>
          <w:szCs w:val="20"/>
        </w:rPr>
        <w:t xml:space="preserve"> feature engineering pipeline, built on N-CMAPSS's richer sensor suite, would require a parameter remapping layer rather than an architectural redesign to accept OEM-formatted inputs.</w:t>
      </w:r>
    </w:p>
    <w:p w14:paraId="67B5FC1E" w14:textId="77777777" w:rsidR="00CE15B2" w:rsidRPr="00BB31E8" w:rsidRDefault="00CE15B2" w:rsidP="00CE15B2">
      <w:pPr>
        <w:pStyle w:val="Heading3"/>
      </w:pPr>
      <w:r>
        <w:t xml:space="preserve">A.2.4 </w:t>
      </w:r>
      <w:r w:rsidRPr="00BB31E8">
        <w:t>Property 4 — Fleet-Level Variability</w:t>
      </w:r>
    </w:p>
    <w:p w14:paraId="4B95EBA1" w14:textId="77777777" w:rsidR="00CE15B2" w:rsidRPr="00BB31E8" w:rsidRDefault="00CE15B2" w:rsidP="004C1372">
      <w:pPr>
        <w:spacing w:before="100" w:beforeAutospacing="1" w:after="100" w:afterAutospacing="1"/>
        <w:jc w:val="both"/>
        <w:rPr>
          <w:rFonts w:cs="Arial"/>
          <w:szCs w:val="20"/>
        </w:rPr>
      </w:pPr>
      <w:r w:rsidRPr="00BB31E8">
        <w:rPr>
          <w:rFonts w:cs="Arial"/>
          <w:szCs w:val="20"/>
        </w:rPr>
        <w:t xml:space="preserve">N-CMAPSS introduces unit-to-unit manufacturing variation and operational history differences across its engine population, meaning no two engines degrade identically even under identical mission profiles. Real OEM fleet data exhibits this property at considerably greater magnitude, reflecting genuine manufacturing tolerances, repair history differences, and route-specific operational loading. Training on N-CMAPSS fleet variability in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2</m:t>
            </m:r>
          </m:sub>
        </m:sSub>
      </m:oMath>
      <w:r w:rsidRPr="00BB31E8">
        <w:rPr>
          <w:rFonts w:cs="Arial"/>
          <w:szCs w:val="20"/>
        </w:rPr>
        <w:t xml:space="preserve"> prepares the model to generalise across heterogeneous engine populations — a necessary capability for deployment against a real commercial fleet of any scale.</w:t>
      </w:r>
    </w:p>
    <w:p w14:paraId="517D6C6F" w14:textId="77777777" w:rsidR="00CE15B2" w:rsidRPr="00BB31E8" w:rsidRDefault="00CE15B2" w:rsidP="00CE15B2">
      <w:pPr>
        <w:pStyle w:val="Heading3"/>
      </w:pPr>
      <w:r>
        <w:t xml:space="preserve">A.2.5 </w:t>
      </w:r>
      <w:r w:rsidRPr="00BB31E8">
        <w:t>Summary</w:t>
      </w:r>
    </w:p>
    <w:p w14:paraId="39DDE2B0" w14:textId="6E1CCA5E" w:rsidR="007E58CE" w:rsidRDefault="00CE15B2" w:rsidP="004C1372">
      <w:pPr>
        <w:spacing w:before="100" w:beforeAutospacing="1" w:after="100" w:afterAutospacing="1"/>
        <w:jc w:val="both"/>
        <w:rPr>
          <w:rFonts w:cs="Arial"/>
          <w:szCs w:val="20"/>
        </w:rPr>
      </w:pPr>
      <w:r w:rsidRPr="00BB31E8">
        <w:rPr>
          <w:rFonts w:cs="Arial"/>
          <w:szCs w:val="20"/>
        </w:rPr>
        <w:t xml:space="preserve">The relationship between N-CMAPSS and real OEM monitoring systems is one of structured proximity rather than equivalence. N-CMAPSS is the most operationally realistic publicly available turbofan dataset and addresses the four structural gaps — continuous operating envelope, maintenance resets, correspondent sensor parameters, and fleet variability — that prevent direct progression from C-MAPSS to real operational data. Successful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2</m:t>
            </m:r>
          </m:sub>
        </m:sSub>
      </m:oMath>
      <w:r w:rsidRPr="00BB31E8">
        <w:rPr>
          <w:rFonts w:cs="Arial"/>
          <w:szCs w:val="20"/>
        </w:rPr>
        <w:t xml:space="preserve"> validation on N-CMAPSS would constitute credible evidence that the pipeline is architecturally ready for OEM data ingestion, subject to a parameter remapping layer and the production-grade OOD rejection framework specified in G11. It does not constitute proof of operational readiness — that step requires real data access, which in practice is only achievable through direct industry engagement or employment within an operator, MRO organisation, or OEM.</w:t>
      </w:r>
    </w:p>
    <w:p w14:paraId="618C719B" w14:textId="77777777" w:rsidR="007E58CE" w:rsidRDefault="007E58CE">
      <w:pPr>
        <w:rPr>
          <w:rFonts w:cs="Arial"/>
          <w:szCs w:val="20"/>
        </w:rPr>
      </w:pPr>
      <w:r>
        <w:rPr>
          <w:rFonts w:cs="Arial"/>
          <w:szCs w:val="20"/>
        </w:rPr>
        <w:br w:type="page"/>
      </w:r>
    </w:p>
    <w:p w14:paraId="5C8B7BE4" w14:textId="5E785C39" w:rsidR="00350601" w:rsidRDefault="007E58CE" w:rsidP="007E58CE">
      <w:pPr>
        <w:pStyle w:val="Heading2"/>
      </w:pPr>
      <w:r>
        <w:lastRenderedPageBreak/>
        <w:t xml:space="preserve">A.3.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thermal</m:t>
            </m:r>
          </m:sub>
        </m:sSub>
      </m:oMath>
      <w:r>
        <w:t xml:space="preserve"> Formulation</w:t>
      </w:r>
      <w:r w:rsidR="00C754B4">
        <w:t xml:space="preserve"> &amp; Verification</w:t>
      </w:r>
    </w:p>
    <w:p w14:paraId="6B0B7C62" w14:textId="77777777" w:rsidR="007E58CE" w:rsidRPr="007E58CE" w:rsidRDefault="007E58CE" w:rsidP="007E58CE">
      <w:pPr>
        <w:pStyle w:val="font-claude-response-body"/>
        <w:jc w:val="both"/>
        <w:rPr>
          <w:rFonts w:cs="Arial"/>
          <w:szCs w:val="20"/>
        </w:rPr>
      </w:pPr>
      <w:r w:rsidRPr="007E58CE">
        <w:rPr>
          <w:rFonts w:cs="Arial"/>
          <w:szCs w:val="20"/>
        </w:rPr>
        <w:t>Working from first principles:</w:t>
      </w:r>
    </w:p>
    <w:p w14:paraId="32AFAA46" w14:textId="40ABAB50" w:rsidR="007E58CE" w:rsidRPr="007E58CE" w:rsidRDefault="007E58CE" w:rsidP="007E58CE">
      <w:pPr>
        <w:pStyle w:val="font-claude-response-body"/>
        <w:jc w:val="both"/>
        <w:rPr>
          <w:rFonts w:cs="Arial"/>
          <w:szCs w:val="20"/>
        </w:rPr>
      </w:pPr>
      <m:oMath>
        <m:r>
          <w:rPr>
            <w:rFonts w:ascii="Cambria Math" w:hAnsi="Cambria Math" w:cs="Arial"/>
            <w:szCs w:val="20"/>
          </w:rPr>
          <m:t>s11=ϕ</m:t>
        </m:r>
      </m:oMath>
      <w:r w:rsidR="00C754B4">
        <w:rPr>
          <w:rFonts w:cs="Arial"/>
          <w:szCs w:val="20"/>
        </w:rPr>
        <w:t xml:space="preserve"> </w:t>
      </w:r>
      <w:r w:rsidRPr="007E58CE">
        <w:rPr>
          <w:rFonts w:cs="Arial"/>
          <w:szCs w:val="20"/>
        </w:rPr>
        <w:t xml:space="preserve">is defined in C-MAPSS as: </w:t>
      </w:r>
    </w:p>
    <w:p w14:paraId="1823FDD9" w14:textId="1E014602" w:rsidR="007E58CE" w:rsidRPr="007E58CE" w:rsidRDefault="007E58CE" w:rsidP="007E58CE">
      <w:pPr>
        <w:jc w:val="both"/>
        <w:rPr>
          <w:rFonts w:cs="Arial"/>
          <w:szCs w:val="20"/>
        </w:rPr>
      </w:pPr>
      <m:oMathPara>
        <m:oMath>
          <m:r>
            <w:rPr>
              <w:rFonts w:ascii="Cambria Math" w:hAnsi="Cambria Math" w:cs="Arial"/>
              <w:szCs w:val="20"/>
            </w:rPr>
            <m:t>ϕ=</m:t>
          </m:r>
          <m:f>
            <m:fPr>
              <m:ctrlPr>
                <w:rPr>
                  <w:rFonts w:ascii="Cambria Math" w:hAnsi="Cambria Math" w:cs="Arial"/>
                  <w:szCs w:val="20"/>
                </w:rPr>
              </m:ctrlPr>
            </m:fPr>
            <m:num>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num>
            <m:den>
              <m:r>
                <w:rPr>
                  <w:rFonts w:ascii="Cambria Math" w:hAnsi="Cambria Math" w:cs="Arial"/>
                  <w:szCs w:val="20"/>
                </w:rPr>
                <m:t>P</m:t>
              </m:r>
              <m:sSub>
                <m:sSubPr>
                  <m:ctrlPr>
                    <w:rPr>
                      <w:rFonts w:ascii="Cambria Math" w:hAnsi="Cambria Math" w:cs="Arial"/>
                      <w:szCs w:val="20"/>
                    </w:rPr>
                  </m:ctrlPr>
                </m:sSubPr>
                <m:e>
                  <m:r>
                    <w:rPr>
                      <w:rFonts w:ascii="Cambria Math" w:hAnsi="Cambria Math" w:cs="Arial"/>
                      <w:szCs w:val="20"/>
                    </w:rPr>
                    <m:t>s</m:t>
                  </m:r>
                </m:e>
                <m:sub>
                  <m:r>
                    <w:rPr>
                      <w:rFonts w:ascii="Cambria Math" w:hAnsi="Cambria Math" w:cs="Arial"/>
                      <w:szCs w:val="20"/>
                    </w:rPr>
                    <m:t>30</m:t>
                  </m:r>
                </m:sub>
              </m:sSub>
            </m:den>
          </m:f>
          <m:r>
            <m:rPr>
              <m:sty m:val="p"/>
            </m:rPr>
            <w:rPr>
              <w:rFonts w:cs="Arial"/>
              <w:szCs w:val="20"/>
            </w:rPr>
            <w:br/>
          </m:r>
        </m:oMath>
      </m:oMathPara>
    </w:p>
    <w:p w14:paraId="37CE2D13" w14:textId="1CAA29C2" w:rsidR="007E58CE" w:rsidRPr="007E58CE" w:rsidRDefault="007E58CE" w:rsidP="007E58CE">
      <w:pPr>
        <w:pStyle w:val="font-claude-response-body"/>
        <w:jc w:val="both"/>
        <w:rPr>
          <w:rFonts w:cs="Arial"/>
          <w:szCs w:val="20"/>
        </w:rPr>
      </w:pPr>
      <w:r w:rsidRPr="007E58CE">
        <w:rPr>
          <w:rFonts w:cs="Arial"/>
          <w:szCs w:val="20"/>
        </w:rPr>
        <w:t xml:space="preserve">where </w:t>
      </w:r>
      <m:oMath>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oMath>
      <w:r w:rsidR="00C754B4">
        <w:rPr>
          <w:rFonts w:cs="Arial"/>
          <w:szCs w:val="20"/>
        </w:rPr>
        <w:t xml:space="preserve"> </w:t>
      </w:r>
      <w:r w:rsidRPr="007E58CE">
        <w:rPr>
          <w:rFonts w:cs="Arial"/>
          <w:szCs w:val="20"/>
        </w:rPr>
        <w:t xml:space="preserve">is the fuel mass flow rate and </w:t>
      </w:r>
      <m:oMath>
        <m:r>
          <w:rPr>
            <w:rFonts w:ascii="Cambria Math" w:hAnsi="Cambria Math" w:cs="Arial"/>
            <w:szCs w:val="20"/>
          </w:rPr>
          <m:t>P</m:t>
        </m:r>
        <m:sSub>
          <m:sSubPr>
            <m:ctrlPr>
              <w:rPr>
                <w:rFonts w:ascii="Cambria Math" w:hAnsi="Cambria Math" w:cs="Arial"/>
                <w:szCs w:val="20"/>
              </w:rPr>
            </m:ctrlPr>
          </m:sSubPr>
          <m:e>
            <m:r>
              <w:rPr>
                <w:rFonts w:ascii="Cambria Math" w:hAnsi="Cambria Math" w:cs="Arial"/>
                <w:szCs w:val="20"/>
              </w:rPr>
              <m:t>s</m:t>
            </m:r>
          </m:e>
          <m:sub>
            <m:r>
              <w:rPr>
                <w:rFonts w:ascii="Cambria Math" w:hAnsi="Cambria Math" w:cs="Arial"/>
                <w:szCs w:val="20"/>
              </w:rPr>
              <m:t>30</m:t>
            </m:r>
          </m:sub>
        </m:sSub>
      </m:oMath>
      <w:r w:rsidR="00C754B4">
        <w:rPr>
          <w:rFonts w:cs="Arial"/>
          <w:szCs w:val="20"/>
        </w:rPr>
        <w:t xml:space="preserve"> </w:t>
      </w:r>
      <w:r w:rsidRPr="007E58CE">
        <w:rPr>
          <w:rFonts w:cs="Arial"/>
          <w:szCs w:val="20"/>
        </w:rPr>
        <w:t xml:space="preserve">is the HPC static outlet pressure (s10). Therefore: </w:t>
      </w:r>
    </w:p>
    <w:p w14:paraId="7BA3F110" w14:textId="79B65F13" w:rsidR="007E58CE" w:rsidRPr="007E58CE" w:rsidRDefault="007E58CE" w:rsidP="007E58CE">
      <w:pPr>
        <w:jc w:val="both"/>
        <w:rPr>
          <w:rFonts w:cs="Arial"/>
          <w:szCs w:val="20"/>
        </w:rPr>
      </w:pPr>
      <m:oMathPara>
        <m:oMath>
          <m:r>
            <w:rPr>
              <w:rFonts w:ascii="Cambria Math" w:hAnsi="Cambria Math" w:cs="Arial"/>
              <w:szCs w:val="20"/>
            </w:rPr>
            <m:t>ϕ×P</m:t>
          </m:r>
          <m:sSub>
            <m:sSubPr>
              <m:ctrlPr>
                <w:rPr>
                  <w:rFonts w:ascii="Cambria Math" w:hAnsi="Cambria Math" w:cs="Arial"/>
                  <w:szCs w:val="20"/>
                </w:rPr>
              </m:ctrlPr>
            </m:sSubPr>
            <m:e>
              <m:r>
                <w:rPr>
                  <w:rFonts w:ascii="Cambria Math" w:hAnsi="Cambria Math" w:cs="Arial"/>
                  <w:szCs w:val="20"/>
                </w:rPr>
                <m:t>s</m:t>
              </m:r>
            </m:e>
            <m:sub>
              <m:r>
                <w:rPr>
                  <w:rFonts w:ascii="Cambria Math" w:hAnsi="Cambria Math" w:cs="Arial"/>
                  <w:szCs w:val="20"/>
                </w:rPr>
                <m:t>30</m:t>
              </m:r>
            </m:sub>
          </m:sSub>
          <m:r>
            <w:rPr>
              <w:rFonts w:ascii="Cambria Math" w:hAnsi="Cambria Math" w:cs="Arial"/>
              <w:szCs w:val="20"/>
            </w:rPr>
            <m:t>=</m:t>
          </m:r>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r>
            <m:rPr>
              <m:sty m:val="p"/>
            </m:rPr>
            <w:rPr>
              <w:rFonts w:cs="Arial"/>
              <w:szCs w:val="20"/>
            </w:rPr>
            <w:br/>
          </m:r>
        </m:oMath>
      </m:oMathPara>
    </w:p>
    <w:p w14:paraId="5B63F7BC" w14:textId="77777777" w:rsidR="007E58CE" w:rsidRPr="007E58CE" w:rsidRDefault="007E58CE" w:rsidP="007E58CE">
      <w:pPr>
        <w:pStyle w:val="font-claude-response-body"/>
        <w:jc w:val="both"/>
        <w:rPr>
          <w:rFonts w:cs="Arial"/>
          <w:szCs w:val="20"/>
        </w:rPr>
      </w:pPr>
      <w:r w:rsidRPr="007E58CE">
        <w:rPr>
          <w:rFonts w:cs="Arial"/>
          <w:szCs w:val="20"/>
        </w:rPr>
        <w:t>The thermal efficiency proxy is then:</w:t>
      </w:r>
    </w:p>
    <w:p w14:paraId="2523C9FB" w14:textId="0981962C" w:rsidR="007E58CE" w:rsidRPr="007E58CE" w:rsidRDefault="00000000" w:rsidP="007E58CE">
      <w:pPr>
        <w:jc w:val="both"/>
        <w:rPr>
          <w:rFonts w:cs="Arial"/>
          <w:szCs w:val="20"/>
        </w:rPr>
      </w:pPr>
      <m:oMathPara>
        <m:oMath>
          <m:sSub>
            <m:sSubPr>
              <m:ctrlPr>
                <w:rPr>
                  <w:rFonts w:ascii="Cambria Math" w:hAnsi="Cambria Math" w:cs="Arial"/>
                  <w:szCs w:val="20"/>
                </w:rPr>
              </m:ctrlPr>
            </m:sSubPr>
            <m:e>
              <m:r>
                <w:rPr>
                  <w:rFonts w:ascii="Cambria Math" w:hAnsi="Cambria Math" w:cs="Arial"/>
                  <w:szCs w:val="20"/>
                </w:rPr>
                <m:t>E</m:t>
              </m:r>
            </m:e>
            <m:sub>
              <m:r>
                <m:rPr>
                  <m:nor/>
                </m:rPr>
                <w:rPr>
                  <w:rFonts w:cs="Arial"/>
                  <w:szCs w:val="20"/>
                </w:rPr>
                <m:t>thermal</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ϕ×P</m:t>
              </m:r>
              <m:sSub>
                <m:sSubPr>
                  <m:ctrlPr>
                    <w:rPr>
                      <w:rFonts w:ascii="Cambria Math" w:hAnsi="Cambria Math" w:cs="Arial"/>
                      <w:szCs w:val="20"/>
                    </w:rPr>
                  </m:ctrlPr>
                </m:sSubPr>
                <m:e>
                  <m:r>
                    <w:rPr>
                      <w:rFonts w:ascii="Cambria Math" w:hAnsi="Cambria Math" w:cs="Arial"/>
                      <w:szCs w:val="20"/>
                    </w:rPr>
                    <m:t>s</m:t>
                  </m:r>
                </m:e>
                <m:sub>
                  <m:r>
                    <w:rPr>
                      <w:rFonts w:ascii="Cambria Math" w:hAnsi="Cambria Math" w:cs="Arial"/>
                      <w:szCs w:val="20"/>
                    </w:rPr>
                    <m:t>30</m:t>
                  </m:r>
                </m:sub>
              </m:sSub>
            </m:num>
            <m:den>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c</m:t>
                  </m:r>
                </m:sub>
              </m:sSub>
            </m:den>
          </m:f>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num>
            <m:den>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c</m:t>
                  </m:r>
                </m:sub>
              </m:sSub>
            </m:den>
          </m:f>
          <m:r>
            <m:rPr>
              <m:sty m:val="p"/>
            </m:rPr>
            <w:rPr>
              <w:rFonts w:cs="Arial"/>
              <w:szCs w:val="20"/>
            </w:rPr>
            <w:br/>
          </m:r>
        </m:oMath>
      </m:oMathPara>
    </w:p>
    <w:p w14:paraId="69085E20" w14:textId="77777777" w:rsidR="007E58CE" w:rsidRPr="007E58CE" w:rsidRDefault="007E58CE" w:rsidP="007E58CE">
      <w:pPr>
        <w:pStyle w:val="font-claude-response-body"/>
        <w:jc w:val="both"/>
        <w:rPr>
          <w:rFonts w:cs="Arial"/>
          <w:szCs w:val="20"/>
        </w:rPr>
      </w:pPr>
      <w:r w:rsidRPr="007E58CE">
        <w:rPr>
          <w:rFonts w:cs="Arial"/>
          <w:szCs w:val="20"/>
        </w:rPr>
        <w:t xml:space="preserve">This quantity is dimensionally proportional to </w:t>
      </w:r>
      <w:r w:rsidRPr="007E58CE">
        <w:rPr>
          <w:rStyle w:val="Strong"/>
          <w:rFonts w:cs="Arial"/>
          <w:szCs w:val="20"/>
        </w:rPr>
        <w:t>Specific Fuel Consumption (SFC)</w:t>
      </w:r>
      <w:r w:rsidRPr="007E58CE">
        <w:rPr>
          <w:rFonts w:cs="Arial"/>
          <w:szCs w:val="20"/>
        </w:rPr>
        <w:t>, defined formally as:</w:t>
      </w:r>
    </w:p>
    <w:p w14:paraId="010FD775" w14:textId="146E5A97" w:rsidR="007E58CE" w:rsidRPr="007E58CE" w:rsidRDefault="007E58CE" w:rsidP="007E58CE">
      <w:pPr>
        <w:jc w:val="both"/>
        <w:rPr>
          <w:rFonts w:cs="Arial"/>
          <w:szCs w:val="20"/>
        </w:rPr>
      </w:pPr>
      <m:oMathPara>
        <m:oMath>
          <m:r>
            <m:rPr>
              <m:nor/>
            </m:rPr>
            <w:rPr>
              <w:rFonts w:cs="Arial"/>
              <w:szCs w:val="20"/>
            </w:rPr>
            <m:t>SFC</m:t>
          </m:r>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num>
            <m:den>
              <m:sSub>
                <m:sSubPr>
                  <m:ctrlPr>
                    <w:rPr>
                      <w:rFonts w:ascii="Cambria Math" w:hAnsi="Cambria Math" w:cs="Arial"/>
                      <w:szCs w:val="20"/>
                    </w:rPr>
                  </m:ctrlPr>
                </m:sSubPr>
                <m:e>
                  <m:r>
                    <w:rPr>
                      <w:rFonts w:ascii="Cambria Math" w:hAnsi="Cambria Math" w:cs="Arial"/>
                      <w:szCs w:val="20"/>
                    </w:rPr>
                    <m:t>F</m:t>
                  </m:r>
                </m:e>
                <m:sub>
                  <m:r>
                    <w:rPr>
                      <w:rFonts w:ascii="Cambria Math" w:hAnsi="Cambria Math" w:cs="Arial"/>
                      <w:szCs w:val="20"/>
                    </w:rPr>
                    <m:t>N</m:t>
                  </m:r>
                </m:sub>
              </m:sSub>
            </m:den>
          </m:f>
          <m:r>
            <m:rPr>
              <m:sty m:val="p"/>
            </m:rPr>
            <w:rPr>
              <w:rFonts w:cs="Arial"/>
              <w:szCs w:val="20"/>
            </w:rPr>
            <w:br/>
          </m:r>
        </m:oMath>
      </m:oMathPara>
    </w:p>
    <w:p w14:paraId="57C95136" w14:textId="16889D9E" w:rsidR="007E58CE" w:rsidRPr="007E58CE" w:rsidRDefault="007E58CE" w:rsidP="007E58CE">
      <w:pPr>
        <w:pStyle w:val="font-claude-response-body"/>
        <w:jc w:val="both"/>
        <w:rPr>
          <w:rFonts w:cs="Arial"/>
          <w:szCs w:val="20"/>
        </w:rPr>
      </w:pPr>
      <w:r w:rsidRPr="007E58CE">
        <w:rPr>
          <w:rFonts w:cs="Arial"/>
          <w:szCs w:val="20"/>
        </w:rPr>
        <w:t xml:space="preserve">where </w:t>
      </w:r>
      <m:oMath>
        <m:sSub>
          <m:sSubPr>
            <m:ctrlPr>
              <w:rPr>
                <w:rFonts w:ascii="Cambria Math" w:hAnsi="Cambria Math" w:cs="Arial"/>
                <w:szCs w:val="20"/>
              </w:rPr>
            </m:ctrlPr>
          </m:sSubPr>
          <m:e>
            <m:r>
              <w:rPr>
                <w:rFonts w:ascii="Cambria Math" w:hAnsi="Cambria Math" w:cs="Arial"/>
                <w:szCs w:val="20"/>
              </w:rPr>
              <m:t>F</m:t>
            </m:r>
          </m:e>
          <m:sub>
            <m:r>
              <w:rPr>
                <w:rFonts w:ascii="Cambria Math" w:hAnsi="Cambria Math" w:cs="Arial"/>
                <w:szCs w:val="20"/>
              </w:rPr>
              <m:t>N</m:t>
            </m:r>
          </m:sub>
        </m:sSub>
      </m:oMath>
      <w:r w:rsidR="00C754B4">
        <w:rPr>
          <w:rFonts w:cs="Arial"/>
          <w:szCs w:val="20"/>
        </w:rPr>
        <w:t xml:space="preserve"> </w:t>
      </w:r>
      <w:r w:rsidRPr="007E58CE">
        <w:rPr>
          <w:rFonts w:cs="Arial"/>
          <w:szCs w:val="20"/>
        </w:rPr>
        <w:t xml:space="preserve">is net thrust. Since net thrust is a monotone function of core speed </w:t>
      </w:r>
      <m:oMath>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c</m:t>
            </m:r>
          </m:sub>
        </m:sSub>
      </m:oMath>
      <w:r w:rsidR="00C754B4">
        <w:rPr>
          <w:rFonts w:cs="Arial"/>
          <w:szCs w:val="20"/>
        </w:rPr>
        <w:t xml:space="preserve"> </w:t>
      </w:r>
      <w:r w:rsidRPr="007E58CE">
        <w:rPr>
          <w:rFonts w:cs="Arial"/>
          <w:szCs w:val="20"/>
        </w:rPr>
        <w:t xml:space="preserve">at fixed operating conditions, </w:t>
      </w:r>
      <m:oMath>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r>
          <m:rPr>
            <m:sty m:val="p"/>
          </m:rP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c</m:t>
            </m:r>
          </m:sub>
        </m:sSub>
      </m:oMath>
      <w:r w:rsidR="00C754B4">
        <w:rPr>
          <w:rFonts w:cs="Arial"/>
          <w:szCs w:val="20"/>
        </w:rPr>
        <w:t xml:space="preserve"> </w:t>
      </w:r>
      <w:r w:rsidRPr="007E58CE">
        <w:rPr>
          <w:rFonts w:cs="Arial"/>
          <w:szCs w:val="20"/>
        </w:rPr>
        <w:t xml:space="preserve">is a proxy for SFC. The relationship to thermodynamic efficiency follows from: </w:t>
      </w:r>
    </w:p>
    <w:p w14:paraId="613D56D0" w14:textId="5C853DFC" w:rsidR="007E58CE" w:rsidRPr="007E58CE" w:rsidRDefault="00000000" w:rsidP="007E58CE">
      <w:pPr>
        <w:jc w:val="both"/>
        <w:rPr>
          <w:rFonts w:cs="Arial"/>
          <w:szCs w:val="20"/>
        </w:rPr>
      </w:pPr>
      <m:oMathPara>
        <m:oMath>
          <m:sSub>
            <m:sSubPr>
              <m:ctrlPr>
                <w:rPr>
                  <w:rFonts w:ascii="Cambria Math" w:hAnsi="Cambria Math" w:cs="Arial"/>
                  <w:szCs w:val="20"/>
                </w:rPr>
              </m:ctrlPr>
            </m:sSubPr>
            <m:e>
              <m:r>
                <w:rPr>
                  <w:rFonts w:ascii="Cambria Math" w:hAnsi="Cambria Math" w:cs="Arial"/>
                  <w:szCs w:val="20"/>
                </w:rPr>
                <m:t>η</m:t>
              </m:r>
            </m:e>
            <m:sub>
              <m:r>
                <m:rPr>
                  <m:nor/>
                </m:rPr>
                <w:rPr>
                  <w:rFonts w:cs="Arial"/>
                  <w:szCs w:val="20"/>
                </w:rPr>
                <m:t>thermal</m:t>
              </m:r>
            </m:sub>
          </m:sSub>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W</m:t>
                  </m:r>
                </m:e>
                <m:sub>
                  <m:r>
                    <m:rPr>
                      <m:nor/>
                    </m:rPr>
                    <w:rPr>
                      <w:rFonts w:cs="Arial"/>
                      <w:szCs w:val="20"/>
                    </w:rPr>
                    <m:t>net</m:t>
                  </m:r>
                </m:sub>
              </m:sSub>
            </m:num>
            <m:den>
              <m:sSub>
                <m:sSubPr>
                  <m:ctrlPr>
                    <w:rPr>
                      <w:rFonts w:ascii="Cambria Math" w:hAnsi="Cambria Math" w:cs="Arial"/>
                      <w:szCs w:val="20"/>
                    </w:rPr>
                  </m:ctrlPr>
                </m:sSubPr>
                <m:e>
                  <m:r>
                    <w:rPr>
                      <w:rFonts w:ascii="Cambria Math" w:hAnsi="Cambria Math" w:cs="Arial"/>
                      <w:szCs w:val="20"/>
                    </w:rPr>
                    <m:t>Q</m:t>
                  </m:r>
                </m:e>
                <m:sub>
                  <m:r>
                    <m:rPr>
                      <m:nor/>
                    </m:rPr>
                    <w:rPr>
                      <w:rFonts w:cs="Arial"/>
                      <w:szCs w:val="20"/>
                    </w:rPr>
                    <m:t>in</m:t>
                  </m:r>
                </m:sub>
              </m:sSub>
            </m:den>
          </m:f>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W</m:t>
                  </m:r>
                </m:e>
                <m:sub>
                  <m:r>
                    <m:rPr>
                      <m:nor/>
                    </m:rPr>
                    <w:rPr>
                      <w:rFonts w:cs="Arial"/>
                      <w:szCs w:val="20"/>
                    </w:rPr>
                    <m:t>net</m:t>
                  </m:r>
                </m:sub>
              </m:sSub>
            </m:num>
            <m:den>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r>
                <w:rPr>
                  <w:rFonts w:ascii="Cambria Math" w:hAnsi="Cambria Math" w:cs="Arial"/>
                  <w:szCs w:val="20"/>
                </w:rPr>
                <m:t>⋅</m:t>
              </m:r>
              <m:r>
                <m:rPr>
                  <m:nor/>
                </m:rPr>
                <w:rPr>
                  <w:rFonts w:cs="Arial"/>
                  <w:szCs w:val="20"/>
                </w:rPr>
                <m:t>LHV</m:t>
              </m:r>
            </m:den>
          </m:f>
          <m:r>
            <m:rPr>
              <m:sty m:val="p"/>
            </m:rPr>
            <w:rPr>
              <w:rFonts w:cs="Arial"/>
              <w:szCs w:val="20"/>
            </w:rPr>
            <w:br/>
          </m:r>
        </m:oMath>
      </m:oMathPara>
    </w:p>
    <w:p w14:paraId="093858D6" w14:textId="77777777" w:rsidR="007E58CE" w:rsidRPr="007E58CE" w:rsidRDefault="007E58CE" w:rsidP="007E58CE">
      <w:pPr>
        <w:pStyle w:val="font-claude-response-body"/>
        <w:jc w:val="both"/>
        <w:rPr>
          <w:rFonts w:cs="Arial"/>
          <w:szCs w:val="20"/>
        </w:rPr>
      </w:pPr>
      <w:r w:rsidRPr="007E58CE">
        <w:rPr>
          <w:rFonts w:cs="Arial"/>
          <w:szCs w:val="20"/>
        </w:rPr>
        <w:t>where LHV is the lower heating value of the fuel. Rearranging:</w:t>
      </w:r>
    </w:p>
    <w:p w14:paraId="51B4B31A" w14:textId="12547ECA" w:rsidR="007E58CE" w:rsidRPr="007E58CE" w:rsidRDefault="00000000" w:rsidP="007E58CE">
      <w:pPr>
        <w:jc w:val="both"/>
        <w:rPr>
          <w:rFonts w:cs="Arial"/>
          <w:szCs w:val="20"/>
        </w:rPr>
      </w:pPr>
      <m:oMathPara>
        <m:oMath>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r>
            <w:rPr>
              <w:rFonts w:ascii="Cambria Math" w:hAnsi="Cambria Math" w:cs="Arial"/>
              <w:szCs w:val="20"/>
            </w:rPr>
            <m:t>=</m:t>
          </m:r>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W</m:t>
                  </m:r>
                </m:e>
                <m:sub>
                  <m:r>
                    <m:rPr>
                      <m:nor/>
                    </m:rPr>
                    <w:rPr>
                      <w:rFonts w:cs="Arial"/>
                      <w:szCs w:val="20"/>
                    </w:rPr>
                    <m:t>net</m:t>
                  </m:r>
                </m:sub>
              </m:sSub>
            </m:num>
            <m:den>
              <m:sSub>
                <m:sSubPr>
                  <m:ctrlPr>
                    <w:rPr>
                      <w:rFonts w:ascii="Cambria Math" w:hAnsi="Cambria Math" w:cs="Arial"/>
                      <w:szCs w:val="20"/>
                    </w:rPr>
                  </m:ctrlPr>
                </m:sSubPr>
                <m:e>
                  <m:r>
                    <w:rPr>
                      <w:rFonts w:ascii="Cambria Math" w:hAnsi="Cambria Math" w:cs="Arial"/>
                      <w:szCs w:val="20"/>
                    </w:rPr>
                    <m:t>η</m:t>
                  </m:r>
                </m:e>
                <m:sub>
                  <m:r>
                    <m:rPr>
                      <m:nor/>
                    </m:rPr>
                    <w:rPr>
                      <w:rFonts w:cs="Arial"/>
                      <w:szCs w:val="20"/>
                    </w:rPr>
                    <m:t>thermal</m:t>
                  </m:r>
                </m:sub>
              </m:sSub>
              <m:r>
                <w:rPr>
                  <w:rFonts w:ascii="Cambria Math" w:hAnsi="Cambria Math" w:cs="Arial"/>
                  <w:szCs w:val="20"/>
                </w:rPr>
                <m:t>⋅</m:t>
              </m:r>
              <m:r>
                <m:rPr>
                  <m:nor/>
                </m:rPr>
                <w:rPr>
                  <w:rFonts w:cs="Arial"/>
                  <w:szCs w:val="20"/>
                </w:rPr>
                <m:t>LHV</m:t>
              </m:r>
            </m:den>
          </m:f>
          <m:r>
            <m:rPr>
              <m:sty m:val="p"/>
            </m:rPr>
            <w:rPr>
              <w:rFonts w:cs="Arial"/>
              <w:szCs w:val="20"/>
            </w:rPr>
            <w:br/>
          </m:r>
        </m:oMath>
      </m:oMathPara>
    </w:p>
    <w:p w14:paraId="1C47D07A" w14:textId="63AECC1C" w:rsidR="007E58CE" w:rsidRPr="007E58CE" w:rsidRDefault="007E58CE" w:rsidP="007E58CE">
      <w:pPr>
        <w:pStyle w:val="font-claude-response-body"/>
        <w:jc w:val="both"/>
        <w:rPr>
          <w:rFonts w:cs="Arial"/>
          <w:szCs w:val="20"/>
        </w:rPr>
      </w:pPr>
      <w:r w:rsidRPr="007E58CE">
        <w:rPr>
          <w:rFonts w:cs="Arial"/>
          <w:szCs w:val="20"/>
        </w:rPr>
        <w:t xml:space="preserve">For constant network output, </w:t>
      </w:r>
      <m:oMath>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oMath>
      <w:r w:rsidR="00C754B4">
        <w:rPr>
          <w:rFonts w:cs="Arial"/>
          <w:szCs w:val="20"/>
        </w:rPr>
        <w:t xml:space="preserve"> </w:t>
      </w:r>
      <w:r w:rsidRPr="007E58CE">
        <w:rPr>
          <w:rFonts w:cs="Arial"/>
          <w:szCs w:val="20"/>
        </w:rPr>
        <w:t xml:space="preserve">increases as </w:t>
      </w:r>
      <m:oMath>
        <m:sSub>
          <m:sSubPr>
            <m:ctrlPr>
              <w:rPr>
                <w:rFonts w:ascii="Cambria Math" w:hAnsi="Cambria Math" w:cs="Arial"/>
                <w:szCs w:val="20"/>
              </w:rPr>
            </m:ctrlPr>
          </m:sSubPr>
          <m:e>
            <m:r>
              <w:rPr>
                <w:rFonts w:ascii="Cambria Math" w:hAnsi="Cambria Math" w:cs="Arial"/>
                <w:szCs w:val="20"/>
              </w:rPr>
              <m:t>η</m:t>
            </m:r>
          </m:e>
          <m:sub>
            <m:r>
              <m:rPr>
                <m:nor/>
              </m:rPr>
              <w:rPr>
                <w:rFonts w:cs="Arial"/>
                <w:szCs w:val="20"/>
              </w:rPr>
              <m:t>thermal</m:t>
            </m:r>
          </m:sub>
        </m:sSub>
      </m:oMath>
      <w:r w:rsidR="00C754B4">
        <w:rPr>
          <w:rFonts w:cs="Arial"/>
          <w:szCs w:val="20"/>
        </w:rPr>
        <w:t xml:space="preserve"> </w:t>
      </w:r>
      <w:r w:rsidRPr="007E58CE">
        <w:rPr>
          <w:rFonts w:cs="Arial"/>
          <w:szCs w:val="20"/>
        </w:rPr>
        <w:t xml:space="preserve">decreases — confirming that </w:t>
      </w:r>
      <m:oMath>
        <m:sSub>
          <m:sSubPr>
            <m:ctrlPr>
              <w:rPr>
                <w:rFonts w:ascii="Cambria Math" w:hAnsi="Cambria Math" w:cs="Arial"/>
                <w:szCs w:val="20"/>
              </w:rPr>
            </m:ctrlPr>
          </m:sSubPr>
          <m:e>
            <m:r>
              <w:rPr>
                <w:rFonts w:ascii="Cambria Math" w:hAnsi="Cambria Math" w:cs="Arial"/>
                <w:szCs w:val="20"/>
              </w:rPr>
              <m:t>E</m:t>
            </m:r>
          </m:e>
          <m:sub>
            <m:r>
              <m:rPr>
                <m:nor/>
              </m:rPr>
              <w:rPr>
                <w:rFonts w:cs="Arial"/>
                <w:szCs w:val="20"/>
              </w:rPr>
              <m:t>thermal</m:t>
            </m:r>
          </m:sub>
        </m:sSub>
        <m:r>
          <w:rPr>
            <w:rFonts w:ascii="Cambria Math" w:hAnsi="Cambria Math" w:cs="Arial"/>
            <w:szCs w:val="20"/>
          </w:rPr>
          <m:t>∝</m:t>
        </m:r>
        <m:sSub>
          <m:sSubPr>
            <m:ctrlPr>
              <w:rPr>
                <w:rFonts w:ascii="Cambria Math" w:hAnsi="Cambria Math" w:cs="Arial"/>
                <w:szCs w:val="20"/>
              </w:rPr>
            </m:ctrlPr>
          </m:sSubPr>
          <m:e>
            <m:acc>
              <m:accPr>
                <m:chr m:val="̇"/>
                <m:ctrlPr>
                  <w:rPr>
                    <w:rFonts w:ascii="Cambria Math" w:hAnsi="Cambria Math" w:cs="Arial"/>
                    <w:szCs w:val="20"/>
                  </w:rPr>
                </m:ctrlPr>
              </m:accPr>
              <m:e>
                <m:r>
                  <w:rPr>
                    <w:rFonts w:ascii="Cambria Math" w:hAnsi="Cambria Math" w:cs="Arial"/>
                    <w:szCs w:val="20"/>
                  </w:rPr>
                  <m:t>m</m:t>
                </m:r>
              </m:e>
            </m:acc>
          </m:e>
          <m:sub>
            <m:r>
              <w:rPr>
                <w:rFonts w:ascii="Cambria Math" w:hAnsi="Cambria Math" w:cs="Arial"/>
                <w:szCs w:val="20"/>
              </w:rPr>
              <m:t>f</m:t>
            </m:r>
          </m:sub>
        </m:sSub>
        <m:r>
          <m:rPr>
            <m:sty m:val="p"/>
          </m:rP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c</m:t>
            </m:r>
          </m:sub>
        </m:sSub>
      </m:oMath>
      <w:r w:rsidR="00C754B4">
        <w:rPr>
          <w:rFonts w:cs="Arial"/>
          <w:szCs w:val="20"/>
        </w:rPr>
        <w:t xml:space="preserve"> </w:t>
      </w:r>
      <w:r w:rsidRPr="007E58CE">
        <w:rPr>
          <w:rFonts w:cs="Arial"/>
          <w:szCs w:val="20"/>
        </w:rPr>
        <w:t>is inversely related to thermodynamic cycle efficiency. The fuel burn penalty associated with turbofan deterioration is well-documented operationally: a 1% reduction in thermal efficiency corresponds to approximately a 1% increase in fuel consumption at constant thrust, translating to measurable direct operating cost increases across a commercial fleet (Walsh &amp; Fletcher, 2004)</w:t>
      </w:r>
      <w:sdt>
        <w:sdtPr>
          <w:rPr>
            <w:rFonts w:cs="Arial"/>
            <w:szCs w:val="20"/>
          </w:rPr>
          <w:id w:val="-1794445949"/>
          <w:citation/>
        </w:sdtPr>
        <w:sdtContent>
          <w:r w:rsidR="00C754B4">
            <w:rPr>
              <w:rFonts w:cs="Arial"/>
              <w:szCs w:val="20"/>
            </w:rPr>
            <w:fldChar w:fldCharType="begin"/>
          </w:r>
          <w:r w:rsidR="00C754B4">
            <w:rPr>
              <w:rFonts w:cs="Arial"/>
              <w:szCs w:val="20"/>
            </w:rPr>
            <w:instrText xml:space="preserve"> CITATION Wal04 \l 2057 </w:instrText>
          </w:r>
          <w:r w:rsidR="00C754B4">
            <w:rPr>
              <w:rFonts w:cs="Arial"/>
              <w:szCs w:val="20"/>
            </w:rPr>
            <w:fldChar w:fldCharType="separate"/>
          </w:r>
          <w:r w:rsidR="0074017E">
            <w:rPr>
              <w:rFonts w:cs="Arial"/>
              <w:noProof/>
              <w:szCs w:val="20"/>
            </w:rPr>
            <w:t xml:space="preserve"> </w:t>
          </w:r>
          <w:r w:rsidR="0074017E" w:rsidRPr="0074017E">
            <w:rPr>
              <w:rFonts w:cs="Arial"/>
              <w:noProof/>
              <w:szCs w:val="20"/>
            </w:rPr>
            <w:t>[5]</w:t>
          </w:r>
          <w:r w:rsidR="00C754B4">
            <w:rPr>
              <w:rFonts w:cs="Arial"/>
              <w:szCs w:val="20"/>
            </w:rPr>
            <w:fldChar w:fldCharType="end"/>
          </w:r>
        </w:sdtContent>
      </w:sdt>
      <w:r w:rsidRPr="007E58CE">
        <w:rPr>
          <w:rFonts w:cs="Arial"/>
          <w:szCs w:val="20"/>
        </w:rPr>
        <w:t xml:space="preserve">. </w:t>
      </w:r>
    </w:p>
    <w:p w14:paraId="0A159E9B" w14:textId="7AE8ECAB" w:rsidR="00BD4886" w:rsidRDefault="007E58CE" w:rsidP="007E58CE">
      <w:pPr>
        <w:pStyle w:val="font-claude-response-body"/>
        <w:jc w:val="both"/>
        <w:rPr>
          <w:rFonts w:cs="Arial"/>
          <w:szCs w:val="20"/>
        </w:rPr>
      </w:pPr>
      <w:r w:rsidRPr="007E58CE">
        <w:rPr>
          <w:rFonts w:cs="Arial"/>
          <w:szCs w:val="20"/>
        </w:rPr>
        <w:t xml:space="preserve">The formulation is therefore physically correct, and the chain of reasoning holds. The one qualification to document is that </w:t>
      </w:r>
      <m:oMath>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c</m:t>
            </m:r>
          </m:sub>
        </m:sSub>
      </m:oMath>
      <w:r w:rsidR="00C754B4">
        <w:rPr>
          <w:rFonts w:cs="Arial"/>
          <w:szCs w:val="20"/>
        </w:rPr>
        <w:t xml:space="preserve"> </w:t>
      </w:r>
      <w:r w:rsidRPr="007E58CE">
        <w:rPr>
          <w:rFonts w:cs="Arial"/>
          <w:szCs w:val="20"/>
        </w:rPr>
        <w:t xml:space="preserve">is a proxy for net thrust rather than a direct measurement of it — the relationship between core speed and thrust is non-linear and operating-condition-dependent — so </w:t>
      </w:r>
      <m:oMath>
        <m:sSub>
          <m:sSubPr>
            <m:ctrlPr>
              <w:rPr>
                <w:rFonts w:ascii="Cambria Math" w:hAnsi="Cambria Math" w:cs="Arial"/>
                <w:szCs w:val="20"/>
              </w:rPr>
            </m:ctrlPr>
          </m:sSubPr>
          <m:e>
            <m:r>
              <w:rPr>
                <w:rFonts w:ascii="Cambria Math" w:hAnsi="Cambria Math" w:cs="Arial"/>
                <w:szCs w:val="20"/>
              </w:rPr>
              <m:t>E</m:t>
            </m:r>
          </m:e>
          <m:sub>
            <m:r>
              <m:rPr>
                <m:nor/>
              </m:rPr>
              <w:rPr>
                <w:rFonts w:cs="Arial"/>
                <w:szCs w:val="20"/>
              </w:rPr>
              <m:t>thermal</m:t>
            </m:r>
          </m:sub>
        </m:sSub>
      </m:oMath>
      <w:r w:rsidR="00C754B4">
        <w:rPr>
          <w:rFonts w:cs="Arial"/>
          <w:szCs w:val="20"/>
        </w:rPr>
        <w:t xml:space="preserve"> </w:t>
      </w:r>
      <w:r w:rsidRPr="007E58CE">
        <w:rPr>
          <w:rFonts w:cs="Arial"/>
          <w:szCs w:val="20"/>
        </w:rPr>
        <w:t>is a proportional indicator of SFC rather than a calibrated measurement of it.</w:t>
      </w:r>
    </w:p>
    <w:p w14:paraId="54CC507C" w14:textId="77777777" w:rsidR="00BD4886" w:rsidRDefault="00BD4886">
      <w:pPr>
        <w:rPr>
          <w:rFonts w:cs="Arial"/>
          <w:szCs w:val="20"/>
        </w:rPr>
      </w:pPr>
      <w:r>
        <w:rPr>
          <w:rFonts w:cs="Arial"/>
          <w:szCs w:val="20"/>
        </w:rPr>
        <w:br w:type="page"/>
      </w:r>
    </w:p>
    <w:p w14:paraId="593D2240" w14:textId="2A53C82B" w:rsidR="00BD4886" w:rsidRPr="00662D99" w:rsidRDefault="00BD4886" w:rsidP="00BD4886">
      <w:pPr>
        <w:pStyle w:val="Heading2"/>
      </w:pPr>
      <w:r w:rsidRPr="00662D99">
        <w:lastRenderedPageBreak/>
        <w:t>A.4</w:t>
      </w:r>
      <w:r>
        <w:t xml:space="preserve"> </w:t>
      </w:r>
      <w:r w:rsidRPr="00662D99">
        <w:t>Illustrative Fleet Cost Saving Estimate: EGT Margin Precision Improvement</w:t>
      </w:r>
    </w:p>
    <w:p w14:paraId="1957CF70"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This appendix presents an order-of-magnitude cost saving estimate associated with a 10% improvement in the precision of the EGT margin → RUL mapping in Phase 4. All figures are illustrative and constructed from published industry benchmarks and conservative engineering assumptions. They are not derived from fleet-specific operational data and must not be used for commercial or financial planning purposes without independent validation.</w:t>
      </w:r>
    </w:p>
    <w:p w14:paraId="58BDBB86" w14:textId="6E57CF43" w:rsidR="00BD4886" w:rsidRPr="00662D99" w:rsidRDefault="00BD4886" w:rsidP="00BD4886">
      <w:pPr>
        <w:spacing w:before="100" w:beforeAutospacing="1" w:after="100" w:afterAutospacing="1"/>
        <w:rPr>
          <w:rFonts w:cs="Arial"/>
          <w:b/>
          <w:bCs/>
          <w:szCs w:val="20"/>
        </w:rPr>
      </w:pPr>
      <w:r w:rsidRPr="000D6E34">
        <w:rPr>
          <w:rFonts w:cs="Arial"/>
          <w:b/>
          <w:bCs/>
          <w:i/>
          <w:iCs/>
          <w:color w:val="1B3A5C"/>
          <w:szCs w:val="20"/>
        </w:rPr>
        <w:t xml:space="preserve">Table </w:t>
      </w:r>
      <w:r w:rsidR="00B53A9B">
        <w:rPr>
          <w:rFonts w:cs="Arial"/>
          <w:b/>
          <w:bCs/>
          <w:i/>
          <w:iCs/>
          <w:color w:val="1B3A5C"/>
          <w:szCs w:val="20"/>
        </w:rPr>
        <w:t>2</w:t>
      </w:r>
      <w:r w:rsidR="00522852">
        <w:rPr>
          <w:rFonts w:cs="Arial"/>
          <w:b/>
          <w:bCs/>
          <w:i/>
          <w:iCs/>
          <w:color w:val="1B3A5C"/>
          <w:szCs w:val="20"/>
        </w:rPr>
        <w:t>2</w:t>
      </w:r>
      <w:r>
        <w:rPr>
          <w:rFonts w:cs="Arial"/>
          <w:b/>
          <w:bCs/>
          <w:i/>
          <w:iCs/>
          <w:color w:val="1B3A5C"/>
          <w:szCs w:val="20"/>
        </w:rPr>
        <w:t>. Parameter Definitions and Assumptions</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992"/>
        <w:gridCol w:w="1701"/>
        <w:gridCol w:w="2693"/>
      </w:tblGrid>
      <w:tr w:rsidR="00BD4886" w:rsidRPr="00662D99" w14:paraId="37818EBF" w14:textId="77777777" w:rsidTr="00BD4886">
        <w:trPr>
          <w:tblHeader/>
        </w:trPr>
        <w:tc>
          <w:tcPr>
            <w:tcW w:w="382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01CFFA98" w14:textId="77777777" w:rsidR="00BD4886" w:rsidRPr="00662D99" w:rsidRDefault="00BD4886" w:rsidP="00296B4A">
            <w:pPr>
              <w:spacing w:before="100" w:beforeAutospacing="1" w:after="100" w:afterAutospacing="1"/>
              <w:rPr>
                <w:rFonts w:cs="Arial"/>
                <w:szCs w:val="20"/>
              </w:rPr>
            </w:pPr>
            <w:r w:rsidRPr="00662D99">
              <w:rPr>
                <w:rFonts w:cs="Arial"/>
                <w:b/>
                <w:bCs/>
                <w:color w:val="FFFFFF"/>
                <w:szCs w:val="20"/>
              </w:rPr>
              <w:t>Parameter</w:t>
            </w:r>
          </w:p>
        </w:tc>
        <w:tc>
          <w:tcPr>
            <w:tcW w:w="99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2CD56D0" w14:textId="77777777" w:rsidR="00BD4886" w:rsidRPr="00662D99" w:rsidRDefault="00BD4886" w:rsidP="00296B4A">
            <w:pPr>
              <w:spacing w:before="100" w:beforeAutospacing="1" w:after="100" w:afterAutospacing="1"/>
              <w:rPr>
                <w:rFonts w:cs="Arial"/>
                <w:szCs w:val="20"/>
              </w:rPr>
            </w:pPr>
            <w:r w:rsidRPr="00662D99">
              <w:rPr>
                <w:rFonts w:cs="Arial"/>
                <w:b/>
                <w:bCs/>
                <w:color w:val="FFFFFF"/>
                <w:szCs w:val="20"/>
              </w:rPr>
              <w:t>Symbol</w:t>
            </w:r>
          </w:p>
        </w:tc>
        <w:tc>
          <w:tcPr>
            <w:tcW w:w="170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A8828E1" w14:textId="77777777" w:rsidR="00BD4886" w:rsidRPr="00662D99" w:rsidRDefault="00BD4886" w:rsidP="00296B4A">
            <w:pPr>
              <w:spacing w:before="100" w:beforeAutospacing="1" w:after="100" w:afterAutospacing="1"/>
              <w:rPr>
                <w:rFonts w:cs="Arial"/>
                <w:szCs w:val="20"/>
              </w:rPr>
            </w:pPr>
            <w:r w:rsidRPr="00662D99">
              <w:rPr>
                <w:rFonts w:cs="Arial"/>
                <w:szCs w:val="20"/>
              </w:rPr>
              <w:t>Value</w:t>
            </w:r>
          </w:p>
        </w:tc>
        <w:tc>
          <w:tcPr>
            <w:tcW w:w="2693"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14951CE1" w14:textId="77777777" w:rsidR="00BD4886" w:rsidRPr="00662D99" w:rsidRDefault="00BD4886" w:rsidP="00296B4A">
            <w:pPr>
              <w:spacing w:before="100" w:beforeAutospacing="1" w:after="100" w:afterAutospacing="1"/>
              <w:rPr>
                <w:rFonts w:cs="Arial"/>
                <w:szCs w:val="20"/>
              </w:rPr>
            </w:pPr>
            <w:r>
              <w:rPr>
                <w:rFonts w:cs="Arial"/>
                <w:b/>
                <w:bCs/>
                <w:color w:val="FFFFFF"/>
                <w:szCs w:val="20"/>
              </w:rPr>
              <w:t>Source</w:t>
            </w:r>
          </w:p>
        </w:tc>
      </w:tr>
      <w:tr w:rsidR="004C002F" w14:paraId="4CE57649" w14:textId="77777777" w:rsidTr="00BD4886">
        <w:tc>
          <w:tcPr>
            <w:tcW w:w="3828" w:type="dxa"/>
            <w:shd w:val="clear" w:color="auto" w:fill="FFFFFF"/>
            <w:tcMar>
              <w:top w:w="80" w:type="dxa"/>
              <w:left w:w="120" w:type="dxa"/>
              <w:bottom w:w="80" w:type="dxa"/>
              <w:right w:w="120" w:type="dxa"/>
            </w:tcMar>
            <w:vAlign w:val="center"/>
          </w:tcPr>
          <w:p w14:paraId="004E1945" w14:textId="77777777" w:rsidR="00BD4886" w:rsidRPr="00662D99" w:rsidRDefault="00BD4886" w:rsidP="00296B4A">
            <w:pPr>
              <w:spacing w:before="100" w:beforeAutospacing="1" w:after="100" w:afterAutospacing="1"/>
              <w:rPr>
                <w:rFonts w:cs="Arial"/>
                <w:szCs w:val="20"/>
              </w:rPr>
            </w:pPr>
            <w:r w:rsidRPr="00662D99">
              <w:rPr>
                <w:rFonts w:cs="Arial"/>
                <w:szCs w:val="20"/>
              </w:rPr>
              <w:t>Fleet size</w:t>
            </w:r>
          </w:p>
        </w:tc>
        <w:tc>
          <w:tcPr>
            <w:tcW w:w="992" w:type="dxa"/>
            <w:shd w:val="clear" w:color="auto" w:fill="FFFFFF"/>
            <w:tcMar>
              <w:top w:w="80" w:type="dxa"/>
              <w:left w:w="120" w:type="dxa"/>
              <w:bottom w:w="80" w:type="dxa"/>
              <w:right w:w="120" w:type="dxa"/>
            </w:tcMar>
            <w:vAlign w:val="center"/>
          </w:tcPr>
          <w:p w14:paraId="4F2C2469" w14:textId="77777777" w:rsidR="00BD4886" w:rsidRPr="00662D99" w:rsidRDefault="00000000" w:rsidP="00296B4A">
            <w:pPr>
              <w:spacing w:before="100" w:beforeAutospacing="1" w:after="100" w:afterAutospacing="1"/>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fleet</m:t>
                    </m:r>
                  </m:sub>
                </m:sSub>
              </m:oMath>
            </m:oMathPara>
          </w:p>
        </w:tc>
        <w:tc>
          <w:tcPr>
            <w:tcW w:w="1701" w:type="dxa"/>
            <w:shd w:val="clear" w:color="auto" w:fill="FFFFFF"/>
            <w:tcMar>
              <w:top w:w="80" w:type="dxa"/>
              <w:left w:w="120" w:type="dxa"/>
              <w:bottom w:w="80" w:type="dxa"/>
              <w:right w:w="120" w:type="dxa"/>
            </w:tcMar>
            <w:vAlign w:val="center"/>
          </w:tcPr>
          <w:p w14:paraId="6B7DC0C3" w14:textId="77777777" w:rsidR="00BD4886" w:rsidRPr="00662D99" w:rsidRDefault="00BD4886" w:rsidP="00296B4A">
            <w:pPr>
              <w:spacing w:before="100" w:beforeAutospacing="1" w:after="100" w:afterAutospacing="1"/>
              <w:rPr>
                <w:rFonts w:cs="Arial"/>
                <w:szCs w:val="20"/>
              </w:rPr>
            </w:pPr>
            <w:r w:rsidRPr="00662D99">
              <w:rPr>
                <w:rFonts w:cs="Arial"/>
                <w:szCs w:val="20"/>
              </w:rPr>
              <w:t>100 aircraft</w:t>
            </w:r>
          </w:p>
        </w:tc>
        <w:tc>
          <w:tcPr>
            <w:tcW w:w="2693" w:type="dxa"/>
            <w:shd w:val="clear" w:color="auto" w:fill="FFFFFF"/>
            <w:tcMar>
              <w:top w:w="80" w:type="dxa"/>
              <w:left w:w="120" w:type="dxa"/>
              <w:bottom w:w="80" w:type="dxa"/>
              <w:right w:w="120" w:type="dxa"/>
            </w:tcMar>
            <w:vAlign w:val="center"/>
          </w:tcPr>
          <w:p w14:paraId="5258E14A" w14:textId="77777777" w:rsidR="00BD4886" w:rsidRPr="00662D99" w:rsidRDefault="00BD4886" w:rsidP="00296B4A">
            <w:pPr>
              <w:spacing w:before="100" w:beforeAutospacing="1" w:after="100" w:afterAutospacing="1"/>
              <w:rPr>
                <w:rFonts w:cs="Arial"/>
                <w:szCs w:val="20"/>
              </w:rPr>
            </w:pPr>
            <w:r w:rsidRPr="00662D99">
              <w:rPr>
                <w:rFonts w:cs="Arial"/>
                <w:szCs w:val="20"/>
              </w:rPr>
              <w:t>Assumed</w:t>
            </w:r>
          </w:p>
        </w:tc>
      </w:tr>
      <w:tr w:rsidR="004C002F" w14:paraId="503B9DFA" w14:textId="77777777" w:rsidTr="00BD4886">
        <w:tc>
          <w:tcPr>
            <w:tcW w:w="3828" w:type="dxa"/>
            <w:shd w:val="clear" w:color="auto" w:fill="F0F4F8"/>
            <w:tcMar>
              <w:top w:w="80" w:type="dxa"/>
              <w:left w:w="120" w:type="dxa"/>
              <w:bottom w:w="80" w:type="dxa"/>
              <w:right w:w="120" w:type="dxa"/>
            </w:tcMar>
            <w:vAlign w:val="center"/>
          </w:tcPr>
          <w:p w14:paraId="2691162C" w14:textId="77777777" w:rsidR="00BD4886" w:rsidRPr="00662D99" w:rsidRDefault="00BD4886" w:rsidP="00296B4A">
            <w:pPr>
              <w:spacing w:before="100" w:beforeAutospacing="1" w:after="100" w:afterAutospacing="1"/>
              <w:rPr>
                <w:rFonts w:cs="Arial"/>
                <w:szCs w:val="20"/>
              </w:rPr>
            </w:pPr>
            <w:r w:rsidRPr="00662D99">
              <w:rPr>
                <w:rFonts w:cs="Arial"/>
                <w:szCs w:val="20"/>
              </w:rPr>
              <w:t>Engines per aircraft</w:t>
            </w:r>
          </w:p>
        </w:tc>
        <w:tc>
          <w:tcPr>
            <w:tcW w:w="992" w:type="dxa"/>
            <w:shd w:val="clear" w:color="auto" w:fill="F0F4F8"/>
            <w:tcMar>
              <w:top w:w="80" w:type="dxa"/>
              <w:left w:w="120" w:type="dxa"/>
              <w:bottom w:w="80" w:type="dxa"/>
              <w:right w:w="120" w:type="dxa"/>
            </w:tcMar>
            <w:vAlign w:val="center"/>
          </w:tcPr>
          <w:p w14:paraId="270C608A" w14:textId="77777777" w:rsidR="00BD4886" w:rsidRPr="00662D99" w:rsidRDefault="00000000" w:rsidP="00296B4A">
            <w:pPr>
              <w:spacing w:before="100" w:beforeAutospacing="1" w:after="100" w:afterAutospacing="1"/>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w:rPr>
                        <w:rFonts w:ascii="Cambria Math" w:hAnsi="Cambria Math" w:cs="Arial"/>
                        <w:szCs w:val="20"/>
                      </w:rPr>
                      <m:t>e</m:t>
                    </m:r>
                  </m:sub>
                </m:sSub>
              </m:oMath>
            </m:oMathPara>
          </w:p>
        </w:tc>
        <w:tc>
          <w:tcPr>
            <w:tcW w:w="1701" w:type="dxa"/>
            <w:shd w:val="clear" w:color="auto" w:fill="F0F4F8"/>
            <w:tcMar>
              <w:top w:w="80" w:type="dxa"/>
              <w:left w:w="120" w:type="dxa"/>
              <w:bottom w:w="80" w:type="dxa"/>
              <w:right w:w="120" w:type="dxa"/>
            </w:tcMar>
            <w:vAlign w:val="center"/>
          </w:tcPr>
          <w:p w14:paraId="20E05DB5" w14:textId="77777777" w:rsidR="00BD4886" w:rsidRPr="00662D99" w:rsidRDefault="00BD4886" w:rsidP="00296B4A">
            <w:pPr>
              <w:spacing w:before="100" w:beforeAutospacing="1" w:after="100" w:afterAutospacing="1"/>
              <w:rPr>
                <w:rFonts w:cs="Arial"/>
                <w:szCs w:val="20"/>
              </w:rPr>
            </w:pPr>
            <w:r w:rsidRPr="00662D99">
              <w:rPr>
                <w:rFonts w:cs="Arial"/>
                <w:szCs w:val="20"/>
              </w:rPr>
              <w:t>2</w:t>
            </w:r>
          </w:p>
        </w:tc>
        <w:tc>
          <w:tcPr>
            <w:tcW w:w="2693" w:type="dxa"/>
            <w:shd w:val="clear" w:color="auto" w:fill="F0F4F8"/>
            <w:tcMar>
              <w:top w:w="80" w:type="dxa"/>
              <w:left w:w="120" w:type="dxa"/>
              <w:bottom w:w="80" w:type="dxa"/>
              <w:right w:w="120" w:type="dxa"/>
            </w:tcMar>
            <w:vAlign w:val="center"/>
          </w:tcPr>
          <w:p w14:paraId="5A77BED8" w14:textId="77777777" w:rsidR="00BD4886" w:rsidRPr="00662D99" w:rsidRDefault="00BD4886" w:rsidP="00296B4A">
            <w:pPr>
              <w:spacing w:before="100" w:beforeAutospacing="1" w:after="100" w:afterAutospacing="1"/>
              <w:rPr>
                <w:rFonts w:cs="Arial"/>
                <w:szCs w:val="20"/>
              </w:rPr>
            </w:pPr>
            <w:r w:rsidRPr="00662D99">
              <w:rPr>
                <w:rFonts w:cs="Arial"/>
                <w:szCs w:val="20"/>
              </w:rPr>
              <w:t>Twin-engine narrow body</w:t>
            </w:r>
          </w:p>
        </w:tc>
      </w:tr>
      <w:tr w:rsidR="004C002F" w14:paraId="19ED4F98" w14:textId="77777777" w:rsidTr="00BD4886">
        <w:tc>
          <w:tcPr>
            <w:tcW w:w="3828" w:type="dxa"/>
            <w:shd w:val="clear" w:color="auto" w:fill="FFFFFF"/>
            <w:tcMar>
              <w:top w:w="80" w:type="dxa"/>
              <w:left w:w="120" w:type="dxa"/>
              <w:bottom w:w="80" w:type="dxa"/>
              <w:right w:w="120" w:type="dxa"/>
            </w:tcMar>
            <w:vAlign w:val="center"/>
          </w:tcPr>
          <w:p w14:paraId="662DDFAF" w14:textId="77777777" w:rsidR="00BD4886" w:rsidRPr="00662D99" w:rsidRDefault="00BD4886" w:rsidP="00296B4A">
            <w:pPr>
              <w:spacing w:before="100" w:beforeAutospacing="1" w:after="100" w:afterAutospacing="1"/>
              <w:rPr>
                <w:rFonts w:cs="Arial"/>
                <w:szCs w:val="20"/>
              </w:rPr>
            </w:pPr>
            <w:r w:rsidRPr="00662D99">
              <w:rPr>
                <w:rFonts w:cs="Arial"/>
                <w:szCs w:val="20"/>
              </w:rPr>
              <w:t>Unscheduled removals per engine per annum</w:t>
            </w:r>
          </w:p>
        </w:tc>
        <w:tc>
          <w:tcPr>
            <w:tcW w:w="992" w:type="dxa"/>
            <w:shd w:val="clear" w:color="auto" w:fill="FFFFFF"/>
            <w:tcMar>
              <w:top w:w="80" w:type="dxa"/>
              <w:left w:w="120" w:type="dxa"/>
              <w:bottom w:w="80" w:type="dxa"/>
              <w:right w:w="120" w:type="dxa"/>
            </w:tcMar>
            <w:vAlign w:val="center"/>
          </w:tcPr>
          <w:p w14:paraId="08EB1E6F" w14:textId="77777777" w:rsidR="00BD4886" w:rsidRPr="00662D99" w:rsidRDefault="00000000" w:rsidP="00296B4A">
            <w:pPr>
              <w:spacing w:before="100" w:beforeAutospacing="1" w:after="100" w:afterAutospacing="1"/>
              <w:rPr>
                <w:rFonts w:cs="Arial"/>
                <w:szCs w:val="20"/>
              </w:rPr>
            </w:pPr>
            <m:oMathPara>
              <m:oMath>
                <m:sSub>
                  <m:sSubPr>
                    <m:ctrlPr>
                      <w:rPr>
                        <w:rFonts w:ascii="Cambria Math" w:hAnsi="Cambria Math" w:cs="Arial"/>
                        <w:i/>
                        <w:szCs w:val="20"/>
                      </w:rPr>
                    </m:ctrlPr>
                  </m:sSubPr>
                  <m:e>
                    <m:r>
                      <w:rPr>
                        <w:rFonts w:ascii="Cambria Math" w:hAnsi="Cambria Math" w:cs="Arial"/>
                        <w:szCs w:val="20"/>
                      </w:rPr>
                      <m:t>r</m:t>
                    </m:r>
                  </m:e>
                  <m:sub>
                    <m:r>
                      <m:rPr>
                        <m:nor/>
                      </m:rPr>
                      <w:rPr>
                        <w:rFonts w:ascii="Cambria Math" w:hAnsi="Cambria Math" w:cs="Arial"/>
                        <w:szCs w:val="20"/>
                      </w:rPr>
                      <m:t>UER</m:t>
                    </m:r>
                  </m:sub>
                </m:sSub>
              </m:oMath>
            </m:oMathPara>
          </w:p>
        </w:tc>
        <w:tc>
          <w:tcPr>
            <w:tcW w:w="1701" w:type="dxa"/>
            <w:shd w:val="clear" w:color="auto" w:fill="FFFFFF"/>
            <w:tcMar>
              <w:top w:w="80" w:type="dxa"/>
              <w:left w:w="120" w:type="dxa"/>
              <w:bottom w:w="80" w:type="dxa"/>
              <w:right w:w="120" w:type="dxa"/>
            </w:tcMar>
            <w:vAlign w:val="center"/>
          </w:tcPr>
          <w:p w14:paraId="3EFB4458" w14:textId="77777777" w:rsidR="00BD4886" w:rsidRPr="00662D99" w:rsidRDefault="00BD4886" w:rsidP="00296B4A">
            <w:pPr>
              <w:spacing w:before="100" w:beforeAutospacing="1" w:after="100" w:afterAutospacing="1"/>
              <w:rPr>
                <w:rFonts w:cs="Arial"/>
                <w:szCs w:val="20"/>
              </w:rPr>
            </w:pPr>
            <w:r w:rsidRPr="00662D99">
              <w:rPr>
                <w:rFonts w:cs="Arial"/>
                <w:szCs w:val="20"/>
              </w:rPr>
              <w:t>1</w:t>
            </w:r>
          </w:p>
        </w:tc>
        <w:tc>
          <w:tcPr>
            <w:tcW w:w="2693" w:type="dxa"/>
            <w:shd w:val="clear" w:color="auto" w:fill="FFFFFF"/>
            <w:tcMar>
              <w:top w:w="80" w:type="dxa"/>
              <w:left w:w="120" w:type="dxa"/>
              <w:bottom w:w="80" w:type="dxa"/>
              <w:right w:w="120" w:type="dxa"/>
            </w:tcMar>
            <w:vAlign w:val="center"/>
          </w:tcPr>
          <w:p w14:paraId="4879AA67" w14:textId="77777777" w:rsidR="00BD4886" w:rsidRPr="00662D99" w:rsidRDefault="00BD4886" w:rsidP="00296B4A">
            <w:pPr>
              <w:spacing w:before="100" w:beforeAutospacing="1" w:after="100" w:afterAutospacing="1"/>
              <w:rPr>
                <w:rFonts w:cs="Arial"/>
                <w:szCs w:val="20"/>
              </w:rPr>
            </w:pPr>
            <w:r w:rsidRPr="00662D99">
              <w:rPr>
                <w:rFonts w:cs="Arial"/>
                <w:szCs w:val="20"/>
              </w:rPr>
              <w:t>Industry average, narrow body</w:t>
            </w:r>
          </w:p>
        </w:tc>
      </w:tr>
      <w:tr w:rsidR="004C002F" w14:paraId="3C736453" w14:textId="77777777" w:rsidTr="00BD4886">
        <w:tc>
          <w:tcPr>
            <w:tcW w:w="3828" w:type="dxa"/>
            <w:shd w:val="clear" w:color="auto" w:fill="F0F4F8"/>
            <w:tcMar>
              <w:top w:w="80" w:type="dxa"/>
              <w:left w:w="120" w:type="dxa"/>
              <w:bottom w:w="80" w:type="dxa"/>
              <w:right w:w="120" w:type="dxa"/>
            </w:tcMar>
            <w:vAlign w:val="center"/>
          </w:tcPr>
          <w:p w14:paraId="35C045B8" w14:textId="77777777" w:rsidR="00BD4886" w:rsidRPr="00662D99" w:rsidRDefault="00BD4886" w:rsidP="00296B4A">
            <w:pPr>
              <w:spacing w:before="100" w:beforeAutospacing="1" w:after="100" w:afterAutospacing="1"/>
              <w:rPr>
                <w:rFonts w:cs="Arial"/>
                <w:szCs w:val="20"/>
              </w:rPr>
            </w:pPr>
            <w:r w:rsidRPr="00662D99">
              <w:rPr>
                <w:rFonts w:cs="Arial"/>
                <w:szCs w:val="20"/>
              </w:rPr>
              <w:t>Proportion of UERs attributable to EGT margin exceedance</w:t>
            </w:r>
          </w:p>
        </w:tc>
        <w:tc>
          <w:tcPr>
            <w:tcW w:w="992" w:type="dxa"/>
            <w:shd w:val="clear" w:color="auto" w:fill="F0F4F8"/>
            <w:tcMar>
              <w:top w:w="80" w:type="dxa"/>
              <w:left w:w="120" w:type="dxa"/>
              <w:bottom w:w="80" w:type="dxa"/>
              <w:right w:w="120" w:type="dxa"/>
            </w:tcMar>
            <w:vAlign w:val="center"/>
          </w:tcPr>
          <w:p w14:paraId="2C3F8421" w14:textId="77777777" w:rsidR="00BD4886" w:rsidRPr="00662D99" w:rsidRDefault="00000000" w:rsidP="00296B4A">
            <w:pPr>
              <w:spacing w:before="100" w:beforeAutospacing="1" w:after="100" w:afterAutospacing="1"/>
              <w:rPr>
                <w:rFonts w:cs="Arial"/>
                <w:szCs w:val="20"/>
              </w:rPr>
            </w:pPr>
            <m:oMathPara>
              <m:oMath>
                <m:sSub>
                  <m:sSubPr>
                    <m:ctrlPr>
                      <w:rPr>
                        <w:rFonts w:ascii="Cambria Math" w:hAnsi="Cambria Math" w:cs="Arial"/>
                        <w:i/>
                        <w:szCs w:val="20"/>
                      </w:rPr>
                    </m:ctrlPr>
                  </m:sSubPr>
                  <m:e>
                    <m:r>
                      <w:rPr>
                        <w:rFonts w:ascii="Cambria Math" w:hAnsi="Cambria Math" w:cs="Arial"/>
                        <w:szCs w:val="20"/>
                      </w:rPr>
                      <m:t>p</m:t>
                    </m:r>
                  </m:e>
                  <m:sub>
                    <m:r>
                      <m:rPr>
                        <m:nor/>
                      </m:rPr>
                      <w:rPr>
                        <w:rFonts w:ascii="Cambria Math" w:hAnsi="Cambria Math" w:cs="Arial"/>
                        <w:szCs w:val="20"/>
                      </w:rPr>
                      <m:t>EGT</m:t>
                    </m:r>
                  </m:sub>
                </m:sSub>
              </m:oMath>
            </m:oMathPara>
          </w:p>
        </w:tc>
        <w:tc>
          <w:tcPr>
            <w:tcW w:w="1701" w:type="dxa"/>
            <w:shd w:val="clear" w:color="auto" w:fill="F0F4F8"/>
            <w:tcMar>
              <w:top w:w="80" w:type="dxa"/>
              <w:left w:w="120" w:type="dxa"/>
              <w:bottom w:w="80" w:type="dxa"/>
              <w:right w:w="120" w:type="dxa"/>
            </w:tcMar>
            <w:vAlign w:val="center"/>
          </w:tcPr>
          <w:p w14:paraId="1BBCA920" w14:textId="77777777" w:rsidR="00BD4886" w:rsidRPr="00662D99" w:rsidRDefault="00BD4886" w:rsidP="00296B4A">
            <w:pPr>
              <w:spacing w:before="100" w:beforeAutospacing="1" w:after="100" w:afterAutospacing="1"/>
              <w:rPr>
                <w:rFonts w:cs="Arial"/>
                <w:szCs w:val="20"/>
              </w:rPr>
            </w:pPr>
            <w:r w:rsidRPr="00662D99">
              <w:rPr>
                <w:rFonts w:cs="Arial"/>
                <w:szCs w:val="20"/>
              </w:rPr>
              <w:t>0.25</w:t>
            </w:r>
          </w:p>
        </w:tc>
        <w:tc>
          <w:tcPr>
            <w:tcW w:w="2693" w:type="dxa"/>
            <w:shd w:val="clear" w:color="auto" w:fill="F0F4F8"/>
            <w:tcMar>
              <w:top w:w="80" w:type="dxa"/>
              <w:left w:w="120" w:type="dxa"/>
              <w:bottom w:w="80" w:type="dxa"/>
              <w:right w:w="120" w:type="dxa"/>
            </w:tcMar>
            <w:vAlign w:val="center"/>
          </w:tcPr>
          <w:p w14:paraId="2FB100E0" w14:textId="77777777" w:rsidR="00BD4886" w:rsidRPr="00662D99" w:rsidRDefault="00BD4886" w:rsidP="00296B4A">
            <w:pPr>
              <w:spacing w:before="100" w:beforeAutospacing="1" w:after="100" w:afterAutospacing="1"/>
              <w:rPr>
                <w:rFonts w:cs="Arial"/>
                <w:szCs w:val="20"/>
              </w:rPr>
            </w:pPr>
            <w:r w:rsidRPr="00662D99">
              <w:rPr>
                <w:rFonts w:cs="Arial"/>
                <w:szCs w:val="20"/>
              </w:rPr>
              <w:t>Conservative industry estimate</w:t>
            </w:r>
          </w:p>
        </w:tc>
      </w:tr>
      <w:tr w:rsidR="004C002F" w14:paraId="78C83DE1" w14:textId="77777777" w:rsidTr="00BD4886">
        <w:tc>
          <w:tcPr>
            <w:tcW w:w="3828" w:type="dxa"/>
            <w:shd w:val="clear" w:color="auto" w:fill="FFFFFF"/>
            <w:tcMar>
              <w:top w:w="80" w:type="dxa"/>
              <w:left w:w="120" w:type="dxa"/>
              <w:bottom w:w="80" w:type="dxa"/>
              <w:right w:w="120" w:type="dxa"/>
            </w:tcMar>
            <w:vAlign w:val="center"/>
          </w:tcPr>
          <w:p w14:paraId="7B23AD4D" w14:textId="77777777" w:rsidR="00BD4886" w:rsidRPr="00662D99" w:rsidRDefault="00BD4886" w:rsidP="00296B4A">
            <w:pPr>
              <w:spacing w:before="100" w:beforeAutospacing="1" w:after="100" w:afterAutospacing="1"/>
              <w:rPr>
                <w:rFonts w:cs="Arial"/>
                <w:szCs w:val="20"/>
              </w:rPr>
            </w:pPr>
            <w:r w:rsidRPr="00662D99">
              <w:rPr>
                <w:rFonts w:cs="Arial"/>
                <w:szCs w:val="20"/>
              </w:rPr>
              <w:t>Precision improvement in EGT → RUL mapping</w:t>
            </w:r>
          </w:p>
        </w:tc>
        <w:tc>
          <w:tcPr>
            <w:tcW w:w="992" w:type="dxa"/>
            <w:shd w:val="clear" w:color="auto" w:fill="FFFFFF"/>
            <w:tcMar>
              <w:top w:w="80" w:type="dxa"/>
              <w:left w:w="120" w:type="dxa"/>
              <w:bottom w:w="80" w:type="dxa"/>
              <w:right w:w="120" w:type="dxa"/>
            </w:tcMar>
            <w:vAlign w:val="center"/>
          </w:tcPr>
          <w:p w14:paraId="22BC4DF9" w14:textId="77777777" w:rsidR="00BD4886" w:rsidRPr="00662D99" w:rsidRDefault="00BD4886" w:rsidP="00296B4A">
            <w:pPr>
              <w:spacing w:before="100" w:beforeAutospacing="1" w:after="100" w:afterAutospacing="1"/>
              <w:rPr>
                <w:rFonts w:cs="Arial"/>
                <w:szCs w:val="20"/>
              </w:rPr>
            </w:pPr>
            <m:oMathPara>
              <m:oMath>
                <m:r>
                  <m:rPr>
                    <m:sty m:val="p"/>
                  </m:rPr>
                  <w:rPr>
                    <w:rFonts w:ascii="Cambria Math" w:hAnsi="Cambria Math" w:cs="Arial"/>
                    <w:szCs w:val="20"/>
                  </w:rPr>
                  <m:t>Δ</m:t>
                </m:r>
                <m:r>
                  <w:rPr>
                    <w:rFonts w:ascii="Cambria Math" w:hAnsi="Cambria Math" w:cs="Arial"/>
                    <w:szCs w:val="20"/>
                  </w:rPr>
                  <m:t>p</m:t>
                </m:r>
              </m:oMath>
            </m:oMathPara>
          </w:p>
        </w:tc>
        <w:tc>
          <w:tcPr>
            <w:tcW w:w="1701" w:type="dxa"/>
            <w:shd w:val="clear" w:color="auto" w:fill="FFFFFF"/>
            <w:tcMar>
              <w:top w:w="80" w:type="dxa"/>
              <w:left w:w="120" w:type="dxa"/>
              <w:bottom w:w="80" w:type="dxa"/>
              <w:right w:w="120" w:type="dxa"/>
            </w:tcMar>
            <w:vAlign w:val="center"/>
          </w:tcPr>
          <w:p w14:paraId="2D080B9F" w14:textId="77777777" w:rsidR="00BD4886" w:rsidRPr="00662D99" w:rsidRDefault="00BD4886" w:rsidP="00296B4A">
            <w:pPr>
              <w:spacing w:before="100" w:beforeAutospacing="1" w:after="100" w:afterAutospacing="1"/>
              <w:rPr>
                <w:rFonts w:cs="Arial"/>
                <w:szCs w:val="20"/>
              </w:rPr>
            </w:pPr>
            <w:r w:rsidRPr="00662D99">
              <w:rPr>
                <w:rFonts w:cs="Arial"/>
                <w:szCs w:val="20"/>
              </w:rPr>
              <w:t>0.10</w:t>
            </w:r>
          </w:p>
        </w:tc>
        <w:tc>
          <w:tcPr>
            <w:tcW w:w="2693" w:type="dxa"/>
            <w:shd w:val="clear" w:color="auto" w:fill="FFFFFF"/>
            <w:tcMar>
              <w:top w:w="80" w:type="dxa"/>
              <w:left w:w="120" w:type="dxa"/>
              <w:bottom w:w="80" w:type="dxa"/>
              <w:right w:w="120" w:type="dxa"/>
            </w:tcMar>
            <w:vAlign w:val="center"/>
          </w:tcPr>
          <w:p w14:paraId="28B29526" w14:textId="77777777" w:rsidR="00BD4886" w:rsidRPr="00662D99" w:rsidRDefault="00BD4886" w:rsidP="00296B4A">
            <w:pPr>
              <w:spacing w:before="100" w:beforeAutospacing="1" w:after="100" w:afterAutospacing="1"/>
              <w:rPr>
                <w:rFonts w:cs="Arial"/>
                <w:szCs w:val="20"/>
              </w:rPr>
            </w:pPr>
            <w:r w:rsidRPr="00662D99">
              <w:rPr>
                <w:rFonts w:cs="Arial"/>
                <w:szCs w:val="20"/>
              </w:rPr>
              <w:t>Phase 4 target</w:t>
            </w:r>
          </w:p>
        </w:tc>
      </w:tr>
      <w:tr w:rsidR="004C002F" w14:paraId="1860660B" w14:textId="77777777" w:rsidTr="00BD4886">
        <w:tc>
          <w:tcPr>
            <w:tcW w:w="3828" w:type="dxa"/>
            <w:shd w:val="clear" w:color="auto" w:fill="F0F4F8"/>
            <w:tcMar>
              <w:top w:w="80" w:type="dxa"/>
              <w:left w:w="120" w:type="dxa"/>
              <w:bottom w:w="80" w:type="dxa"/>
              <w:right w:w="120" w:type="dxa"/>
            </w:tcMar>
            <w:vAlign w:val="center"/>
          </w:tcPr>
          <w:p w14:paraId="285A4C03" w14:textId="77777777" w:rsidR="00BD4886" w:rsidRPr="00662D99" w:rsidRDefault="00BD4886" w:rsidP="00296B4A">
            <w:pPr>
              <w:spacing w:before="100" w:beforeAutospacing="1" w:after="100" w:afterAutospacing="1"/>
              <w:rPr>
                <w:rFonts w:cs="Arial"/>
                <w:szCs w:val="20"/>
              </w:rPr>
            </w:pPr>
            <w:r w:rsidRPr="00662D99">
              <w:rPr>
                <w:rFonts w:cs="Arial"/>
                <w:szCs w:val="20"/>
              </w:rPr>
              <w:t>Direct shop visit cost per unscheduled removal</w:t>
            </w:r>
          </w:p>
        </w:tc>
        <w:tc>
          <w:tcPr>
            <w:tcW w:w="992" w:type="dxa"/>
            <w:shd w:val="clear" w:color="auto" w:fill="F0F4F8"/>
            <w:tcMar>
              <w:top w:w="80" w:type="dxa"/>
              <w:left w:w="120" w:type="dxa"/>
              <w:bottom w:w="80" w:type="dxa"/>
              <w:right w:w="120" w:type="dxa"/>
            </w:tcMar>
            <w:vAlign w:val="center"/>
          </w:tcPr>
          <w:p w14:paraId="2B22DB25" w14:textId="77777777" w:rsidR="00BD4886" w:rsidRPr="00662D99" w:rsidRDefault="00000000" w:rsidP="00296B4A">
            <w:pPr>
              <w:spacing w:before="100" w:beforeAutospacing="1" w:after="100" w:afterAutospacing="1"/>
              <w:rPr>
                <w:rFonts w:cs="Arial"/>
                <w:szCs w:val="20"/>
              </w:rPr>
            </w:pPr>
            <m:oMathPara>
              <m:oMath>
                <m:sSub>
                  <m:sSubPr>
                    <m:ctrlPr>
                      <w:rPr>
                        <w:rFonts w:ascii="Cambria Math" w:hAnsi="Cambria Math" w:cs="Arial"/>
                        <w:i/>
                        <w:szCs w:val="20"/>
                      </w:rPr>
                    </m:ctrlPr>
                  </m:sSubPr>
                  <m:e>
                    <m:r>
                      <w:rPr>
                        <w:rFonts w:ascii="Cambria Math" w:hAnsi="Cambria Math" w:cs="Arial"/>
                        <w:szCs w:val="20"/>
                      </w:rPr>
                      <m:t>C</m:t>
                    </m:r>
                  </m:e>
                  <m:sub>
                    <m:r>
                      <m:rPr>
                        <m:nor/>
                      </m:rPr>
                      <w:rPr>
                        <w:rFonts w:ascii="Cambria Math" w:hAnsi="Cambria Math" w:cs="Arial"/>
                        <w:szCs w:val="20"/>
                      </w:rPr>
                      <m:t>SV</m:t>
                    </m:r>
                  </m:sub>
                </m:sSub>
              </m:oMath>
            </m:oMathPara>
          </w:p>
        </w:tc>
        <w:tc>
          <w:tcPr>
            <w:tcW w:w="1701" w:type="dxa"/>
            <w:shd w:val="clear" w:color="auto" w:fill="F0F4F8"/>
            <w:tcMar>
              <w:top w:w="80" w:type="dxa"/>
              <w:left w:w="120" w:type="dxa"/>
              <w:bottom w:w="80" w:type="dxa"/>
              <w:right w:w="120" w:type="dxa"/>
            </w:tcMar>
            <w:vAlign w:val="center"/>
          </w:tcPr>
          <w:p w14:paraId="733DDBED" w14:textId="77777777" w:rsidR="00BD4886" w:rsidRPr="00662D99" w:rsidRDefault="00BD4886" w:rsidP="00296B4A">
            <w:pPr>
              <w:spacing w:before="100" w:beforeAutospacing="1" w:after="100" w:afterAutospacing="1"/>
              <w:rPr>
                <w:rFonts w:ascii="Courier New" w:hAnsi="Courier New" w:cs="Courier New"/>
                <w:szCs w:val="20"/>
              </w:rPr>
            </w:pPr>
            <w:r w:rsidRPr="00662D99">
              <w:rPr>
                <w:rFonts w:cs="Arial"/>
                <w:szCs w:val="20"/>
              </w:rPr>
              <w:t>USD 300,000–500,000</w:t>
            </w:r>
          </w:p>
        </w:tc>
        <w:tc>
          <w:tcPr>
            <w:tcW w:w="2693" w:type="dxa"/>
            <w:shd w:val="clear" w:color="auto" w:fill="F0F4F8"/>
            <w:tcMar>
              <w:top w:w="80" w:type="dxa"/>
              <w:left w:w="120" w:type="dxa"/>
              <w:bottom w:w="80" w:type="dxa"/>
              <w:right w:w="120" w:type="dxa"/>
            </w:tcMar>
            <w:vAlign w:val="center"/>
          </w:tcPr>
          <w:p w14:paraId="272B09DC" w14:textId="36DAF6DA" w:rsidR="00BD4886" w:rsidRPr="00662D99" w:rsidRDefault="00BD4886" w:rsidP="00296B4A">
            <w:pPr>
              <w:spacing w:before="100" w:beforeAutospacing="1" w:after="100" w:afterAutospacing="1"/>
              <w:rPr>
                <w:rFonts w:cs="Arial"/>
                <w:szCs w:val="20"/>
              </w:rPr>
            </w:pPr>
            <w:r w:rsidRPr="00662D99">
              <w:rPr>
                <w:rFonts w:cs="Arial"/>
                <w:szCs w:val="20"/>
              </w:rPr>
              <w:t>IATA (2022)</w:t>
            </w:r>
            <w:sdt>
              <w:sdtPr>
                <w:rPr>
                  <w:rFonts w:cs="Arial"/>
                  <w:szCs w:val="20"/>
                </w:rPr>
                <w:id w:val="1455059137"/>
                <w:citation/>
              </w:sdtPr>
              <w:sdtContent>
                <w:r>
                  <w:rPr>
                    <w:rFonts w:cs="Arial"/>
                    <w:szCs w:val="20"/>
                  </w:rPr>
                  <w:fldChar w:fldCharType="begin"/>
                </w:r>
                <w:r>
                  <w:rPr>
                    <w:rFonts w:cs="Arial"/>
                    <w:szCs w:val="20"/>
                  </w:rPr>
                  <w:instrText xml:space="preserve"> CITATION Int22 \l 2057 </w:instrText>
                </w:r>
                <w:r>
                  <w:rPr>
                    <w:rFonts w:cs="Arial"/>
                    <w:szCs w:val="20"/>
                  </w:rPr>
                  <w:fldChar w:fldCharType="separate"/>
                </w:r>
                <w:r w:rsidR="0074017E">
                  <w:rPr>
                    <w:rFonts w:cs="Arial"/>
                    <w:noProof/>
                    <w:szCs w:val="20"/>
                  </w:rPr>
                  <w:t xml:space="preserve"> </w:t>
                </w:r>
                <w:r w:rsidR="0074017E" w:rsidRPr="0074017E">
                  <w:rPr>
                    <w:rFonts w:cs="Arial"/>
                    <w:noProof/>
                    <w:szCs w:val="20"/>
                  </w:rPr>
                  <w:t>[21]</w:t>
                </w:r>
                <w:r>
                  <w:rPr>
                    <w:rFonts w:cs="Arial"/>
                    <w:szCs w:val="20"/>
                  </w:rPr>
                  <w:fldChar w:fldCharType="end"/>
                </w:r>
              </w:sdtContent>
            </w:sdt>
          </w:p>
        </w:tc>
      </w:tr>
      <w:tr w:rsidR="004C002F" w14:paraId="7B9D26B3" w14:textId="77777777" w:rsidTr="00BD4886">
        <w:tc>
          <w:tcPr>
            <w:tcW w:w="3828" w:type="dxa"/>
            <w:shd w:val="clear" w:color="auto" w:fill="FFFFFF"/>
            <w:tcMar>
              <w:top w:w="80" w:type="dxa"/>
              <w:left w:w="120" w:type="dxa"/>
              <w:bottom w:w="80" w:type="dxa"/>
              <w:right w:w="120" w:type="dxa"/>
            </w:tcMar>
            <w:vAlign w:val="center"/>
          </w:tcPr>
          <w:p w14:paraId="04B44EFB" w14:textId="77777777" w:rsidR="00BD4886" w:rsidRPr="00662D99" w:rsidRDefault="00BD4886" w:rsidP="00296B4A">
            <w:pPr>
              <w:spacing w:before="100" w:beforeAutospacing="1" w:after="100" w:afterAutospacing="1"/>
              <w:rPr>
                <w:rFonts w:cs="Arial"/>
                <w:szCs w:val="20"/>
              </w:rPr>
            </w:pPr>
            <w:r w:rsidRPr="00662D99">
              <w:rPr>
                <w:rFonts w:cs="Arial"/>
                <w:szCs w:val="20"/>
              </w:rPr>
              <w:t>Cost multiplier: unscheduled vs planned shop visit</w:t>
            </w:r>
          </w:p>
        </w:tc>
        <w:tc>
          <w:tcPr>
            <w:tcW w:w="992" w:type="dxa"/>
            <w:shd w:val="clear" w:color="auto" w:fill="FFFFFF"/>
            <w:tcMar>
              <w:top w:w="80" w:type="dxa"/>
              <w:left w:w="120" w:type="dxa"/>
              <w:bottom w:w="80" w:type="dxa"/>
              <w:right w:w="120" w:type="dxa"/>
            </w:tcMar>
            <w:vAlign w:val="center"/>
          </w:tcPr>
          <w:p w14:paraId="1446B473" w14:textId="77777777" w:rsidR="00BD4886" w:rsidRPr="00662D99" w:rsidRDefault="00BD4886" w:rsidP="00296B4A">
            <w:pPr>
              <w:spacing w:before="100" w:beforeAutospacing="1" w:after="100" w:afterAutospacing="1"/>
              <w:rPr>
                <w:rFonts w:cs="Arial"/>
                <w:szCs w:val="20"/>
              </w:rPr>
            </w:pPr>
            <m:oMathPara>
              <m:oMath>
                <m:r>
                  <w:rPr>
                    <w:rFonts w:ascii="Cambria Math" w:hAnsi="Cambria Math" w:cs="Arial"/>
                    <w:szCs w:val="20"/>
                  </w:rPr>
                  <m:t>α</m:t>
                </m:r>
              </m:oMath>
            </m:oMathPara>
          </w:p>
        </w:tc>
        <w:tc>
          <w:tcPr>
            <w:tcW w:w="1701" w:type="dxa"/>
            <w:shd w:val="clear" w:color="auto" w:fill="FFFFFF"/>
            <w:tcMar>
              <w:top w:w="80" w:type="dxa"/>
              <w:left w:w="120" w:type="dxa"/>
              <w:bottom w:w="80" w:type="dxa"/>
              <w:right w:w="120" w:type="dxa"/>
            </w:tcMar>
            <w:vAlign w:val="center"/>
          </w:tcPr>
          <w:p w14:paraId="77855B44" w14:textId="77777777" w:rsidR="00BD4886" w:rsidRPr="00662D99" w:rsidRDefault="00BD4886" w:rsidP="00296B4A">
            <w:pPr>
              <w:spacing w:before="100" w:beforeAutospacing="1" w:after="100" w:afterAutospacing="1"/>
              <w:rPr>
                <w:rFonts w:ascii="Courier New" w:hAnsi="Courier New" w:cs="Courier New"/>
                <w:szCs w:val="20"/>
              </w:rPr>
            </w:pPr>
            <w:r w:rsidRPr="00662D99">
              <w:rPr>
                <w:rFonts w:cs="Arial"/>
                <w:szCs w:val="20"/>
              </w:rPr>
              <w:t>1.30–1.60</w:t>
            </w:r>
          </w:p>
        </w:tc>
        <w:tc>
          <w:tcPr>
            <w:tcW w:w="2693" w:type="dxa"/>
            <w:shd w:val="clear" w:color="auto" w:fill="FFFFFF"/>
            <w:tcMar>
              <w:top w:w="80" w:type="dxa"/>
              <w:left w:w="120" w:type="dxa"/>
              <w:bottom w:w="80" w:type="dxa"/>
              <w:right w:w="120" w:type="dxa"/>
            </w:tcMar>
            <w:vAlign w:val="center"/>
          </w:tcPr>
          <w:p w14:paraId="520B4872" w14:textId="69BD6DE5" w:rsidR="00BD4886" w:rsidRPr="00662D99" w:rsidRDefault="00BD4886" w:rsidP="00296B4A">
            <w:pPr>
              <w:spacing w:before="100" w:beforeAutospacing="1" w:after="100" w:afterAutospacing="1"/>
              <w:rPr>
                <w:rFonts w:cs="Arial"/>
                <w:szCs w:val="20"/>
              </w:rPr>
            </w:pPr>
            <w:r w:rsidRPr="00662D99">
              <w:rPr>
                <w:rFonts w:cs="Arial"/>
                <w:szCs w:val="20"/>
              </w:rPr>
              <w:t>Nowlan &amp; Heap (1978)</w:t>
            </w:r>
            <w:sdt>
              <w:sdtPr>
                <w:rPr>
                  <w:rFonts w:cs="Arial"/>
                  <w:szCs w:val="20"/>
                </w:rPr>
                <w:id w:val="155962448"/>
                <w:citation/>
              </w:sdtPr>
              <w:sdtContent>
                <w:r>
                  <w:rPr>
                    <w:rFonts w:cs="Arial"/>
                    <w:szCs w:val="20"/>
                  </w:rPr>
                  <w:fldChar w:fldCharType="begin"/>
                </w:r>
                <w:r>
                  <w:rPr>
                    <w:rFonts w:cs="Arial"/>
                    <w:szCs w:val="20"/>
                  </w:rPr>
                  <w:instrText xml:space="preserve"> CITATION Now78 \l 2057 </w:instrText>
                </w:r>
                <w:r>
                  <w:rPr>
                    <w:rFonts w:cs="Arial"/>
                    <w:szCs w:val="20"/>
                  </w:rPr>
                  <w:fldChar w:fldCharType="separate"/>
                </w:r>
                <w:r w:rsidR="0074017E">
                  <w:rPr>
                    <w:rFonts w:cs="Arial"/>
                    <w:noProof/>
                    <w:szCs w:val="20"/>
                  </w:rPr>
                  <w:t xml:space="preserve"> </w:t>
                </w:r>
                <w:r w:rsidR="0074017E" w:rsidRPr="0074017E">
                  <w:rPr>
                    <w:rFonts w:cs="Arial"/>
                    <w:noProof/>
                    <w:szCs w:val="20"/>
                  </w:rPr>
                  <w:t>[19]</w:t>
                </w:r>
                <w:r>
                  <w:rPr>
                    <w:rFonts w:cs="Arial"/>
                    <w:szCs w:val="20"/>
                  </w:rPr>
                  <w:fldChar w:fldCharType="end"/>
                </w:r>
              </w:sdtContent>
            </w:sdt>
          </w:p>
        </w:tc>
      </w:tr>
    </w:tbl>
    <w:p w14:paraId="604E096F" w14:textId="77777777" w:rsidR="00BD4886" w:rsidRPr="00662D99" w:rsidRDefault="00BD4886" w:rsidP="00BD4886">
      <w:pPr>
        <w:pStyle w:val="Heading3"/>
      </w:pPr>
      <w:r w:rsidRPr="00662D99">
        <w:t>A.4.</w:t>
      </w:r>
      <w:r>
        <w:t>1</w:t>
      </w:r>
      <w:r w:rsidRPr="00662D99">
        <w:t xml:space="preserve"> Derivation</w:t>
      </w:r>
    </w:p>
    <w:p w14:paraId="2CCCDC24"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The total number of unscheduled engine removals across the fleet per annum is:</w:t>
      </w:r>
    </w:p>
    <w:p w14:paraId="4A260B5F" w14:textId="77777777" w:rsidR="00BD4886" w:rsidRPr="00662D99" w:rsidRDefault="00000000" w:rsidP="00BD4886">
      <w:pPr>
        <w:spacing w:before="100" w:beforeAutospacing="1" w:after="100" w:afterAutospacing="1"/>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UER</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fleet</m:t>
              </m:r>
            </m:sub>
          </m:sSub>
          <m:r>
            <m:rPr>
              <m:sty m:val="p"/>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ctrlPr>
                <w:rPr>
                  <w:rFonts w:ascii="Cambria Math" w:hAnsi="Cambria Math" w:cs="Arial"/>
                  <w:szCs w:val="20"/>
                </w:rPr>
              </m:ctrlPr>
            </m:e>
            <m:sub>
              <m:r>
                <w:rPr>
                  <w:rFonts w:ascii="Cambria Math" w:hAnsi="Cambria Math" w:cs="Arial"/>
                  <w:szCs w:val="20"/>
                </w:rPr>
                <m:t>e</m:t>
              </m:r>
            </m:sub>
          </m:sSub>
          <m:r>
            <m:rPr>
              <m:sty m:val="p"/>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r</m:t>
              </m:r>
              <m:ctrlPr>
                <w:rPr>
                  <w:rFonts w:ascii="Cambria Math" w:hAnsi="Cambria Math" w:cs="Arial"/>
                  <w:szCs w:val="20"/>
                </w:rPr>
              </m:ctrlPr>
            </m:e>
            <m:sub>
              <m:r>
                <m:rPr>
                  <m:nor/>
                </m:rPr>
                <w:rPr>
                  <w:rFonts w:ascii="Cambria Math" w:hAnsi="Cambria Math" w:cs="Arial"/>
                  <w:szCs w:val="20"/>
                </w:rPr>
                <m:t>UER</m:t>
              </m:r>
            </m:sub>
          </m:sSub>
          <m:r>
            <w:rPr>
              <w:rFonts w:ascii="Cambria Math" w:hAnsi="Cambria Math" w:cs="Arial"/>
              <w:szCs w:val="20"/>
            </w:rPr>
            <m:t>=100</m:t>
          </m:r>
          <m:r>
            <m:rPr>
              <m:sty m:val="p"/>
            </m:rPr>
            <w:rPr>
              <w:rFonts w:ascii="Cambria Math" w:hAnsi="Cambria Math" w:cs="Arial"/>
              <w:szCs w:val="20"/>
            </w:rPr>
            <m:t>×</m:t>
          </m:r>
          <m:r>
            <w:rPr>
              <w:rFonts w:ascii="Cambria Math" w:hAnsi="Cambria Math" w:cs="Arial"/>
              <w:szCs w:val="20"/>
            </w:rPr>
            <m:t>2</m:t>
          </m:r>
          <m:r>
            <m:rPr>
              <m:sty m:val="p"/>
            </m:rPr>
            <w:rPr>
              <w:rFonts w:ascii="Cambria Math" w:hAnsi="Cambria Math" w:cs="Arial"/>
              <w:szCs w:val="20"/>
            </w:rPr>
            <m:t>×</m:t>
          </m:r>
          <m:r>
            <w:rPr>
              <w:rFonts w:ascii="Cambria Math" w:hAnsi="Cambria Math" w:cs="Arial"/>
              <w:szCs w:val="20"/>
            </w:rPr>
            <m:t>1=200</m:t>
          </m:r>
          <m:r>
            <m:rPr>
              <m:nor/>
            </m:rPr>
            <w:rPr>
              <w:rFonts w:ascii="Cambria Math" w:hAnsi="Cambria Math" w:cs="Arial"/>
              <w:szCs w:val="20"/>
            </w:rPr>
            <m:t xml:space="preserve"> removals per annum</m:t>
          </m:r>
        </m:oMath>
      </m:oMathPara>
    </w:p>
    <w:p w14:paraId="308F217E"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The subset of removals attributable to EGT margin exceedance — the population directly addressable by improved EGT → RUL mapping — is:</w:t>
      </w:r>
    </w:p>
    <w:p w14:paraId="7E049A6A" w14:textId="77777777" w:rsidR="00BD4886" w:rsidRPr="00662D99" w:rsidRDefault="00000000" w:rsidP="00BD4886">
      <w:pPr>
        <w:spacing w:before="100" w:beforeAutospacing="1" w:after="100" w:afterAutospacing="1"/>
        <w:jc w:val="both"/>
        <w:rPr>
          <w:rFonts w:cs="Arial"/>
          <w:szCs w:val="20"/>
        </w:rPr>
      </w:pPr>
      <m:oMathPara>
        <m:oMath>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EGT</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UER</m:t>
              </m:r>
            </m:sub>
          </m:sSub>
          <m:r>
            <m:rPr>
              <m:sty m:val="p"/>
            </m:rP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p</m:t>
              </m:r>
              <m:ctrlPr>
                <w:rPr>
                  <w:rFonts w:ascii="Cambria Math" w:hAnsi="Cambria Math" w:cs="Arial"/>
                  <w:szCs w:val="20"/>
                </w:rPr>
              </m:ctrlPr>
            </m:e>
            <m:sub>
              <m:r>
                <m:rPr>
                  <m:nor/>
                </m:rPr>
                <w:rPr>
                  <w:rFonts w:ascii="Cambria Math" w:hAnsi="Cambria Math" w:cs="Arial"/>
                  <w:szCs w:val="20"/>
                </w:rPr>
                <m:t>EGT</m:t>
              </m:r>
            </m:sub>
          </m:sSub>
          <m:r>
            <w:rPr>
              <w:rFonts w:ascii="Cambria Math" w:hAnsi="Cambria Math" w:cs="Arial"/>
              <w:szCs w:val="20"/>
            </w:rPr>
            <m:t>=200</m:t>
          </m:r>
          <m:r>
            <m:rPr>
              <m:sty m:val="p"/>
            </m:rPr>
            <w:rPr>
              <w:rFonts w:ascii="Cambria Math" w:hAnsi="Cambria Math" w:cs="Arial"/>
              <w:szCs w:val="20"/>
            </w:rPr>
            <m:t>×</m:t>
          </m:r>
          <m:r>
            <w:rPr>
              <w:rFonts w:ascii="Cambria Math" w:hAnsi="Cambria Math" w:cs="Arial"/>
              <w:szCs w:val="20"/>
            </w:rPr>
            <m:t>0.25=50</m:t>
          </m:r>
          <m:r>
            <m:rPr>
              <m:nor/>
            </m:rPr>
            <w:rPr>
              <w:rFonts w:ascii="Cambria Math" w:hAnsi="Cambria Math" w:cs="Arial"/>
              <w:szCs w:val="20"/>
            </w:rPr>
            <m:t xml:space="preserve"> removals per annum</m:t>
          </m:r>
        </m:oMath>
      </m:oMathPara>
    </w:p>
    <w:p w14:paraId="11A4C4D4"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A 10% improvement in RUL prediction precision reduces premature removals within this population by:</w:t>
      </w:r>
    </w:p>
    <w:p w14:paraId="791FB747" w14:textId="77777777" w:rsidR="00BD4886" w:rsidRPr="00662D99" w:rsidRDefault="00BD4886" w:rsidP="00BD4886">
      <w:pPr>
        <w:spacing w:before="100" w:beforeAutospacing="1" w:after="100" w:afterAutospacing="1"/>
        <w:jc w:val="both"/>
        <w:rPr>
          <w:rFonts w:cs="Arial"/>
          <w:szCs w:val="20"/>
        </w:rPr>
      </w:pPr>
      <m:oMathPara>
        <m:oMath>
          <m:r>
            <m:rPr>
              <m:sty m:val="p"/>
            </m:rPr>
            <w:rPr>
              <w:rFonts w:ascii="Cambria Math" w:hAnsi="Cambria Math" w:cs="Arial"/>
              <w:szCs w:val="20"/>
            </w:rPr>
            <m:t>Δ</m:t>
          </m:r>
          <m:r>
            <w:rPr>
              <w:rFonts w:ascii="Cambria Math" w:hAnsi="Cambria Math" w:cs="Arial"/>
              <w:szCs w:val="20"/>
            </w:rPr>
            <m:t>N=</m:t>
          </m:r>
          <m:sSub>
            <m:sSubPr>
              <m:ctrlPr>
                <w:rPr>
                  <w:rFonts w:ascii="Cambria Math" w:hAnsi="Cambria Math" w:cs="Arial"/>
                  <w:i/>
                  <w:szCs w:val="20"/>
                </w:rPr>
              </m:ctrlPr>
            </m:sSubPr>
            <m:e>
              <m:r>
                <w:rPr>
                  <w:rFonts w:ascii="Cambria Math" w:hAnsi="Cambria Math" w:cs="Arial"/>
                  <w:szCs w:val="20"/>
                </w:rPr>
                <m:t>N</m:t>
              </m:r>
            </m:e>
            <m:sub>
              <m:r>
                <m:rPr>
                  <m:nor/>
                </m:rPr>
                <w:rPr>
                  <w:rFonts w:ascii="Cambria Math" w:hAnsi="Cambria Math" w:cs="Arial"/>
                  <w:szCs w:val="20"/>
                </w:rPr>
                <m:t>EGT</m:t>
              </m:r>
            </m:sub>
          </m:sSub>
          <m:r>
            <m:rPr>
              <m:sty m:val="p"/>
            </m:rPr>
            <w:rPr>
              <w:rFonts w:ascii="Cambria Math" w:hAnsi="Cambria Math" w:cs="Arial"/>
              <w:szCs w:val="20"/>
            </w:rPr>
            <m:t>×Δ</m:t>
          </m:r>
          <m:r>
            <w:rPr>
              <w:rFonts w:ascii="Cambria Math" w:hAnsi="Cambria Math" w:cs="Arial"/>
              <w:szCs w:val="20"/>
            </w:rPr>
            <m:t>p=50</m:t>
          </m:r>
          <m:r>
            <m:rPr>
              <m:sty m:val="p"/>
            </m:rPr>
            <w:rPr>
              <w:rFonts w:ascii="Cambria Math" w:hAnsi="Cambria Math" w:cs="Arial"/>
              <w:szCs w:val="20"/>
            </w:rPr>
            <m:t>×</m:t>
          </m:r>
          <m:r>
            <w:rPr>
              <w:rFonts w:ascii="Cambria Math" w:hAnsi="Cambria Math" w:cs="Arial"/>
              <w:szCs w:val="20"/>
            </w:rPr>
            <m:t>0.10=5</m:t>
          </m:r>
          <m:r>
            <m:rPr>
              <m:nor/>
            </m:rPr>
            <w:rPr>
              <w:rFonts w:ascii="Cambria Math" w:hAnsi="Cambria Math" w:cs="Arial"/>
              <w:szCs w:val="20"/>
            </w:rPr>
            <m:t xml:space="preserve"> avoided removals per annum</m:t>
          </m:r>
        </m:oMath>
      </m:oMathPara>
    </w:p>
    <w:p w14:paraId="50C71CD2"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The direct cost saving per avoided unscheduled removal is the shop visit cost itself, since each avoided premature removal either defers the shop visit entirely or converts it to a planned input at lower cost. The direct saving is:</w:t>
      </w:r>
    </w:p>
    <w:p w14:paraId="01A99210" w14:textId="77777777" w:rsidR="00BD4886" w:rsidRPr="00662D99" w:rsidRDefault="00BD4886" w:rsidP="00BD4886">
      <w:pPr>
        <w:spacing w:before="100" w:beforeAutospacing="1" w:after="100" w:afterAutospacing="1"/>
        <w:jc w:val="both"/>
        <w:rPr>
          <w:rFonts w:cs="Arial"/>
          <w:szCs w:val="20"/>
        </w:rPr>
      </w:pPr>
      <m:oMathPara>
        <m:oMath>
          <m:r>
            <m:rPr>
              <m:nor/>
            </m:rPr>
            <w:rPr>
              <w:rFonts w:ascii="Cambria Math" w:hAnsi="Cambria Math" w:cs="Arial"/>
              <w:szCs w:val="20"/>
            </w:rPr>
            <m:t xml:space="preserve">Saving </m:t>
          </m:r>
          <m:r>
            <m:rPr>
              <m:nor/>
            </m:rPr>
            <w:rPr>
              <w:rFonts w:ascii="Cambria Math" w:hAnsi="Cambria Math" w:cs="Arial"/>
              <w:iCs/>
              <w:szCs w:val="20"/>
            </w:rPr>
            <m:t>direct</m:t>
          </m:r>
          <m:r>
            <w:rPr>
              <w:rFonts w:ascii="Cambria Math" w:hAnsi="Cambria Math" w:cs="Arial"/>
              <w:szCs w:val="20"/>
            </w:rPr>
            <m:t>=</m:t>
          </m:r>
          <m:r>
            <m:rPr>
              <m:sty m:val="p"/>
            </m:rPr>
            <w:rPr>
              <w:rFonts w:ascii="Cambria Math" w:hAnsi="Cambria Math" w:cs="Arial"/>
              <w:szCs w:val="20"/>
            </w:rPr>
            <m:t>Δ</m:t>
          </m:r>
          <m:r>
            <w:rPr>
              <w:rFonts w:ascii="Cambria Math" w:hAnsi="Cambria Math" w:cs="Arial"/>
              <w:szCs w:val="20"/>
            </w:rPr>
            <m:t>N</m:t>
          </m:r>
          <m:r>
            <m:rPr>
              <m:sty m:val="p"/>
            </m:rPr>
            <w:rPr>
              <w:rFonts w:ascii="Cambria Math" w:hAnsi="Cambria Math" w:cs="Arial"/>
              <w:szCs w:val="20"/>
            </w:rPr>
            <m:t>×</m:t>
          </m:r>
          <m:r>
            <w:rPr>
              <w:rFonts w:ascii="Cambria Math" w:hAnsi="Cambria Math" w:cs="Arial"/>
              <w:szCs w:val="20"/>
            </w:rPr>
            <m:t>C</m:t>
          </m:r>
          <m:r>
            <m:rPr>
              <m:nor/>
            </m:rPr>
            <w:rPr>
              <w:rFonts w:ascii="Cambria Math" w:hAnsi="Cambria Math" w:cs="Arial"/>
              <w:szCs w:val="20"/>
            </w:rPr>
            <m:t>SV</m:t>
          </m:r>
          <m:r>
            <w:rPr>
              <w:rFonts w:ascii="Cambria Math" w:hAnsi="Cambria Math" w:cs="Arial"/>
              <w:szCs w:val="20"/>
            </w:rPr>
            <m:t>=5</m:t>
          </m:r>
          <m:r>
            <m:rPr>
              <m:sty m:val="p"/>
            </m:rPr>
            <w:rPr>
              <w:rFonts w:ascii="Cambria Math" w:hAnsi="Cambria Math" w:cs="Arial"/>
              <w:szCs w:val="20"/>
            </w:rPr>
            <m:t>×</m:t>
          </m:r>
          <m:d>
            <m:dPr>
              <m:begChr m:val="["/>
              <m:endChr m:val="]"/>
              <m:ctrlPr>
                <w:rPr>
                  <w:rFonts w:ascii="Cambria Math" w:hAnsi="Cambria Math" w:cs="Arial"/>
                  <w:i/>
                  <w:szCs w:val="20"/>
                </w:rPr>
              </m:ctrlPr>
            </m:dPr>
            <m:e>
              <m:r>
                <w:rPr>
                  <w:rFonts w:ascii="Cambria Math" w:hAnsi="Cambria Math" w:cs="Arial"/>
                  <w:szCs w:val="20"/>
                </w:rPr>
                <m:t>300,000, 500,000</m:t>
              </m:r>
            </m:e>
          </m:d>
          <m:r>
            <w:rPr>
              <w:rFonts w:ascii="Cambria Math" w:hAnsi="Cambria Math" w:cs="Arial"/>
              <w:szCs w:val="20"/>
            </w:rPr>
            <m:t>=</m:t>
          </m:r>
          <m:r>
            <m:rPr>
              <m:nor/>
            </m:rPr>
            <w:rPr>
              <w:rFonts w:ascii="Cambria Math" w:hAnsi="Cambria Math" w:cs="Arial"/>
              <w:szCs w:val="20"/>
            </w:rPr>
            <m:t xml:space="preserve">USD </m:t>
          </m:r>
          <m:r>
            <w:rPr>
              <w:rFonts w:ascii="Cambria Math" w:hAnsi="Cambria Math" w:cs="Arial"/>
              <w:szCs w:val="20"/>
            </w:rPr>
            <m:t>1.5</m:t>
          </m:r>
          <m:r>
            <m:rPr>
              <m:nor/>
            </m:rPr>
            <w:rPr>
              <w:rFonts w:ascii="Cambria Math" w:hAnsi="Cambria Math" w:cs="Arial"/>
              <w:szCs w:val="20"/>
            </w:rPr>
            <m:t xml:space="preserve">M to </m:t>
          </m:r>
          <m:r>
            <w:rPr>
              <w:rFonts w:ascii="Cambria Math" w:hAnsi="Cambria Math" w:cs="Arial"/>
              <w:szCs w:val="20"/>
            </w:rPr>
            <m:t>2.5</m:t>
          </m:r>
          <m:r>
            <m:rPr>
              <m:nor/>
            </m:rPr>
            <w:rPr>
              <w:rFonts w:ascii="Cambria Math" w:hAnsi="Cambria Math" w:cs="Arial"/>
              <w:szCs w:val="20"/>
            </w:rPr>
            <m:t>M per annum</m:t>
          </m:r>
        </m:oMath>
      </m:oMathPara>
    </w:p>
    <w:p w14:paraId="61552742"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 xml:space="preserve">Applying the unscheduled-to-planned cost multiplier </w:t>
      </w:r>
      <m:oMath>
        <m:r>
          <w:rPr>
            <w:rFonts w:ascii="Cambria Math" w:hAnsi="Cambria Math" w:cs="Arial"/>
            <w:szCs w:val="20"/>
          </w:rPr>
          <m:t>α</m:t>
        </m:r>
      </m:oMath>
      <w:r w:rsidRPr="00662D99">
        <w:rPr>
          <w:rFonts w:cs="Arial"/>
          <w:szCs w:val="20"/>
        </w:rPr>
        <w:t xml:space="preserve"> to account for the additional costs of AOG recovery — wet lease, crew disruption, passenger compensation, and slot loss — yields the total avoided cost:</w:t>
      </w:r>
    </w:p>
    <w:p w14:paraId="1ACFF8B4" w14:textId="77777777" w:rsidR="00BD4886" w:rsidRPr="00662D99" w:rsidRDefault="00BD4886" w:rsidP="00BD4886">
      <w:pPr>
        <w:spacing w:before="100" w:beforeAutospacing="1" w:after="100" w:afterAutospacing="1"/>
        <w:jc w:val="both"/>
        <w:rPr>
          <w:rFonts w:cs="Arial"/>
          <w:szCs w:val="20"/>
        </w:rPr>
      </w:pPr>
      <m:oMathPara>
        <m:oMath>
          <m:r>
            <m:rPr>
              <m:nor/>
            </m:rPr>
            <w:rPr>
              <w:rFonts w:ascii="Cambria Math" w:hAnsi="Cambria Math" w:cs="Arial"/>
              <w:szCs w:val="20"/>
            </w:rPr>
            <m:t xml:space="preserve">Saving </m:t>
          </m:r>
          <m:r>
            <m:rPr>
              <m:nor/>
            </m:rPr>
            <w:rPr>
              <w:rFonts w:ascii="Cambria Math" w:hAnsi="Cambria Math" w:cs="Arial"/>
              <w:iCs/>
              <w:szCs w:val="20"/>
            </w:rPr>
            <m:t>total</m:t>
          </m:r>
          <m:r>
            <w:rPr>
              <w:rFonts w:ascii="Cambria Math" w:hAnsi="Cambria Math" w:cs="Arial"/>
              <w:szCs w:val="20"/>
            </w:rPr>
            <m:t>=</m:t>
          </m:r>
          <m:r>
            <m:rPr>
              <m:sty m:val="p"/>
            </m:rPr>
            <w:rPr>
              <w:rFonts w:ascii="Cambria Math" w:hAnsi="Cambria Math" w:cs="Arial"/>
              <w:szCs w:val="20"/>
            </w:rPr>
            <m:t>Δ</m:t>
          </m:r>
          <m:r>
            <w:rPr>
              <w:rFonts w:ascii="Cambria Math" w:hAnsi="Cambria Math" w:cs="Arial"/>
              <w:szCs w:val="20"/>
            </w:rPr>
            <m:t>N</m:t>
          </m:r>
          <m:r>
            <m:rPr>
              <m:sty m:val="p"/>
            </m:rPr>
            <w:rPr>
              <w:rFonts w:ascii="Cambria Math" w:hAnsi="Cambria Math" w:cs="Arial"/>
              <w:szCs w:val="20"/>
            </w:rPr>
            <m:t>×</m:t>
          </m:r>
          <m:r>
            <w:rPr>
              <w:rFonts w:ascii="Cambria Math" w:hAnsi="Cambria Math" w:cs="Arial"/>
              <w:szCs w:val="20"/>
            </w:rPr>
            <m:t>C</m:t>
          </m:r>
          <m:r>
            <m:rPr>
              <m:nor/>
            </m:rPr>
            <w:rPr>
              <w:rFonts w:ascii="Cambria Math" w:hAnsi="Cambria Math" w:cs="Arial"/>
              <w:szCs w:val="20"/>
            </w:rPr>
            <m:t>SV</m:t>
          </m:r>
          <m:r>
            <m:rPr>
              <m:sty m:val="p"/>
            </m:rPr>
            <w:rPr>
              <w:rFonts w:ascii="Cambria Math" w:hAnsi="Cambria Math" w:cs="Arial"/>
              <w:szCs w:val="20"/>
            </w:rPr>
            <m:t>×</m:t>
          </m:r>
          <m:r>
            <w:rPr>
              <w:rFonts w:ascii="Cambria Math" w:hAnsi="Cambria Math" w:cs="Arial"/>
              <w:szCs w:val="20"/>
            </w:rPr>
            <m:t>α=5</m:t>
          </m:r>
          <m:r>
            <m:rPr>
              <m:sty m:val="p"/>
            </m:rPr>
            <w:rPr>
              <w:rFonts w:ascii="Cambria Math" w:hAnsi="Cambria Math" w:cs="Arial"/>
              <w:szCs w:val="20"/>
            </w:rPr>
            <m:t>×</m:t>
          </m:r>
          <m:d>
            <m:dPr>
              <m:begChr m:val="["/>
              <m:endChr m:val="]"/>
              <m:ctrlPr>
                <w:rPr>
                  <w:rFonts w:ascii="Cambria Math" w:hAnsi="Cambria Math" w:cs="Arial"/>
                  <w:i/>
                  <w:szCs w:val="20"/>
                </w:rPr>
              </m:ctrlPr>
            </m:dPr>
            <m:e>
              <m:r>
                <w:rPr>
                  <w:rFonts w:ascii="Cambria Math" w:hAnsi="Cambria Math" w:cs="Arial"/>
                  <w:szCs w:val="20"/>
                </w:rPr>
                <m:t>300,000, 500,000</m:t>
              </m:r>
            </m:e>
          </m:d>
          <m:r>
            <m:rPr>
              <m:sty m:val="p"/>
            </m:rPr>
            <w:rPr>
              <w:rFonts w:ascii="Cambria Math" w:hAnsi="Cambria Math" w:cs="Arial"/>
              <w:szCs w:val="20"/>
            </w:rPr>
            <m:t>×</m:t>
          </m:r>
          <m:d>
            <m:dPr>
              <m:begChr m:val="["/>
              <m:endChr m:val="]"/>
              <m:ctrlPr>
                <w:rPr>
                  <w:rFonts w:ascii="Cambria Math" w:hAnsi="Cambria Math" w:cs="Arial"/>
                  <w:i/>
                  <w:szCs w:val="20"/>
                </w:rPr>
              </m:ctrlPr>
            </m:dPr>
            <m:e>
              <m:r>
                <w:rPr>
                  <w:rFonts w:ascii="Cambria Math" w:hAnsi="Cambria Math" w:cs="Arial"/>
                  <w:szCs w:val="20"/>
                </w:rPr>
                <m:t>1.30, 1.60</m:t>
              </m:r>
            </m:e>
          </m:d>
        </m:oMath>
      </m:oMathPara>
    </w:p>
    <w:p w14:paraId="3784DBA5" w14:textId="77777777" w:rsidR="00BD4886" w:rsidRPr="00662D99" w:rsidRDefault="00BD4886" w:rsidP="00BD4886">
      <w:pPr>
        <w:spacing w:before="100" w:beforeAutospacing="1" w:after="100" w:afterAutospacing="1"/>
        <w:jc w:val="both"/>
        <w:rPr>
          <w:rFonts w:cs="Arial"/>
          <w:szCs w:val="20"/>
        </w:rPr>
      </w:pPr>
      <m:oMathPara>
        <m:oMath>
          <m:r>
            <w:rPr>
              <w:rFonts w:ascii="Cambria Math" w:hAnsi="Cambria Math" w:cs="Arial"/>
              <w:szCs w:val="20"/>
            </w:rPr>
            <w:lastRenderedPageBreak/>
            <m:t>=</m:t>
          </m:r>
          <m:r>
            <m:rPr>
              <m:nor/>
            </m:rPr>
            <w:rPr>
              <w:rFonts w:ascii="Cambria Math" w:hAnsi="Cambria Math" w:cs="Arial"/>
              <w:szCs w:val="20"/>
            </w:rPr>
            <m:t xml:space="preserve">USD </m:t>
          </m:r>
          <m:r>
            <w:rPr>
              <w:rFonts w:ascii="Cambria Math" w:hAnsi="Cambria Math" w:cs="Arial"/>
              <w:szCs w:val="20"/>
            </w:rPr>
            <m:t>1.95</m:t>
          </m:r>
          <m:r>
            <m:rPr>
              <m:nor/>
            </m:rPr>
            <w:rPr>
              <w:rFonts w:ascii="Cambria Math" w:hAnsi="Cambria Math" w:cs="Arial"/>
              <w:szCs w:val="20"/>
            </w:rPr>
            <m:t xml:space="preserve">M to </m:t>
          </m:r>
          <m:r>
            <w:rPr>
              <w:rFonts w:ascii="Cambria Math" w:hAnsi="Cambria Math" w:cs="Arial"/>
              <w:szCs w:val="20"/>
            </w:rPr>
            <m:t>4.0</m:t>
          </m:r>
          <m:r>
            <m:rPr>
              <m:nor/>
            </m:rPr>
            <w:rPr>
              <w:rFonts w:ascii="Cambria Math" w:hAnsi="Cambria Math" w:cs="Arial"/>
              <w:szCs w:val="20"/>
            </w:rPr>
            <m:t>M per annum</m:t>
          </m:r>
        </m:oMath>
      </m:oMathPara>
    </w:p>
    <w:p w14:paraId="7EEB2300" w14:textId="77777777" w:rsidR="00BD4886" w:rsidRPr="00662D99" w:rsidRDefault="00BD4886" w:rsidP="00BD4886">
      <w:pPr>
        <w:pStyle w:val="Heading3"/>
      </w:pPr>
      <w:r w:rsidRPr="00662D99">
        <w:t>A.4.</w:t>
      </w:r>
      <w:r>
        <w:t>2</w:t>
      </w:r>
      <w:r w:rsidRPr="00662D99">
        <w:t xml:space="preserve"> Sensitivity Analysis</w:t>
      </w:r>
    </w:p>
    <w:p w14:paraId="1DAAC3F1"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 xml:space="preserve">The estimate is sensitive to three parameters in particular: the EGT attribution fraction </w:t>
      </w:r>
      <m:oMath>
        <m:sSub>
          <m:sSubPr>
            <m:ctrlPr>
              <w:rPr>
                <w:rFonts w:ascii="Cambria Math" w:hAnsi="Cambria Math" w:cs="Arial"/>
                <w:i/>
                <w:szCs w:val="20"/>
              </w:rPr>
            </m:ctrlPr>
          </m:sSubPr>
          <m:e>
            <m:r>
              <w:rPr>
                <w:rFonts w:ascii="Cambria Math" w:hAnsi="Cambria Math" w:cs="Arial"/>
                <w:szCs w:val="20"/>
              </w:rPr>
              <m:t>p</m:t>
            </m:r>
          </m:e>
          <m:sub>
            <m:r>
              <m:rPr>
                <m:nor/>
              </m:rPr>
              <w:rPr>
                <w:rFonts w:ascii="Cambria Math" w:hAnsi="Cambria Math" w:cs="Arial"/>
                <w:szCs w:val="20"/>
              </w:rPr>
              <m:t>EGT</m:t>
            </m:r>
          </m:sub>
        </m:sSub>
      </m:oMath>
      <w:r w:rsidRPr="00662D99">
        <w:rPr>
          <w:rFonts w:cs="Arial"/>
          <w:szCs w:val="20"/>
        </w:rPr>
        <w:t xml:space="preserve">, the unscheduled removal rate </w:t>
      </w:r>
      <m:oMath>
        <m:sSub>
          <m:sSubPr>
            <m:ctrlPr>
              <w:rPr>
                <w:rFonts w:ascii="Cambria Math" w:hAnsi="Cambria Math" w:cs="Arial"/>
                <w:i/>
                <w:szCs w:val="20"/>
              </w:rPr>
            </m:ctrlPr>
          </m:sSubPr>
          <m:e>
            <m:r>
              <w:rPr>
                <w:rFonts w:ascii="Cambria Math" w:hAnsi="Cambria Math" w:cs="Arial"/>
                <w:szCs w:val="20"/>
              </w:rPr>
              <m:t>r</m:t>
            </m:r>
          </m:e>
          <m:sub>
            <m:r>
              <m:rPr>
                <m:nor/>
              </m:rPr>
              <w:rPr>
                <w:rFonts w:ascii="Cambria Math" w:hAnsi="Cambria Math" w:cs="Arial"/>
                <w:szCs w:val="20"/>
              </w:rPr>
              <m:t>UER</m:t>
            </m:r>
          </m:sub>
        </m:sSub>
      </m:oMath>
      <w:r w:rsidRPr="00662D99">
        <w:rPr>
          <w:rFonts w:cs="Arial"/>
          <w:szCs w:val="20"/>
        </w:rPr>
        <w:t xml:space="preserve">, and the shop visit cost </w:t>
      </w:r>
      <m:oMath>
        <m:sSub>
          <m:sSubPr>
            <m:ctrlPr>
              <w:rPr>
                <w:rFonts w:ascii="Cambria Math" w:hAnsi="Cambria Math" w:cs="Arial"/>
                <w:i/>
                <w:szCs w:val="20"/>
              </w:rPr>
            </m:ctrlPr>
          </m:sSubPr>
          <m:e>
            <m:r>
              <w:rPr>
                <w:rFonts w:ascii="Cambria Math" w:hAnsi="Cambria Math" w:cs="Arial"/>
                <w:szCs w:val="20"/>
              </w:rPr>
              <m:t>C</m:t>
            </m:r>
          </m:e>
          <m:sub>
            <m:r>
              <m:rPr>
                <m:nor/>
              </m:rPr>
              <w:rPr>
                <w:rFonts w:ascii="Cambria Math" w:hAnsi="Cambria Math" w:cs="Arial"/>
                <w:szCs w:val="20"/>
              </w:rPr>
              <m:t>SV</m:t>
            </m:r>
          </m:sub>
        </m:sSub>
      </m:oMath>
      <w:r w:rsidRPr="00662D99">
        <w:rPr>
          <w:rFonts w:cs="Arial"/>
          <w:szCs w:val="20"/>
        </w:rPr>
        <w:t>. Table A.4 presents the saving across a plausible parameter range.</w:t>
      </w:r>
    </w:p>
    <w:p w14:paraId="3B2BC1A7" w14:textId="4AE9A755" w:rsidR="00BD4886" w:rsidRPr="00102E2A" w:rsidRDefault="00BD4886" w:rsidP="00BD4886">
      <w:pPr>
        <w:spacing w:before="100" w:beforeAutospacing="1" w:after="100" w:afterAutospacing="1"/>
        <w:jc w:val="both"/>
        <w:rPr>
          <w:rFonts w:cs="Arial"/>
          <w:b/>
          <w:bCs/>
          <w:szCs w:val="20"/>
        </w:rPr>
      </w:pPr>
      <w:r w:rsidRPr="000D6E34">
        <w:rPr>
          <w:rFonts w:cs="Arial"/>
          <w:b/>
          <w:bCs/>
          <w:i/>
          <w:iCs/>
          <w:color w:val="1B3A5C"/>
          <w:szCs w:val="20"/>
        </w:rPr>
        <w:t xml:space="preserve">Table </w:t>
      </w:r>
      <w:r w:rsidR="00B53A9B">
        <w:rPr>
          <w:rFonts w:cs="Arial"/>
          <w:b/>
          <w:bCs/>
          <w:i/>
          <w:iCs/>
          <w:color w:val="1B3A5C"/>
          <w:szCs w:val="20"/>
        </w:rPr>
        <w:t>2</w:t>
      </w:r>
      <w:r w:rsidR="00367BAF">
        <w:rPr>
          <w:rFonts w:cs="Arial"/>
          <w:b/>
          <w:bCs/>
          <w:i/>
          <w:iCs/>
          <w:color w:val="1B3A5C"/>
          <w:szCs w:val="20"/>
        </w:rPr>
        <w:t>3</w:t>
      </w:r>
      <w:r>
        <w:rPr>
          <w:rFonts w:cs="Arial"/>
          <w:b/>
          <w:bCs/>
          <w:i/>
          <w:iCs/>
          <w:color w:val="1B3A5C"/>
          <w:szCs w:val="20"/>
        </w:rPr>
        <w:t>. Sensitivity of Annual Cost Saving to Key Assumptions</w:t>
      </w: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1181"/>
        <w:gridCol w:w="1527"/>
        <w:gridCol w:w="997"/>
        <w:gridCol w:w="1843"/>
      </w:tblGrid>
      <w:tr w:rsidR="00BD4886" w:rsidRPr="005B0FA3" w14:paraId="38F7D5C1" w14:textId="77777777" w:rsidTr="009B23CF">
        <w:trPr>
          <w:tblHeader/>
        </w:trPr>
        <w:tc>
          <w:tcPr>
            <w:tcW w:w="1110" w:type="dxa"/>
            <w:tcBorders>
              <w:top w:val="single" w:sz="4" w:space="0" w:color="auto"/>
              <w:left w:val="single" w:sz="4" w:space="0" w:color="auto"/>
              <w:bottom w:val="single" w:sz="4" w:space="0" w:color="auto"/>
              <w:right w:val="single" w:sz="4" w:space="0" w:color="CBCBCB"/>
            </w:tcBorders>
            <w:shd w:val="clear" w:color="auto" w:fill="1B3A5C"/>
            <w:tcMar>
              <w:top w:w="100" w:type="dxa"/>
              <w:left w:w="120" w:type="dxa"/>
              <w:bottom w:w="100" w:type="dxa"/>
              <w:right w:w="120" w:type="dxa"/>
            </w:tcMar>
            <w:vAlign w:val="center"/>
          </w:tcPr>
          <w:p w14:paraId="18B0F9FD" w14:textId="77777777" w:rsidR="00BD4886" w:rsidRPr="005B0FA3" w:rsidRDefault="00000000" w:rsidP="00296B4A">
            <w:pPr>
              <w:spacing w:before="100" w:beforeAutospacing="1" w:after="100" w:afterAutospacing="1"/>
              <w:rPr>
                <w:rFonts w:cs="Arial"/>
              </w:rPr>
            </w:pPr>
            <m:oMathPara>
              <m:oMath>
                <m:sSub>
                  <m:sSubPr>
                    <m:ctrlPr>
                      <w:rPr>
                        <w:rFonts w:ascii="Cambria Math" w:hAnsi="Cambria Math" w:cs="Arial"/>
                        <w:b/>
                        <w:bCs/>
                        <w:i/>
                        <w:szCs w:val="20"/>
                      </w:rPr>
                    </m:ctrlPr>
                  </m:sSubPr>
                  <m:e>
                    <m:r>
                      <m:rPr>
                        <m:sty m:val="bi"/>
                      </m:rPr>
                      <w:rPr>
                        <w:rFonts w:ascii="Cambria Math" w:hAnsi="Cambria Math" w:cs="Arial"/>
                        <w:szCs w:val="20"/>
                      </w:rPr>
                      <m:t>p</m:t>
                    </m:r>
                  </m:e>
                  <m:sub>
                    <m:r>
                      <m:rPr>
                        <m:nor/>
                      </m:rPr>
                      <w:rPr>
                        <w:rFonts w:ascii="Cambria Math" w:hAnsi="Cambria Math" w:cs="Arial"/>
                        <w:b/>
                        <w:bCs/>
                        <w:szCs w:val="20"/>
                      </w:rPr>
                      <m:t>EGT</m:t>
                    </m:r>
                  </m:sub>
                </m:sSub>
              </m:oMath>
            </m:oMathPara>
          </w:p>
        </w:tc>
        <w:tc>
          <w:tcPr>
            <w:tcW w:w="1181" w:type="dxa"/>
            <w:tcBorders>
              <w:top w:val="single" w:sz="4" w:space="0" w:color="auto"/>
              <w:left w:val="single" w:sz="4" w:space="0" w:color="CBCBCB"/>
              <w:bottom w:val="single" w:sz="4" w:space="0" w:color="auto"/>
              <w:right w:val="single" w:sz="2" w:space="0" w:color="CCCCCC"/>
            </w:tcBorders>
            <w:shd w:val="clear" w:color="auto" w:fill="1B3A5C"/>
            <w:tcMar>
              <w:top w:w="100" w:type="dxa"/>
              <w:left w:w="120" w:type="dxa"/>
              <w:bottom w:w="100" w:type="dxa"/>
              <w:right w:w="120" w:type="dxa"/>
            </w:tcMar>
            <w:vAlign w:val="center"/>
          </w:tcPr>
          <w:p w14:paraId="58731BFA" w14:textId="77777777" w:rsidR="00BD4886" w:rsidRPr="005B0FA3" w:rsidRDefault="00000000" w:rsidP="00296B4A">
            <w:pPr>
              <w:spacing w:before="100" w:beforeAutospacing="1" w:after="100" w:afterAutospacing="1"/>
              <w:rPr>
                <w:rFonts w:cs="Arial"/>
              </w:rPr>
            </w:pPr>
            <m:oMathPara>
              <m:oMath>
                <m:sSub>
                  <m:sSubPr>
                    <m:ctrlPr>
                      <w:rPr>
                        <w:rFonts w:ascii="Cambria Math" w:hAnsi="Cambria Math" w:cs="Arial"/>
                        <w:b/>
                        <w:bCs/>
                        <w:i/>
                        <w:szCs w:val="20"/>
                      </w:rPr>
                    </m:ctrlPr>
                  </m:sSubPr>
                  <m:e>
                    <m:r>
                      <m:rPr>
                        <m:sty m:val="bi"/>
                      </m:rPr>
                      <w:rPr>
                        <w:rFonts w:ascii="Cambria Math" w:hAnsi="Cambria Math" w:cs="Arial"/>
                        <w:szCs w:val="20"/>
                      </w:rPr>
                      <m:t>r</m:t>
                    </m:r>
                  </m:e>
                  <m:sub>
                    <m:r>
                      <m:rPr>
                        <m:nor/>
                      </m:rPr>
                      <w:rPr>
                        <w:rFonts w:ascii="Cambria Math" w:hAnsi="Cambria Math" w:cs="Arial"/>
                        <w:b/>
                        <w:bCs/>
                        <w:szCs w:val="20"/>
                      </w:rPr>
                      <m:t>UER</m:t>
                    </m:r>
                  </m:sub>
                </m:sSub>
              </m:oMath>
            </m:oMathPara>
          </w:p>
        </w:tc>
        <w:tc>
          <w:tcPr>
            <w:tcW w:w="152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3052115" w14:textId="77777777" w:rsidR="00BD4886" w:rsidRPr="005B0FA3" w:rsidRDefault="00000000" w:rsidP="00296B4A">
            <w:pPr>
              <w:spacing w:before="100" w:beforeAutospacing="1" w:after="100" w:afterAutospacing="1"/>
              <w:rPr>
                <w:rFonts w:cs="Arial"/>
              </w:rPr>
            </w:pPr>
            <m:oMath>
              <m:sSub>
                <m:sSubPr>
                  <m:ctrlPr>
                    <w:rPr>
                      <w:rFonts w:ascii="Cambria Math" w:hAnsi="Cambria Math" w:cs="Arial"/>
                      <w:b/>
                      <w:bCs/>
                      <w:i/>
                      <w:szCs w:val="20"/>
                    </w:rPr>
                  </m:ctrlPr>
                </m:sSubPr>
                <m:e>
                  <m:r>
                    <m:rPr>
                      <m:sty m:val="bi"/>
                    </m:rPr>
                    <w:rPr>
                      <w:rFonts w:ascii="Cambria Math" w:hAnsi="Cambria Math" w:cs="Arial"/>
                      <w:szCs w:val="20"/>
                    </w:rPr>
                    <m:t>C</m:t>
                  </m:r>
                </m:e>
                <m:sub>
                  <m:r>
                    <m:rPr>
                      <m:nor/>
                    </m:rPr>
                    <w:rPr>
                      <w:rFonts w:ascii="Cambria Math" w:hAnsi="Cambria Math" w:cs="Arial"/>
                      <w:b/>
                      <w:bCs/>
                      <w:szCs w:val="20"/>
                    </w:rPr>
                    <m:t>SV</m:t>
                  </m:r>
                </m:sub>
              </m:sSub>
            </m:oMath>
            <w:r w:rsidR="00BD4886">
              <w:rPr>
                <w:rFonts w:eastAsiaTheme="minorEastAsia" w:cs="Arial"/>
                <w:b/>
                <w:bCs/>
                <w:szCs w:val="20"/>
              </w:rPr>
              <w:t xml:space="preserve"> (USD)</w:t>
            </w:r>
          </w:p>
        </w:tc>
        <w:tc>
          <w:tcPr>
            <w:tcW w:w="99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6D3059D" w14:textId="77777777" w:rsidR="00BD4886" w:rsidRPr="005B0FA3" w:rsidRDefault="00BD4886" w:rsidP="00296B4A">
            <w:pPr>
              <w:spacing w:before="100" w:beforeAutospacing="1" w:after="100" w:afterAutospacing="1"/>
              <w:rPr>
                <w:rFonts w:cs="Arial"/>
              </w:rPr>
            </w:pPr>
            <m:oMathPara>
              <m:oMath>
                <m:r>
                  <m:rPr>
                    <m:sty m:val="b"/>
                  </m:rPr>
                  <w:rPr>
                    <w:rFonts w:ascii="Cambria Math" w:hAnsi="Cambria Math" w:cs="Arial"/>
                    <w:szCs w:val="20"/>
                  </w:rPr>
                  <m:t>Δ</m:t>
                </m:r>
                <m:r>
                  <m:rPr>
                    <m:sty m:val="bi"/>
                  </m:rPr>
                  <w:rPr>
                    <w:rFonts w:ascii="Cambria Math" w:hAnsi="Cambria Math" w:cs="Arial"/>
                    <w:szCs w:val="20"/>
                  </w:rPr>
                  <m:t>N</m:t>
                </m:r>
              </m:oMath>
            </m:oMathPara>
          </w:p>
        </w:tc>
        <w:tc>
          <w:tcPr>
            <w:tcW w:w="1843"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688B097C" w14:textId="77777777" w:rsidR="00BD4886" w:rsidRPr="005B0FA3" w:rsidRDefault="00BD4886" w:rsidP="00296B4A">
            <w:pPr>
              <w:spacing w:before="100" w:beforeAutospacing="1" w:after="100" w:afterAutospacing="1"/>
              <w:rPr>
                <w:rFonts w:cs="Arial"/>
              </w:rPr>
            </w:pPr>
            <w:r w:rsidRPr="00662D99">
              <w:rPr>
                <w:rFonts w:cs="Arial"/>
                <w:b/>
                <w:bCs/>
                <w:szCs w:val="20"/>
              </w:rPr>
              <w:t>Saving (USD M)</w:t>
            </w:r>
          </w:p>
        </w:tc>
      </w:tr>
      <w:tr w:rsidR="004C002F" w14:paraId="4FF9BE79" w14:textId="77777777" w:rsidTr="00296B4A">
        <w:tc>
          <w:tcPr>
            <w:tcW w:w="1110" w:type="dxa"/>
            <w:shd w:val="clear" w:color="auto" w:fill="FFFFFF"/>
            <w:tcMar>
              <w:top w:w="80" w:type="dxa"/>
              <w:left w:w="120" w:type="dxa"/>
              <w:bottom w:w="80" w:type="dxa"/>
              <w:right w:w="120" w:type="dxa"/>
            </w:tcMar>
            <w:vAlign w:val="center"/>
          </w:tcPr>
          <w:p w14:paraId="16D022AF" w14:textId="77777777" w:rsidR="00BD4886" w:rsidRPr="00C8789F" w:rsidRDefault="00BD4886" w:rsidP="00296B4A">
            <w:pPr>
              <w:spacing w:before="100" w:beforeAutospacing="1" w:after="100" w:afterAutospacing="1"/>
              <w:rPr>
                <w:rFonts w:ascii="Courier New" w:hAnsi="Courier New" w:cs="Courier New"/>
              </w:rPr>
            </w:pPr>
            <w:r w:rsidRPr="00662D99">
              <w:rPr>
                <w:rFonts w:cs="Arial"/>
                <w:szCs w:val="20"/>
              </w:rPr>
              <w:t>0.15</w:t>
            </w:r>
          </w:p>
        </w:tc>
        <w:tc>
          <w:tcPr>
            <w:tcW w:w="1181" w:type="dxa"/>
            <w:shd w:val="clear" w:color="auto" w:fill="FFFFFF"/>
            <w:tcMar>
              <w:top w:w="80" w:type="dxa"/>
              <w:left w:w="120" w:type="dxa"/>
              <w:bottom w:w="80" w:type="dxa"/>
              <w:right w:w="120" w:type="dxa"/>
            </w:tcMar>
            <w:vAlign w:val="center"/>
          </w:tcPr>
          <w:p w14:paraId="49CF57AF" w14:textId="77777777" w:rsidR="00BD4886" w:rsidRPr="005B0FA3" w:rsidRDefault="00BD4886" w:rsidP="00296B4A">
            <w:pPr>
              <w:spacing w:before="100" w:beforeAutospacing="1" w:after="100" w:afterAutospacing="1"/>
              <w:rPr>
                <w:rFonts w:cs="Arial"/>
              </w:rPr>
            </w:pPr>
            <w:r w:rsidRPr="00662D99">
              <w:rPr>
                <w:rFonts w:cs="Arial"/>
                <w:szCs w:val="20"/>
              </w:rPr>
              <w:t>0.5</w:t>
            </w:r>
          </w:p>
        </w:tc>
        <w:tc>
          <w:tcPr>
            <w:tcW w:w="1527" w:type="dxa"/>
            <w:shd w:val="clear" w:color="auto" w:fill="FFFFFF"/>
            <w:tcMar>
              <w:top w:w="80" w:type="dxa"/>
              <w:left w:w="120" w:type="dxa"/>
              <w:bottom w:w="80" w:type="dxa"/>
              <w:right w:w="120" w:type="dxa"/>
            </w:tcMar>
            <w:vAlign w:val="center"/>
          </w:tcPr>
          <w:p w14:paraId="3263B2AF" w14:textId="77777777" w:rsidR="00BD4886" w:rsidRPr="005B0FA3" w:rsidRDefault="00BD4886" w:rsidP="00296B4A">
            <w:pPr>
              <w:spacing w:before="100" w:beforeAutospacing="1" w:after="100" w:afterAutospacing="1"/>
              <w:rPr>
                <w:rFonts w:cs="Arial"/>
              </w:rPr>
            </w:pPr>
            <w:r w:rsidRPr="00662D99">
              <w:rPr>
                <w:rFonts w:cs="Arial"/>
                <w:szCs w:val="20"/>
              </w:rPr>
              <w:t>300,000</w:t>
            </w:r>
          </w:p>
        </w:tc>
        <w:tc>
          <w:tcPr>
            <w:tcW w:w="997" w:type="dxa"/>
            <w:shd w:val="clear" w:color="auto" w:fill="FFFFFF"/>
            <w:tcMar>
              <w:top w:w="80" w:type="dxa"/>
              <w:left w:w="120" w:type="dxa"/>
              <w:bottom w:w="80" w:type="dxa"/>
              <w:right w:w="120" w:type="dxa"/>
            </w:tcMar>
            <w:vAlign w:val="center"/>
          </w:tcPr>
          <w:p w14:paraId="35CAC2CF" w14:textId="77777777" w:rsidR="00BD4886" w:rsidRPr="005B0FA3" w:rsidRDefault="00BD4886" w:rsidP="00296B4A">
            <w:pPr>
              <w:spacing w:before="100" w:beforeAutospacing="1" w:after="100" w:afterAutospacing="1"/>
              <w:rPr>
                <w:rFonts w:cs="Arial"/>
              </w:rPr>
            </w:pPr>
            <w:r w:rsidRPr="00662D99">
              <w:rPr>
                <w:rFonts w:cs="Arial"/>
                <w:szCs w:val="20"/>
              </w:rPr>
              <w:t>1.5</w:t>
            </w:r>
          </w:p>
        </w:tc>
        <w:tc>
          <w:tcPr>
            <w:tcW w:w="1843" w:type="dxa"/>
            <w:shd w:val="clear" w:color="auto" w:fill="FFFFFF"/>
            <w:tcMar>
              <w:top w:w="80" w:type="dxa"/>
              <w:left w:w="120" w:type="dxa"/>
              <w:bottom w:w="80" w:type="dxa"/>
              <w:right w:w="120" w:type="dxa"/>
            </w:tcMar>
            <w:vAlign w:val="center"/>
          </w:tcPr>
          <w:p w14:paraId="3EA053DE" w14:textId="77777777" w:rsidR="00BD4886" w:rsidRPr="005B0FA3" w:rsidRDefault="00BD4886" w:rsidP="00296B4A">
            <w:pPr>
              <w:spacing w:before="100" w:beforeAutospacing="1" w:after="100" w:afterAutospacing="1"/>
              <w:rPr>
                <w:rFonts w:cs="Arial"/>
              </w:rPr>
            </w:pPr>
            <w:r w:rsidRPr="00662D99">
              <w:rPr>
                <w:rFonts w:cs="Arial"/>
                <w:szCs w:val="20"/>
              </w:rPr>
              <w:t>0.59</w:t>
            </w:r>
          </w:p>
        </w:tc>
      </w:tr>
      <w:tr w:rsidR="004C002F" w14:paraId="00C7F5B8" w14:textId="77777777" w:rsidTr="00296B4A">
        <w:tc>
          <w:tcPr>
            <w:tcW w:w="1110" w:type="dxa"/>
            <w:shd w:val="clear" w:color="auto" w:fill="F0F4F8"/>
            <w:tcMar>
              <w:top w:w="80" w:type="dxa"/>
              <w:left w:w="120" w:type="dxa"/>
              <w:bottom w:w="80" w:type="dxa"/>
              <w:right w:w="120" w:type="dxa"/>
            </w:tcMar>
            <w:vAlign w:val="center"/>
          </w:tcPr>
          <w:p w14:paraId="4AF24D45" w14:textId="77777777" w:rsidR="00BD4886" w:rsidRPr="00C8789F" w:rsidRDefault="00BD4886" w:rsidP="00296B4A">
            <w:pPr>
              <w:spacing w:before="100" w:beforeAutospacing="1" w:after="100" w:afterAutospacing="1"/>
              <w:rPr>
                <w:rFonts w:ascii="Courier New" w:hAnsi="Courier New" w:cs="Courier New"/>
              </w:rPr>
            </w:pPr>
            <w:r w:rsidRPr="00662D99">
              <w:rPr>
                <w:rFonts w:cs="Arial"/>
                <w:szCs w:val="20"/>
              </w:rPr>
              <w:t>0.25</w:t>
            </w:r>
          </w:p>
        </w:tc>
        <w:tc>
          <w:tcPr>
            <w:tcW w:w="1181" w:type="dxa"/>
            <w:shd w:val="clear" w:color="auto" w:fill="F0F4F8"/>
            <w:tcMar>
              <w:top w:w="80" w:type="dxa"/>
              <w:left w:w="120" w:type="dxa"/>
              <w:bottom w:w="80" w:type="dxa"/>
              <w:right w:w="120" w:type="dxa"/>
            </w:tcMar>
            <w:vAlign w:val="center"/>
          </w:tcPr>
          <w:p w14:paraId="4C8B2ACE" w14:textId="77777777" w:rsidR="00BD4886" w:rsidRPr="005B0FA3" w:rsidRDefault="00BD4886" w:rsidP="00296B4A">
            <w:pPr>
              <w:spacing w:before="100" w:beforeAutospacing="1" w:after="100" w:afterAutospacing="1"/>
              <w:rPr>
                <w:rFonts w:cs="Arial"/>
              </w:rPr>
            </w:pPr>
            <w:r w:rsidRPr="00662D99">
              <w:rPr>
                <w:rFonts w:cs="Arial"/>
                <w:szCs w:val="20"/>
              </w:rPr>
              <w:t>1.0</w:t>
            </w:r>
          </w:p>
        </w:tc>
        <w:tc>
          <w:tcPr>
            <w:tcW w:w="1527" w:type="dxa"/>
            <w:shd w:val="clear" w:color="auto" w:fill="F0F4F8"/>
            <w:tcMar>
              <w:top w:w="80" w:type="dxa"/>
              <w:left w:w="120" w:type="dxa"/>
              <w:bottom w:w="80" w:type="dxa"/>
              <w:right w:w="120" w:type="dxa"/>
            </w:tcMar>
            <w:vAlign w:val="center"/>
          </w:tcPr>
          <w:p w14:paraId="11F5F968" w14:textId="77777777" w:rsidR="00BD4886" w:rsidRPr="005B0FA3" w:rsidRDefault="00BD4886" w:rsidP="00296B4A">
            <w:pPr>
              <w:spacing w:before="100" w:beforeAutospacing="1" w:after="100" w:afterAutospacing="1"/>
              <w:rPr>
                <w:rFonts w:cs="Arial"/>
              </w:rPr>
            </w:pPr>
            <w:r w:rsidRPr="00662D99">
              <w:rPr>
                <w:rFonts w:cs="Arial"/>
                <w:szCs w:val="20"/>
              </w:rPr>
              <w:t>300,000</w:t>
            </w:r>
          </w:p>
        </w:tc>
        <w:tc>
          <w:tcPr>
            <w:tcW w:w="997" w:type="dxa"/>
            <w:shd w:val="clear" w:color="auto" w:fill="F0F4F8"/>
            <w:tcMar>
              <w:top w:w="80" w:type="dxa"/>
              <w:left w:w="120" w:type="dxa"/>
              <w:bottom w:w="80" w:type="dxa"/>
              <w:right w:w="120" w:type="dxa"/>
            </w:tcMar>
            <w:vAlign w:val="center"/>
          </w:tcPr>
          <w:p w14:paraId="246DB2B8" w14:textId="77777777" w:rsidR="00BD4886" w:rsidRPr="005B0FA3" w:rsidRDefault="00BD4886" w:rsidP="00296B4A">
            <w:pPr>
              <w:spacing w:before="100" w:beforeAutospacing="1" w:after="100" w:afterAutospacing="1"/>
              <w:rPr>
                <w:rFonts w:cs="Arial"/>
              </w:rPr>
            </w:pPr>
            <w:r w:rsidRPr="00662D99">
              <w:rPr>
                <w:rFonts w:cs="Arial"/>
                <w:szCs w:val="20"/>
              </w:rPr>
              <w:t>5.0</w:t>
            </w:r>
          </w:p>
        </w:tc>
        <w:tc>
          <w:tcPr>
            <w:tcW w:w="1843" w:type="dxa"/>
            <w:shd w:val="clear" w:color="auto" w:fill="F0F4F8"/>
            <w:tcMar>
              <w:top w:w="80" w:type="dxa"/>
              <w:left w:w="120" w:type="dxa"/>
              <w:bottom w:w="80" w:type="dxa"/>
              <w:right w:w="120" w:type="dxa"/>
            </w:tcMar>
            <w:vAlign w:val="center"/>
          </w:tcPr>
          <w:p w14:paraId="1F6E0F91" w14:textId="77777777" w:rsidR="00BD4886" w:rsidRPr="005B0FA3" w:rsidRDefault="00BD4886" w:rsidP="00296B4A">
            <w:pPr>
              <w:spacing w:before="100" w:beforeAutospacing="1" w:after="100" w:afterAutospacing="1"/>
              <w:rPr>
                <w:rFonts w:cs="Arial"/>
              </w:rPr>
            </w:pPr>
            <w:r w:rsidRPr="00662D99">
              <w:rPr>
                <w:rFonts w:cs="Arial"/>
                <w:szCs w:val="20"/>
              </w:rPr>
              <w:t>1.95</w:t>
            </w:r>
          </w:p>
        </w:tc>
      </w:tr>
      <w:tr w:rsidR="004C002F" w14:paraId="7C3DF81B" w14:textId="77777777" w:rsidTr="00296B4A">
        <w:tc>
          <w:tcPr>
            <w:tcW w:w="1110" w:type="dxa"/>
            <w:shd w:val="clear" w:color="auto" w:fill="FFFFFF"/>
            <w:tcMar>
              <w:top w:w="80" w:type="dxa"/>
              <w:left w:w="120" w:type="dxa"/>
              <w:bottom w:w="80" w:type="dxa"/>
              <w:right w:w="120" w:type="dxa"/>
            </w:tcMar>
            <w:vAlign w:val="center"/>
          </w:tcPr>
          <w:p w14:paraId="357343AA" w14:textId="77777777" w:rsidR="00BD4886" w:rsidRPr="00C8789F" w:rsidRDefault="00BD4886" w:rsidP="00296B4A">
            <w:pPr>
              <w:spacing w:before="100" w:beforeAutospacing="1" w:after="100" w:afterAutospacing="1"/>
              <w:rPr>
                <w:rFonts w:ascii="Courier New" w:hAnsi="Courier New" w:cs="Courier New"/>
              </w:rPr>
            </w:pPr>
            <w:r w:rsidRPr="00662D99">
              <w:rPr>
                <w:rFonts w:cs="Arial"/>
                <w:szCs w:val="20"/>
              </w:rPr>
              <w:t>0.25</w:t>
            </w:r>
          </w:p>
        </w:tc>
        <w:tc>
          <w:tcPr>
            <w:tcW w:w="1181" w:type="dxa"/>
            <w:shd w:val="clear" w:color="auto" w:fill="FFFFFF"/>
            <w:tcMar>
              <w:top w:w="80" w:type="dxa"/>
              <w:left w:w="120" w:type="dxa"/>
              <w:bottom w:w="80" w:type="dxa"/>
              <w:right w:w="120" w:type="dxa"/>
            </w:tcMar>
            <w:vAlign w:val="center"/>
          </w:tcPr>
          <w:p w14:paraId="21F7A1C2" w14:textId="77777777" w:rsidR="00BD4886" w:rsidRPr="005B0FA3" w:rsidRDefault="00BD4886" w:rsidP="00296B4A">
            <w:pPr>
              <w:spacing w:before="100" w:beforeAutospacing="1" w:after="100" w:afterAutospacing="1"/>
              <w:rPr>
                <w:rFonts w:cs="Arial"/>
              </w:rPr>
            </w:pPr>
            <w:r w:rsidRPr="00662D99">
              <w:rPr>
                <w:rFonts w:cs="Arial"/>
                <w:szCs w:val="20"/>
              </w:rPr>
              <w:t>1.0</w:t>
            </w:r>
          </w:p>
        </w:tc>
        <w:tc>
          <w:tcPr>
            <w:tcW w:w="1527" w:type="dxa"/>
            <w:shd w:val="clear" w:color="auto" w:fill="FFFFFF"/>
            <w:tcMar>
              <w:top w:w="80" w:type="dxa"/>
              <w:left w:w="120" w:type="dxa"/>
              <w:bottom w:w="80" w:type="dxa"/>
              <w:right w:w="120" w:type="dxa"/>
            </w:tcMar>
            <w:vAlign w:val="center"/>
          </w:tcPr>
          <w:p w14:paraId="34055084" w14:textId="77777777" w:rsidR="00BD4886" w:rsidRPr="005B0FA3" w:rsidRDefault="00BD4886" w:rsidP="00296B4A">
            <w:pPr>
              <w:spacing w:before="100" w:beforeAutospacing="1" w:after="100" w:afterAutospacing="1"/>
              <w:rPr>
                <w:rFonts w:cs="Arial"/>
              </w:rPr>
            </w:pPr>
            <w:r w:rsidRPr="00662D99">
              <w:rPr>
                <w:rFonts w:cs="Arial"/>
                <w:szCs w:val="20"/>
              </w:rPr>
              <w:t>500,000</w:t>
            </w:r>
          </w:p>
        </w:tc>
        <w:tc>
          <w:tcPr>
            <w:tcW w:w="997" w:type="dxa"/>
            <w:shd w:val="clear" w:color="auto" w:fill="FFFFFF"/>
            <w:tcMar>
              <w:top w:w="80" w:type="dxa"/>
              <w:left w:w="120" w:type="dxa"/>
              <w:bottom w:w="80" w:type="dxa"/>
              <w:right w:w="120" w:type="dxa"/>
            </w:tcMar>
            <w:vAlign w:val="center"/>
          </w:tcPr>
          <w:p w14:paraId="4AEEA4E7" w14:textId="77777777" w:rsidR="00BD4886" w:rsidRPr="005B0FA3" w:rsidRDefault="00BD4886" w:rsidP="00296B4A">
            <w:pPr>
              <w:spacing w:before="100" w:beforeAutospacing="1" w:after="100" w:afterAutospacing="1"/>
              <w:rPr>
                <w:rFonts w:cs="Arial"/>
              </w:rPr>
            </w:pPr>
            <w:r w:rsidRPr="00662D99">
              <w:rPr>
                <w:rFonts w:cs="Arial"/>
                <w:szCs w:val="20"/>
              </w:rPr>
              <w:t>5.0</w:t>
            </w:r>
          </w:p>
        </w:tc>
        <w:tc>
          <w:tcPr>
            <w:tcW w:w="1843" w:type="dxa"/>
            <w:shd w:val="clear" w:color="auto" w:fill="FFFFFF"/>
            <w:tcMar>
              <w:top w:w="80" w:type="dxa"/>
              <w:left w:w="120" w:type="dxa"/>
              <w:bottom w:w="80" w:type="dxa"/>
              <w:right w:w="120" w:type="dxa"/>
            </w:tcMar>
            <w:vAlign w:val="center"/>
          </w:tcPr>
          <w:p w14:paraId="403920AA" w14:textId="77777777" w:rsidR="00BD4886" w:rsidRPr="005B0FA3" w:rsidRDefault="00BD4886" w:rsidP="00296B4A">
            <w:pPr>
              <w:spacing w:before="100" w:beforeAutospacing="1" w:after="100" w:afterAutospacing="1"/>
              <w:rPr>
                <w:rFonts w:cs="Arial"/>
              </w:rPr>
            </w:pPr>
            <w:r w:rsidRPr="00662D99">
              <w:rPr>
                <w:rFonts w:cs="Arial"/>
                <w:szCs w:val="20"/>
              </w:rPr>
              <w:t>4.00</w:t>
            </w:r>
          </w:p>
        </w:tc>
      </w:tr>
      <w:tr w:rsidR="004C002F" w14:paraId="491EB2E5" w14:textId="77777777" w:rsidTr="00296B4A">
        <w:tc>
          <w:tcPr>
            <w:tcW w:w="1110" w:type="dxa"/>
            <w:shd w:val="clear" w:color="auto" w:fill="F0F4F9"/>
            <w:tcMar>
              <w:top w:w="80" w:type="dxa"/>
              <w:left w:w="120" w:type="dxa"/>
              <w:bottom w:w="80" w:type="dxa"/>
              <w:right w:w="120" w:type="dxa"/>
            </w:tcMar>
            <w:vAlign w:val="center"/>
          </w:tcPr>
          <w:p w14:paraId="1EC869B1" w14:textId="77777777" w:rsidR="00BD4886" w:rsidRPr="00C8789F" w:rsidRDefault="00BD4886" w:rsidP="00296B4A">
            <w:pPr>
              <w:spacing w:before="100" w:beforeAutospacing="1" w:after="100" w:afterAutospacing="1"/>
              <w:rPr>
                <w:rFonts w:ascii="Courier New" w:hAnsi="Courier New" w:cs="Courier New"/>
              </w:rPr>
            </w:pPr>
            <w:r w:rsidRPr="00662D99">
              <w:rPr>
                <w:rFonts w:cs="Arial"/>
                <w:szCs w:val="20"/>
              </w:rPr>
              <w:t>0.35</w:t>
            </w:r>
          </w:p>
        </w:tc>
        <w:tc>
          <w:tcPr>
            <w:tcW w:w="1181" w:type="dxa"/>
            <w:shd w:val="clear" w:color="auto" w:fill="F0F4F9"/>
            <w:tcMar>
              <w:top w:w="80" w:type="dxa"/>
              <w:left w:w="120" w:type="dxa"/>
              <w:bottom w:w="80" w:type="dxa"/>
              <w:right w:w="120" w:type="dxa"/>
            </w:tcMar>
            <w:vAlign w:val="center"/>
          </w:tcPr>
          <w:p w14:paraId="098B6EF7" w14:textId="77777777" w:rsidR="00BD4886" w:rsidRPr="005B0FA3" w:rsidRDefault="00BD4886" w:rsidP="00296B4A">
            <w:pPr>
              <w:spacing w:before="100" w:beforeAutospacing="1" w:after="100" w:afterAutospacing="1"/>
              <w:rPr>
                <w:rFonts w:cs="Arial"/>
              </w:rPr>
            </w:pPr>
            <w:r w:rsidRPr="00662D99">
              <w:rPr>
                <w:rFonts w:cs="Arial"/>
                <w:szCs w:val="20"/>
              </w:rPr>
              <w:t>1.5</w:t>
            </w:r>
          </w:p>
        </w:tc>
        <w:tc>
          <w:tcPr>
            <w:tcW w:w="1527" w:type="dxa"/>
            <w:shd w:val="clear" w:color="auto" w:fill="F0F4F9"/>
            <w:tcMar>
              <w:top w:w="80" w:type="dxa"/>
              <w:left w:w="120" w:type="dxa"/>
              <w:bottom w:w="80" w:type="dxa"/>
              <w:right w:w="120" w:type="dxa"/>
            </w:tcMar>
            <w:vAlign w:val="center"/>
          </w:tcPr>
          <w:p w14:paraId="452CAE08" w14:textId="77777777" w:rsidR="00BD4886" w:rsidRPr="005B0FA3" w:rsidRDefault="00BD4886" w:rsidP="00296B4A">
            <w:pPr>
              <w:spacing w:before="100" w:beforeAutospacing="1" w:after="100" w:afterAutospacing="1"/>
              <w:rPr>
                <w:rFonts w:cs="Arial"/>
              </w:rPr>
            </w:pPr>
            <w:r w:rsidRPr="00662D99">
              <w:rPr>
                <w:rFonts w:cs="Arial"/>
                <w:szCs w:val="20"/>
              </w:rPr>
              <w:t>400,000</w:t>
            </w:r>
          </w:p>
        </w:tc>
        <w:tc>
          <w:tcPr>
            <w:tcW w:w="997" w:type="dxa"/>
            <w:shd w:val="clear" w:color="auto" w:fill="F0F4F9"/>
            <w:tcMar>
              <w:top w:w="80" w:type="dxa"/>
              <w:left w:w="120" w:type="dxa"/>
              <w:bottom w:w="80" w:type="dxa"/>
              <w:right w:w="120" w:type="dxa"/>
            </w:tcMar>
            <w:vAlign w:val="center"/>
          </w:tcPr>
          <w:p w14:paraId="5E1D3A80" w14:textId="77777777" w:rsidR="00BD4886" w:rsidRPr="005B0FA3" w:rsidRDefault="00BD4886" w:rsidP="00296B4A">
            <w:pPr>
              <w:spacing w:before="100" w:beforeAutospacing="1" w:after="100" w:afterAutospacing="1"/>
              <w:rPr>
                <w:rFonts w:cs="Arial"/>
              </w:rPr>
            </w:pPr>
            <w:r w:rsidRPr="00662D99">
              <w:rPr>
                <w:rFonts w:cs="Arial"/>
                <w:szCs w:val="20"/>
              </w:rPr>
              <w:t>10.5</w:t>
            </w:r>
          </w:p>
        </w:tc>
        <w:tc>
          <w:tcPr>
            <w:tcW w:w="1843" w:type="dxa"/>
            <w:shd w:val="clear" w:color="auto" w:fill="F0F4F9"/>
            <w:tcMar>
              <w:top w:w="80" w:type="dxa"/>
              <w:left w:w="120" w:type="dxa"/>
              <w:bottom w:w="80" w:type="dxa"/>
              <w:right w:w="120" w:type="dxa"/>
            </w:tcMar>
            <w:vAlign w:val="center"/>
          </w:tcPr>
          <w:p w14:paraId="225A3949" w14:textId="77777777" w:rsidR="00BD4886" w:rsidRPr="005B0FA3" w:rsidRDefault="00BD4886" w:rsidP="00296B4A">
            <w:pPr>
              <w:spacing w:before="100" w:beforeAutospacing="1" w:after="100" w:afterAutospacing="1"/>
              <w:rPr>
                <w:rFonts w:cs="Arial"/>
              </w:rPr>
            </w:pPr>
            <w:r w:rsidRPr="00662D99">
              <w:rPr>
                <w:rFonts w:cs="Arial"/>
                <w:szCs w:val="20"/>
              </w:rPr>
              <w:t>5.46</w:t>
            </w:r>
          </w:p>
        </w:tc>
      </w:tr>
      <w:tr w:rsidR="004C002F" w14:paraId="5C5B6279" w14:textId="77777777" w:rsidTr="00296B4A">
        <w:tc>
          <w:tcPr>
            <w:tcW w:w="1110" w:type="dxa"/>
            <w:shd w:val="clear" w:color="auto" w:fill="FFFFFF"/>
            <w:tcMar>
              <w:top w:w="80" w:type="dxa"/>
              <w:left w:w="120" w:type="dxa"/>
              <w:bottom w:w="80" w:type="dxa"/>
              <w:right w:w="120" w:type="dxa"/>
            </w:tcMar>
            <w:vAlign w:val="center"/>
          </w:tcPr>
          <w:p w14:paraId="15874B07" w14:textId="77777777" w:rsidR="00BD4886" w:rsidRPr="00C8789F" w:rsidRDefault="00BD4886" w:rsidP="00296B4A">
            <w:pPr>
              <w:spacing w:before="100" w:beforeAutospacing="1" w:after="100" w:afterAutospacing="1"/>
              <w:rPr>
                <w:rFonts w:ascii="Courier New" w:hAnsi="Courier New" w:cs="Courier New"/>
              </w:rPr>
            </w:pPr>
            <w:r w:rsidRPr="00662D99">
              <w:rPr>
                <w:rFonts w:cs="Arial"/>
                <w:szCs w:val="20"/>
              </w:rPr>
              <w:t>0.40</w:t>
            </w:r>
          </w:p>
        </w:tc>
        <w:tc>
          <w:tcPr>
            <w:tcW w:w="1181" w:type="dxa"/>
            <w:shd w:val="clear" w:color="auto" w:fill="FFFFFF"/>
            <w:tcMar>
              <w:top w:w="80" w:type="dxa"/>
              <w:left w:w="120" w:type="dxa"/>
              <w:bottom w:w="80" w:type="dxa"/>
              <w:right w:w="120" w:type="dxa"/>
            </w:tcMar>
            <w:vAlign w:val="center"/>
          </w:tcPr>
          <w:p w14:paraId="02561B0C" w14:textId="77777777" w:rsidR="00BD4886" w:rsidRPr="005B0FA3" w:rsidRDefault="00BD4886" w:rsidP="00296B4A">
            <w:pPr>
              <w:spacing w:before="100" w:beforeAutospacing="1" w:after="100" w:afterAutospacing="1"/>
              <w:rPr>
                <w:rFonts w:cs="Arial"/>
              </w:rPr>
            </w:pPr>
            <w:r w:rsidRPr="00662D99">
              <w:rPr>
                <w:rFonts w:cs="Arial"/>
                <w:szCs w:val="20"/>
              </w:rPr>
              <w:t>2.0</w:t>
            </w:r>
          </w:p>
        </w:tc>
        <w:tc>
          <w:tcPr>
            <w:tcW w:w="1527" w:type="dxa"/>
            <w:shd w:val="clear" w:color="auto" w:fill="FFFFFF"/>
            <w:tcMar>
              <w:top w:w="80" w:type="dxa"/>
              <w:left w:w="120" w:type="dxa"/>
              <w:bottom w:w="80" w:type="dxa"/>
              <w:right w:w="120" w:type="dxa"/>
            </w:tcMar>
            <w:vAlign w:val="center"/>
          </w:tcPr>
          <w:p w14:paraId="3C58441F" w14:textId="77777777" w:rsidR="00BD4886" w:rsidRPr="005B0FA3" w:rsidRDefault="00BD4886" w:rsidP="00296B4A">
            <w:pPr>
              <w:spacing w:before="100" w:beforeAutospacing="1" w:after="100" w:afterAutospacing="1"/>
              <w:rPr>
                <w:rFonts w:cs="Arial"/>
              </w:rPr>
            </w:pPr>
            <w:r w:rsidRPr="00662D99">
              <w:rPr>
                <w:rFonts w:cs="Arial"/>
                <w:szCs w:val="20"/>
              </w:rPr>
              <w:t>500,000</w:t>
            </w:r>
          </w:p>
        </w:tc>
        <w:tc>
          <w:tcPr>
            <w:tcW w:w="997" w:type="dxa"/>
            <w:shd w:val="clear" w:color="auto" w:fill="FFFFFF"/>
            <w:tcMar>
              <w:top w:w="80" w:type="dxa"/>
              <w:left w:w="120" w:type="dxa"/>
              <w:bottom w:w="80" w:type="dxa"/>
              <w:right w:w="120" w:type="dxa"/>
            </w:tcMar>
            <w:vAlign w:val="center"/>
          </w:tcPr>
          <w:p w14:paraId="213A2BEA" w14:textId="77777777" w:rsidR="00BD4886" w:rsidRPr="005B0FA3" w:rsidRDefault="00BD4886" w:rsidP="00296B4A">
            <w:pPr>
              <w:spacing w:before="100" w:beforeAutospacing="1" w:after="100" w:afterAutospacing="1"/>
              <w:rPr>
                <w:rFonts w:cs="Arial"/>
              </w:rPr>
            </w:pPr>
            <w:r w:rsidRPr="00662D99">
              <w:rPr>
                <w:rFonts w:cs="Arial"/>
                <w:szCs w:val="20"/>
              </w:rPr>
              <w:t>16.0</w:t>
            </w:r>
          </w:p>
        </w:tc>
        <w:tc>
          <w:tcPr>
            <w:tcW w:w="1843" w:type="dxa"/>
            <w:shd w:val="clear" w:color="auto" w:fill="FFFFFF"/>
            <w:tcMar>
              <w:top w:w="80" w:type="dxa"/>
              <w:left w:w="120" w:type="dxa"/>
              <w:bottom w:w="80" w:type="dxa"/>
              <w:right w:w="120" w:type="dxa"/>
            </w:tcMar>
            <w:vAlign w:val="center"/>
          </w:tcPr>
          <w:p w14:paraId="4FB36189" w14:textId="77777777" w:rsidR="00BD4886" w:rsidRPr="005B0FA3" w:rsidRDefault="00BD4886" w:rsidP="00296B4A">
            <w:pPr>
              <w:spacing w:before="100" w:beforeAutospacing="1" w:after="100" w:afterAutospacing="1"/>
              <w:rPr>
                <w:rFonts w:cs="Arial"/>
              </w:rPr>
            </w:pPr>
            <w:r w:rsidRPr="00662D99">
              <w:rPr>
                <w:rFonts w:cs="Arial"/>
                <w:szCs w:val="20"/>
              </w:rPr>
              <w:t>12.80</w:t>
            </w:r>
          </w:p>
        </w:tc>
      </w:tr>
    </w:tbl>
    <w:p w14:paraId="4C7D7413"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The USD 5–15 million range quoted in the main text corresponds to the upper parameter regime — higher EGT attribution fraction, higher removal rate, and higher shop visit cost — which may be applicable to operators with older fleets or higher-thrust engine variants experiencing accelerated EGT margin erosion. The conservative central estimate of USD 1.95M–4.0M per annum is the more defensible figure for a typical narrow-body operator.</w:t>
      </w:r>
    </w:p>
    <w:p w14:paraId="03DAE7C1" w14:textId="77777777" w:rsidR="00BD4886" w:rsidRPr="00662D99" w:rsidRDefault="00BD4886" w:rsidP="00BD4886">
      <w:pPr>
        <w:pStyle w:val="Heading3"/>
      </w:pPr>
      <w:r w:rsidRPr="00662D99">
        <w:t>A.4.</w:t>
      </w:r>
      <w:r>
        <w:t>3</w:t>
      </w:r>
      <w:r w:rsidRPr="00662D99">
        <w:t xml:space="preserve"> Limitations</w:t>
      </w:r>
    </w:p>
    <w:p w14:paraId="7FF98B56" w14:textId="77777777" w:rsidR="00BD4886" w:rsidRPr="00662D99" w:rsidRDefault="00BD4886" w:rsidP="00BD4886">
      <w:pPr>
        <w:spacing w:before="100" w:beforeAutospacing="1" w:after="100" w:afterAutospacing="1"/>
        <w:jc w:val="both"/>
        <w:rPr>
          <w:rFonts w:cs="Arial"/>
          <w:szCs w:val="20"/>
        </w:rPr>
      </w:pPr>
      <w:r w:rsidRPr="00662D99">
        <w:rPr>
          <w:rFonts w:cs="Arial"/>
          <w:szCs w:val="20"/>
        </w:rPr>
        <w:t>This estimate carries the following explicit limitations which must be acknowledged in any operational application:</w:t>
      </w:r>
    </w:p>
    <w:p w14:paraId="2363533C" w14:textId="7D493217" w:rsidR="00BD4886" w:rsidRPr="00102E2A" w:rsidRDefault="00BD4886" w:rsidP="00BD4886">
      <w:pPr>
        <w:pStyle w:val="ListParagraph"/>
        <w:numPr>
          <w:ilvl w:val="0"/>
          <w:numId w:val="11"/>
        </w:numPr>
        <w:spacing w:before="100" w:beforeAutospacing="1" w:after="100" w:afterAutospacing="1"/>
        <w:contextualSpacing/>
        <w:jc w:val="both"/>
        <w:rPr>
          <w:rFonts w:eastAsia="Times New Roman"/>
        </w:rPr>
      </w:pPr>
      <w:r>
        <w:rPr>
          <w:rFonts w:eastAsia="Times New Roman"/>
        </w:rPr>
        <w:t>T</w:t>
      </w:r>
      <w:r w:rsidRPr="00102E2A">
        <w:rPr>
          <w:rFonts w:eastAsia="Times New Roman"/>
        </w:rPr>
        <w:t>he EGT attribution fraction of 25% is not derived from fleet data. Published literature on the distribution of unscheduled removal causes is sparse and operator specific. Volponi (2014)</w:t>
      </w:r>
      <w:sdt>
        <w:sdtPr>
          <w:rPr>
            <w:rFonts w:eastAsia="Times New Roman"/>
          </w:rPr>
          <w:id w:val="1293863250"/>
          <w:citation/>
        </w:sdtPr>
        <w:sdtContent>
          <w:r>
            <w:rPr>
              <w:rFonts w:eastAsia="Times New Roman"/>
            </w:rPr>
            <w:fldChar w:fldCharType="begin"/>
          </w:r>
          <w:r>
            <w:rPr>
              <w:rFonts w:eastAsia="Times New Roman"/>
            </w:rPr>
            <w:instrText xml:space="preserve"> CITATION Vol14 \l 2057 </w:instrText>
          </w:r>
          <w:r>
            <w:rPr>
              <w:rFonts w:eastAsia="Times New Roman"/>
            </w:rPr>
            <w:fldChar w:fldCharType="separate"/>
          </w:r>
          <w:r w:rsidR="0074017E">
            <w:rPr>
              <w:rFonts w:eastAsia="Times New Roman"/>
              <w:noProof/>
            </w:rPr>
            <w:t xml:space="preserve"> [8]</w:t>
          </w:r>
          <w:r>
            <w:rPr>
              <w:rFonts w:eastAsia="Times New Roman"/>
            </w:rPr>
            <w:fldChar w:fldCharType="end"/>
          </w:r>
        </w:sdtContent>
      </w:sdt>
      <w:r w:rsidRPr="00102E2A">
        <w:rPr>
          <w:rFonts w:eastAsia="Times New Roman"/>
        </w:rPr>
        <w:t xml:space="preserve"> identifies EGT margin erosion as a primary removal driver but does not quantify its fleet-level proportion.</w:t>
      </w:r>
    </w:p>
    <w:p w14:paraId="347CFB57" w14:textId="77777777" w:rsidR="00BD4886" w:rsidRPr="00102E2A" w:rsidRDefault="00BD4886" w:rsidP="00BD4886">
      <w:pPr>
        <w:pStyle w:val="ListParagraph"/>
        <w:numPr>
          <w:ilvl w:val="0"/>
          <w:numId w:val="11"/>
        </w:numPr>
        <w:spacing w:before="100" w:beforeAutospacing="1" w:after="100" w:afterAutospacing="1"/>
        <w:contextualSpacing/>
        <w:jc w:val="both"/>
        <w:rPr>
          <w:rFonts w:eastAsia="Times New Roman"/>
        </w:rPr>
      </w:pPr>
      <w:r>
        <w:rPr>
          <w:rFonts w:eastAsia="Times New Roman"/>
        </w:rPr>
        <w:t>T</w:t>
      </w:r>
      <w:r w:rsidRPr="00102E2A">
        <w:rPr>
          <w:rFonts w:eastAsia="Times New Roman"/>
        </w:rPr>
        <w:t>he shop visit cost range of USD 300,000–500,000 reflects IATA benchmarking for narrow-body engines (CFM56, LEAP family) and will differ substantially for wide-body or high-thrust variants (GE90, GEnx, Trent XWB), where shop visit costs of USD 1.5–4.0 million per event are typical.</w:t>
      </w:r>
    </w:p>
    <w:p w14:paraId="39C30A94" w14:textId="77777777" w:rsidR="00BD4886" w:rsidRPr="00102E2A" w:rsidRDefault="00BD4886" w:rsidP="00BD4886">
      <w:pPr>
        <w:pStyle w:val="ListParagraph"/>
        <w:numPr>
          <w:ilvl w:val="0"/>
          <w:numId w:val="11"/>
        </w:numPr>
        <w:spacing w:before="100" w:beforeAutospacing="1" w:after="100" w:afterAutospacing="1"/>
        <w:contextualSpacing/>
        <w:jc w:val="both"/>
        <w:rPr>
          <w:rFonts w:eastAsia="Times New Roman"/>
        </w:rPr>
      </w:pPr>
      <w:r>
        <w:rPr>
          <w:rFonts w:eastAsia="Times New Roman"/>
        </w:rPr>
        <w:t>T</w:t>
      </w:r>
      <w:r w:rsidRPr="00102E2A">
        <w:rPr>
          <w:rFonts w:eastAsia="Times New Roman"/>
        </w:rPr>
        <w:t>he 10% precision improvement is a Phase 4 target, not a demonstrated result. The actual improvement achievable from the Phase 3 feature engineering will only be quantifiable after Phase 4 model training and evaluation against the NASA C-MAPSS test set using the asymmetric scoring function.</w:t>
      </w:r>
    </w:p>
    <w:p w14:paraId="1B0DC91C" w14:textId="12DD95FE" w:rsidR="007E58CE" w:rsidRPr="00BD4886" w:rsidRDefault="00BD4886" w:rsidP="007E58CE">
      <w:pPr>
        <w:pStyle w:val="ListParagraph"/>
        <w:numPr>
          <w:ilvl w:val="0"/>
          <w:numId w:val="11"/>
        </w:numPr>
        <w:spacing w:before="100" w:beforeAutospacing="1" w:after="100" w:afterAutospacing="1"/>
        <w:contextualSpacing/>
        <w:jc w:val="both"/>
        <w:rPr>
          <w:rFonts w:eastAsia="Times New Roman"/>
        </w:rPr>
      </w:pPr>
      <w:r w:rsidRPr="00102E2A">
        <w:rPr>
          <w:rFonts w:eastAsia="Times New Roman"/>
        </w:rPr>
        <w:t xml:space="preserve">FusionCore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0</m:t>
            </m:r>
          </m:sub>
        </m:sSub>
      </m:oMath>
      <w:r w:rsidRPr="00102E2A">
        <w:rPr>
          <w:rFonts w:eastAsia="Times New Roman"/>
        </w:rPr>
        <w:t xml:space="preserve"> is trained on simulation data. The translation of simulation-derived precision improvements to real fleet cost savings requires empirical validation on real operational telemetry, which is only achievable through direct industry engagement as discussed in Appendix A.2.</w:t>
      </w:r>
    </w:p>
    <w:p w14:paraId="0EEF35D1" w14:textId="119A6A72" w:rsidR="008F2841" w:rsidRDefault="008F2841">
      <w:pPr>
        <w:rPr>
          <w:rFonts w:cs="Arial"/>
          <w:szCs w:val="20"/>
        </w:rPr>
      </w:pPr>
      <w:r>
        <w:rPr>
          <w:rFonts w:cs="Arial"/>
          <w:szCs w:val="20"/>
        </w:rPr>
        <w:br w:type="page"/>
      </w:r>
    </w:p>
    <w:p w14:paraId="0AC62323" w14:textId="79638142" w:rsidR="008F2841" w:rsidRDefault="008F2841" w:rsidP="008F2841">
      <w:pPr>
        <w:pStyle w:val="Heading2"/>
      </w:pPr>
      <w:r>
        <w:lastRenderedPageBreak/>
        <w:t>A.5 Yeo-Johnson Power Transformation</w:t>
      </w:r>
    </w:p>
    <w:p w14:paraId="19B30D7E" w14:textId="3BE43BA3" w:rsidR="008F2841" w:rsidRPr="008F2841" w:rsidRDefault="008F2841" w:rsidP="008F2841">
      <w:pPr>
        <w:spacing w:before="100" w:beforeAutospacing="1" w:after="100" w:afterAutospacing="1"/>
        <w:jc w:val="both"/>
        <w:rPr>
          <w:rFonts w:cs="Arial"/>
          <w:szCs w:val="20"/>
        </w:rPr>
      </w:pPr>
      <w:r w:rsidRPr="008F2841">
        <w:rPr>
          <w:rFonts w:cs="Arial"/>
          <w:szCs w:val="20"/>
        </w:rPr>
        <w:t>The Yeo-Johnson power transformation (Yeo &amp; Johnson, 2000)</w:t>
      </w:r>
      <w:sdt>
        <w:sdtPr>
          <w:rPr>
            <w:rFonts w:cs="Arial"/>
            <w:szCs w:val="20"/>
          </w:rPr>
          <w:id w:val="606780129"/>
          <w:citation/>
        </w:sdtPr>
        <w:sdtContent>
          <w:r>
            <w:rPr>
              <w:rFonts w:cs="Arial"/>
              <w:szCs w:val="20"/>
            </w:rPr>
            <w:fldChar w:fldCharType="begin"/>
          </w:r>
          <w:r>
            <w:rPr>
              <w:rFonts w:cs="Arial"/>
              <w:szCs w:val="20"/>
            </w:rPr>
            <w:instrText xml:space="preserve"> CITATION Yeo00 \l 2057 </w:instrText>
          </w:r>
          <w:r>
            <w:rPr>
              <w:rFonts w:cs="Arial"/>
              <w:szCs w:val="20"/>
            </w:rPr>
            <w:fldChar w:fldCharType="separate"/>
          </w:r>
          <w:r w:rsidR="0074017E">
            <w:rPr>
              <w:rFonts w:cs="Arial"/>
              <w:noProof/>
              <w:szCs w:val="20"/>
            </w:rPr>
            <w:t xml:space="preserve"> </w:t>
          </w:r>
          <w:r w:rsidR="0074017E" w:rsidRPr="0074017E">
            <w:rPr>
              <w:rFonts w:cs="Arial"/>
              <w:noProof/>
              <w:szCs w:val="20"/>
            </w:rPr>
            <w:t>[17]</w:t>
          </w:r>
          <w:r>
            <w:rPr>
              <w:rFonts w:cs="Arial"/>
              <w:szCs w:val="20"/>
            </w:rPr>
            <w:fldChar w:fldCharType="end"/>
          </w:r>
        </w:sdtContent>
      </w:sdt>
      <w:r w:rsidRPr="008F2841">
        <w:rPr>
          <w:rFonts w:cs="Arial"/>
          <w:szCs w:val="20"/>
        </w:rPr>
        <w:t xml:space="preserve"> is defined for all real-valued inputs </w:t>
      </w:r>
      <m:oMath>
        <m:r>
          <w:rPr>
            <w:rFonts w:ascii="Cambria Math" w:hAnsi="Cambria Math" w:cs="Arial"/>
            <w:szCs w:val="20"/>
          </w:rPr>
          <m:t>x</m:t>
        </m:r>
        <m:r>
          <m:rPr>
            <m:sty m:val="p"/>
          </m:rPr>
          <w:rPr>
            <w:rFonts w:ascii="Cambria Math" w:hAnsi="Cambria Math" w:cs="Arial"/>
            <w:szCs w:val="20"/>
          </w:rPr>
          <m:t>∈</m:t>
        </m:r>
        <m:r>
          <m:rPr>
            <m:scr m:val="double-struck"/>
          </m:rPr>
          <w:rPr>
            <w:rFonts w:ascii="Cambria Math" w:hAnsi="Cambria Math" w:cs="Arial"/>
            <w:szCs w:val="20"/>
          </w:rPr>
          <m:t>R</m:t>
        </m:r>
      </m:oMath>
      <w:r w:rsidRPr="008F2841">
        <w:rPr>
          <w:rFonts w:cs="Arial"/>
          <w:szCs w:val="20"/>
        </w:rPr>
        <w:t xml:space="preserve"> and transformation parameter </w:t>
      </w:r>
      <m:oMath>
        <m:r>
          <m:rPr>
            <m:sty m:val="p"/>
          </m:rPr>
          <w:rPr>
            <w:rFonts w:ascii="Cambria Math" w:hAnsi="Cambria Math" w:cs="Arial"/>
            <w:szCs w:val="20"/>
          </w:rPr>
          <m:t>λ∈</m:t>
        </m:r>
        <m:r>
          <m:rPr>
            <m:scr m:val="double-struck"/>
          </m:rPr>
          <w:rPr>
            <w:rFonts w:ascii="Cambria Math" w:hAnsi="Cambria Math" w:cs="Arial"/>
            <w:szCs w:val="20"/>
          </w:rPr>
          <m:t>R</m:t>
        </m:r>
      </m:oMath>
      <w:r w:rsidRPr="008F2841">
        <w:rPr>
          <w:rFonts w:cs="Arial"/>
          <w:szCs w:val="20"/>
        </w:rPr>
        <w:t>. Unlike the Box-Cox transformation, it does not require strictly positive inputs, making it directly applicable to z-normalised features which span both positive and negative values.</w:t>
      </w:r>
    </w:p>
    <w:p w14:paraId="05196794" w14:textId="77777777" w:rsidR="008F2841" w:rsidRPr="008F2841" w:rsidRDefault="008F2841" w:rsidP="008F2841">
      <w:pPr>
        <w:spacing w:before="100" w:beforeAutospacing="1" w:after="100" w:afterAutospacing="1"/>
        <w:jc w:val="both"/>
        <w:rPr>
          <w:rFonts w:cs="Arial"/>
          <w:szCs w:val="20"/>
        </w:rPr>
      </w:pPr>
      <w:r w:rsidRPr="008F2841">
        <w:rPr>
          <w:rFonts w:cs="Arial"/>
          <w:szCs w:val="20"/>
        </w:rPr>
        <w:t>The transformation is defined piecewise across four cases:</w:t>
      </w:r>
    </w:p>
    <w:p w14:paraId="3AA75336" w14:textId="58982269" w:rsidR="008F2841" w:rsidRPr="008F2841" w:rsidRDefault="008F2841" w:rsidP="008F2841">
      <w:pPr>
        <w:pStyle w:val="Heading3"/>
        <w:rPr>
          <w:sz w:val="20"/>
        </w:rPr>
      </w:pPr>
      <w:r>
        <w:t xml:space="preserve">A.5.1 </w:t>
      </w:r>
      <w:r w:rsidRPr="008F2841">
        <w:rPr>
          <w:sz w:val="20"/>
        </w:rPr>
        <w:t xml:space="preserve">For </w:t>
      </w:r>
      <m:oMath>
        <m:r>
          <m:rPr>
            <m:sty m:val="bi"/>
          </m:rPr>
          <w:rPr>
            <w:rFonts w:ascii="Cambria Math" w:hAnsi="Cambria Math"/>
          </w:rPr>
          <m:t xml:space="preserve">x </m:t>
        </m:r>
        <m:r>
          <m:rPr>
            <m:sty m:val="b"/>
          </m:rPr>
          <w:rPr>
            <w:rFonts w:ascii="Cambria Math" w:hAnsi="Cambria Math"/>
          </w:rPr>
          <m:t>≥</m:t>
        </m:r>
        <m:r>
          <m:rPr>
            <m:sty m:val="bi"/>
          </m:rPr>
          <w:rPr>
            <w:rFonts w:ascii="Cambria Math" w:hAnsi="Cambria Math"/>
          </w:rPr>
          <m:t>0</m:t>
        </m:r>
      </m:oMath>
      <w:r w:rsidRPr="008F2841">
        <w:rPr>
          <w:sz w:val="20"/>
        </w:rPr>
        <w:t>:</w:t>
      </w:r>
    </w:p>
    <w:p w14:paraId="40300C2B" w14:textId="223BF53D" w:rsidR="008F2841" w:rsidRPr="008F2841" w:rsidRDefault="008F2841" w:rsidP="008F2841">
      <w:pPr>
        <w:spacing w:before="100" w:beforeAutospacing="1" w:after="100" w:afterAutospacing="1"/>
        <w:jc w:val="both"/>
        <w:rPr>
          <w:rFonts w:cs="Arial"/>
          <w:szCs w:val="20"/>
        </w:rPr>
      </w:pPr>
      <m:oMathPara>
        <m:oMathParaPr>
          <m:jc m:val="center"/>
        </m:oMathParaPr>
        <m:oMath>
          <m:r>
            <m:rPr>
              <m:sty m:val="p"/>
            </m:rPr>
            <w:rPr>
              <w:rFonts w:ascii="Cambria Math" w:hAnsi="Cambria Math" w:cs="Arial"/>
              <w:szCs w:val="20"/>
            </w:rPr>
            <m:t>ψ</m:t>
          </m:r>
          <m:r>
            <w:rPr>
              <w:rFonts w:ascii="Cambria Math" w:hAnsi="Cambria Math" w:cs="Arial"/>
              <w:szCs w:val="20"/>
            </w:rPr>
            <m:t xml:space="preserve">(x, </m:t>
          </m:r>
          <m:r>
            <m:rPr>
              <m:sty m:val="p"/>
            </m:rPr>
            <w:rPr>
              <w:rFonts w:ascii="Cambria Math" w:hAnsi="Cambria Math" w:cs="Arial"/>
              <w:szCs w:val="20"/>
            </w:rPr>
            <m:t>λ</m:t>
          </m:r>
          <m:r>
            <w:rPr>
              <w:rFonts w:ascii="Cambria Math" w:hAnsi="Cambria Math" w:cs="Arial"/>
              <w:szCs w:val="20"/>
            </w:rPr>
            <m:t xml:space="preserve">) = </m:t>
          </m:r>
          <m:d>
            <m:dPr>
              <m:begChr m:val="{"/>
              <m:endChr m:val=""/>
              <m:ctrlPr>
                <w:rPr>
                  <w:rFonts w:ascii="Cambria Math" w:hAnsi="Cambria Math" w:cs="Arial"/>
                  <w:i/>
                  <w:szCs w:val="20"/>
                </w:rPr>
              </m:ctrlPr>
            </m:dPr>
            <m:e>
              <m:m>
                <m:mPr>
                  <m:mcs>
                    <m:mc>
                      <m:mcPr>
                        <m:count m:val="1"/>
                        <m:mcJc m:val="center"/>
                      </m:mcPr>
                    </m:mc>
                  </m:mcs>
                  <m:ctrlPr>
                    <w:rPr>
                      <w:rFonts w:ascii="Cambria Math" w:hAnsi="Cambria Math" w:cs="Arial"/>
                      <w:i/>
                      <w:szCs w:val="20"/>
                    </w:rPr>
                  </m:ctrlPr>
                </m:mPr>
                <m:mr>
                  <m:e>
                    <m:f>
                      <m:fPr>
                        <m:ctrlPr>
                          <w:rPr>
                            <w:rFonts w:ascii="Cambria Math" w:hAnsi="Cambria Math" w:cs="Arial"/>
                            <w:i/>
                            <w:szCs w:val="20"/>
                          </w:rPr>
                        </m:ctrlPr>
                      </m:fPr>
                      <m:num>
                        <m:sSup>
                          <m:sSupPr>
                            <m:ctrlPr>
                              <w:rPr>
                                <w:rFonts w:ascii="Cambria Math" w:hAnsi="Cambria Math" w:cs="Arial"/>
                                <w:i/>
                                <w:szCs w:val="20"/>
                              </w:rPr>
                            </m:ctrlPr>
                          </m:sSupPr>
                          <m:e>
                            <m:r>
                              <w:rPr>
                                <w:rFonts w:ascii="Cambria Math" w:hAnsi="Cambria Math" w:cs="Arial"/>
                                <w:szCs w:val="20"/>
                              </w:rPr>
                              <m:t>(x + 1)</m:t>
                            </m:r>
                          </m:e>
                          <m:sup>
                            <m:r>
                              <w:rPr>
                                <w:rFonts w:ascii="Cambria Math" w:hAnsi="Cambria Math" w:cs="Arial"/>
                                <w:szCs w:val="20"/>
                              </w:rPr>
                              <m:t>λ</m:t>
                            </m:r>
                          </m:sup>
                        </m:sSup>
                        <m:r>
                          <w:rPr>
                            <w:rFonts w:ascii="Cambria Math" w:hAnsi="Cambria Math" w:cs="Arial"/>
                            <w:szCs w:val="20"/>
                          </w:rPr>
                          <m:t>- 1</m:t>
                        </m:r>
                      </m:num>
                      <m:den>
                        <m:r>
                          <w:rPr>
                            <w:rFonts w:ascii="Cambria Math" w:hAnsi="Cambria Math" w:cs="Arial"/>
                            <w:szCs w:val="20"/>
                          </w:rPr>
                          <m:t>λ</m:t>
                        </m:r>
                      </m:den>
                    </m:f>
                    <m:r>
                      <w:rPr>
                        <w:rFonts w:ascii="Cambria Math" w:hAnsi="Cambria Math" w:cs="Arial"/>
                        <w:szCs w:val="20"/>
                      </w:rPr>
                      <m:t xml:space="preserve"> λ</m:t>
                    </m:r>
                    <m:r>
                      <m:rPr>
                        <m:sty m:val="p"/>
                      </m:rPr>
                      <w:rPr>
                        <w:rFonts w:ascii="Cambria Math" w:hAnsi="Cambria Math" w:cs="Arial"/>
                        <w:szCs w:val="20"/>
                      </w:rPr>
                      <m:t>≠</m:t>
                    </m:r>
                    <m:r>
                      <w:rPr>
                        <w:rFonts w:ascii="Cambria Math" w:hAnsi="Cambria Math" w:cs="Arial"/>
                        <w:szCs w:val="20"/>
                      </w:rPr>
                      <m:t>0</m:t>
                    </m:r>
                  </m:e>
                </m:mr>
                <m:mr>
                  <m:e>
                    <m:r>
                      <m:rPr>
                        <m:sty m:val="p"/>
                      </m:rPr>
                      <w:rPr>
                        <w:rFonts w:ascii="Cambria Math" w:hAnsi="Cambria Math" w:cs="Arial"/>
                        <w:szCs w:val="20"/>
                      </w:rPr>
                      <m:t>ln⁡</m:t>
                    </m:r>
                    <m:r>
                      <w:rPr>
                        <w:rFonts w:ascii="Cambria Math" w:hAnsi="Cambria Math" w:cs="Arial"/>
                        <w:szCs w:val="20"/>
                      </w:rPr>
                      <m:t>(x + 1)       λ= 0</m:t>
                    </m:r>
                  </m:e>
                </m:mr>
              </m:m>
              <m:r>
                <w:rPr>
                  <w:rFonts w:ascii="Cambria Math" w:hAnsi="Cambria Math" w:cs="Arial"/>
                  <w:szCs w:val="20"/>
                </w:rPr>
                <m:t xml:space="preserve">  </m:t>
              </m:r>
            </m:e>
          </m:d>
        </m:oMath>
      </m:oMathPara>
    </w:p>
    <w:p w14:paraId="0E4FA763" w14:textId="07687BB4" w:rsidR="008F2841" w:rsidRPr="008F2841" w:rsidRDefault="008F2841" w:rsidP="008F2841">
      <w:pPr>
        <w:pStyle w:val="Heading3"/>
        <w:rPr>
          <w:sz w:val="20"/>
        </w:rPr>
      </w:pPr>
      <w:r>
        <w:t xml:space="preserve">A.5.2 </w:t>
      </w:r>
      <w:r w:rsidRPr="008F2841">
        <w:rPr>
          <w:sz w:val="20"/>
        </w:rPr>
        <w:t xml:space="preserve">For </w:t>
      </w:r>
      <m:oMath>
        <m:r>
          <m:rPr>
            <m:sty m:val="bi"/>
          </m:rPr>
          <w:rPr>
            <w:rFonts w:ascii="Cambria Math" w:hAnsi="Cambria Math"/>
          </w:rPr>
          <m:t>x &lt; 0</m:t>
        </m:r>
      </m:oMath>
      <w:r w:rsidRPr="008F2841">
        <w:rPr>
          <w:sz w:val="20"/>
        </w:rPr>
        <w:t>:</w:t>
      </w:r>
    </w:p>
    <w:p w14:paraId="4153701C" w14:textId="7834677B" w:rsidR="008F2841" w:rsidRPr="008F2841" w:rsidRDefault="008F2841" w:rsidP="008F2841">
      <w:pPr>
        <w:spacing w:before="100" w:beforeAutospacing="1" w:after="100" w:afterAutospacing="1"/>
        <w:jc w:val="both"/>
        <w:rPr>
          <w:rFonts w:cs="Arial"/>
          <w:szCs w:val="20"/>
        </w:rPr>
      </w:pPr>
      <m:oMathPara>
        <m:oMathParaPr>
          <m:jc m:val="center"/>
        </m:oMathParaPr>
        <m:oMath>
          <m:r>
            <w:rPr>
              <w:rFonts w:ascii="Cambria Math" w:hAnsi="Cambria Math" w:cs="Arial"/>
              <w:szCs w:val="20"/>
            </w:rPr>
            <m:t xml:space="preserve">ψ(x, λ) = </m:t>
          </m:r>
          <m:d>
            <m:dPr>
              <m:begChr m:val="{"/>
              <m:endChr m:val=""/>
              <m:ctrlPr>
                <w:rPr>
                  <w:rFonts w:ascii="Cambria Math" w:hAnsi="Cambria Math" w:cs="Arial"/>
                  <w:i/>
                  <w:szCs w:val="20"/>
                </w:rPr>
              </m:ctrlPr>
            </m:dPr>
            <m:e>
              <m:m>
                <m:mPr>
                  <m:mcs>
                    <m:mc>
                      <m:mcPr>
                        <m:count m:val="1"/>
                        <m:mcJc m:val="center"/>
                      </m:mcPr>
                    </m:mc>
                  </m:mcs>
                  <m:ctrlPr>
                    <w:rPr>
                      <w:rFonts w:ascii="Cambria Math" w:hAnsi="Cambria Math" w:cs="Arial"/>
                      <w:i/>
                      <w:szCs w:val="20"/>
                    </w:rPr>
                  </m:ctrlPr>
                </m:mPr>
                <m:mr>
                  <m:e>
                    <m:f>
                      <m:fPr>
                        <m:ctrlPr>
                          <w:rPr>
                            <w:rFonts w:ascii="Cambria Math" w:hAnsi="Cambria Math" w:cs="Arial"/>
                            <w:i/>
                            <w:szCs w:val="20"/>
                          </w:rPr>
                        </m:ctrlPr>
                      </m:fPr>
                      <m:num>
                        <m:sSup>
                          <m:sSupPr>
                            <m:ctrlPr>
                              <w:rPr>
                                <w:rFonts w:ascii="Cambria Math" w:hAnsi="Cambria Math" w:cs="Arial"/>
                                <w:i/>
                                <w:szCs w:val="20"/>
                              </w:rPr>
                            </m:ctrlPr>
                          </m:sSupPr>
                          <m:e>
                            <m:r>
                              <w:rPr>
                                <w:rFonts w:ascii="Cambria Math" w:hAnsi="Cambria Math" w:cs="Arial"/>
                                <w:szCs w:val="20"/>
                              </w:rPr>
                              <m:t>(-x + 1)</m:t>
                            </m:r>
                          </m:e>
                          <m:sup>
                            <m:r>
                              <w:rPr>
                                <w:rFonts w:ascii="Cambria Math" w:hAnsi="Cambria Math" w:cs="Arial"/>
                                <w:szCs w:val="20"/>
                              </w:rPr>
                              <m:t>2-λ</m:t>
                            </m:r>
                          </m:sup>
                        </m:sSup>
                        <m:r>
                          <w:rPr>
                            <w:rFonts w:ascii="Cambria Math" w:hAnsi="Cambria Math" w:cs="Arial"/>
                            <w:szCs w:val="20"/>
                          </w:rPr>
                          <m:t>- 1</m:t>
                        </m:r>
                      </m:num>
                      <m:den>
                        <m:r>
                          <w:rPr>
                            <w:rFonts w:ascii="Cambria Math" w:hAnsi="Cambria Math" w:cs="Arial"/>
                            <w:szCs w:val="20"/>
                          </w:rPr>
                          <m:t>2-λ</m:t>
                        </m:r>
                      </m:den>
                    </m:f>
                    <m:r>
                      <w:rPr>
                        <w:rFonts w:ascii="Cambria Math" w:hAnsi="Cambria Math" w:cs="Arial"/>
                        <w:szCs w:val="20"/>
                      </w:rPr>
                      <m:t xml:space="preserve"> λ</m:t>
                    </m:r>
                    <m:r>
                      <m:rPr>
                        <m:sty m:val="p"/>
                      </m:rPr>
                      <w:rPr>
                        <w:rFonts w:ascii="Cambria Math" w:hAnsi="Cambria Math" w:cs="Arial"/>
                        <w:szCs w:val="20"/>
                      </w:rPr>
                      <m:t>≠2</m:t>
                    </m:r>
                  </m:e>
                </m:mr>
                <m:mr>
                  <m:e>
                    <m:r>
                      <m:rPr>
                        <m:sty m:val="p"/>
                      </m:rPr>
                      <w:rPr>
                        <w:rFonts w:ascii="Cambria Math" w:hAnsi="Cambria Math" w:cs="Arial"/>
                        <w:szCs w:val="20"/>
                      </w:rPr>
                      <m:t>-ln⁡</m:t>
                    </m:r>
                    <m:r>
                      <w:rPr>
                        <w:rFonts w:ascii="Cambria Math" w:hAnsi="Cambria Math" w:cs="Arial"/>
                        <w:szCs w:val="20"/>
                      </w:rPr>
                      <m:t>(-x + 1)       λ= 2</m:t>
                    </m:r>
                  </m:e>
                </m:mr>
              </m:m>
              <m:r>
                <w:rPr>
                  <w:rFonts w:ascii="Cambria Math" w:hAnsi="Cambria Math" w:cs="Arial"/>
                  <w:szCs w:val="20"/>
                </w:rPr>
                <m:t xml:space="preserve">  </m:t>
              </m:r>
            </m:e>
          </m:d>
        </m:oMath>
      </m:oMathPara>
    </w:p>
    <w:p w14:paraId="4AA12CF0" w14:textId="77777777" w:rsidR="008F2841" w:rsidRPr="008F2841" w:rsidRDefault="008F2841" w:rsidP="008F2841">
      <w:pPr>
        <w:spacing w:before="100" w:beforeAutospacing="1" w:after="100" w:afterAutospacing="1"/>
        <w:jc w:val="both"/>
        <w:rPr>
          <w:rFonts w:cs="Arial"/>
          <w:szCs w:val="20"/>
        </w:rPr>
      </w:pPr>
    </w:p>
    <w:p w14:paraId="31C4BCA2" w14:textId="47E7A749" w:rsidR="008F2841" w:rsidRPr="008F2841" w:rsidRDefault="008F2841" w:rsidP="008F2841">
      <w:pPr>
        <w:spacing w:before="100" w:beforeAutospacing="1" w:after="100" w:afterAutospacing="1"/>
        <w:jc w:val="both"/>
        <w:rPr>
          <w:rFonts w:cs="Arial"/>
          <w:szCs w:val="20"/>
        </w:rPr>
      </w:pPr>
      <w:r w:rsidRPr="008F2841">
        <w:rPr>
          <w:rFonts w:cs="Arial"/>
          <w:szCs w:val="20"/>
        </w:rPr>
        <w:t xml:space="preserve">The optimal </w:t>
      </w:r>
      <m:oMath>
        <m:r>
          <m:rPr>
            <m:sty m:val="p"/>
          </m:rPr>
          <w:rPr>
            <w:rFonts w:ascii="Cambria Math" w:hAnsi="Cambria Math" w:cs="Arial"/>
            <w:szCs w:val="20"/>
          </w:rPr>
          <m:t>λ</m:t>
        </m:r>
      </m:oMath>
      <w:r w:rsidRPr="008F2841">
        <w:rPr>
          <w:rFonts w:cs="Arial"/>
          <w:szCs w:val="20"/>
        </w:rPr>
        <w:t xml:space="preserve"> is estimated by maximum likelihood. Given </w:t>
      </w:r>
      <m:oMath>
        <m:r>
          <w:rPr>
            <w:rFonts w:ascii="Cambria Math" w:hAnsi="Cambria Math" w:cs="Arial"/>
            <w:szCs w:val="20"/>
          </w:rPr>
          <m:t>n</m:t>
        </m:r>
      </m:oMath>
      <w:r w:rsidRPr="008F2841">
        <w:rPr>
          <w:rFonts w:cs="Arial"/>
          <w:szCs w:val="20"/>
        </w:rPr>
        <w:t xml:space="preserve"> observations </w:t>
      </w:r>
      <m:oMath>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1</m:t>
            </m:r>
          </m:sub>
        </m:sSub>
        <m:r>
          <w:rPr>
            <w:rFonts w:ascii="Cambria Math" w:hAnsi="Cambria Math" w:cs="Arial"/>
            <w:szCs w:val="20"/>
          </w:rPr>
          <m:t>,</m:t>
        </m:r>
        <m:r>
          <m:rPr>
            <m:sty m:val="p"/>
          </m:rPr>
          <w:rPr>
            <w:rFonts w:ascii="Cambria Math" w:hAnsi="Cambria Math" w:cs="Arial"/>
            <w:szCs w:val="20"/>
          </w:rPr>
          <m:t>…</m:t>
        </m:r>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n</m:t>
            </m:r>
          </m:sub>
        </m:sSub>
      </m:oMath>
      <w:r w:rsidRPr="008F2841">
        <w:rPr>
          <w:rFonts w:cs="Arial"/>
          <w:szCs w:val="20"/>
        </w:rPr>
        <w:t>, the log-likelihood is:</w:t>
      </w:r>
    </w:p>
    <w:p w14:paraId="638560B3" w14:textId="1655B596" w:rsidR="008F2841" w:rsidRPr="008F2841" w:rsidRDefault="008F2841" w:rsidP="008F2841">
      <w:pPr>
        <w:spacing w:before="100" w:beforeAutospacing="1" w:after="100" w:afterAutospacing="1"/>
        <w:jc w:val="both"/>
        <w:rPr>
          <w:rFonts w:cs="Arial"/>
          <w:szCs w:val="20"/>
        </w:rPr>
      </w:pPr>
      <m:oMathPara>
        <m:oMath>
          <m:r>
            <m:rPr>
              <m:sty m:val="p"/>
            </m:rPr>
            <w:rPr>
              <w:rFonts w:ascii="Cambria Math" w:hAnsi="Cambria Math" w:cs="Arial"/>
              <w:szCs w:val="20"/>
            </w:rPr>
            <m:t>l</m:t>
          </m:r>
          <m:d>
            <m:dPr>
              <m:ctrlPr>
                <w:rPr>
                  <w:rFonts w:ascii="Cambria Math" w:hAnsi="Cambria Math" w:cs="Arial"/>
                  <w:i/>
                  <w:szCs w:val="20"/>
                </w:rPr>
              </m:ctrlPr>
            </m:dPr>
            <m:e>
              <m:r>
                <m:rPr>
                  <m:sty m:val="p"/>
                </m:rPr>
                <w:rPr>
                  <w:rFonts w:ascii="Cambria Math" w:hAnsi="Cambria Math" w:cs="Arial"/>
                  <w:szCs w:val="20"/>
                </w:rPr>
                <m:t>λ</m:t>
              </m:r>
            </m:e>
          </m:d>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n</m:t>
              </m:r>
              <m:ctrlPr>
                <w:rPr>
                  <w:rFonts w:ascii="Cambria Math" w:hAnsi="Cambria Math" w:cs="Arial"/>
                  <w:i/>
                  <w:szCs w:val="20"/>
                </w:rPr>
              </m:ctrlPr>
            </m:num>
            <m:den>
              <m:r>
                <w:rPr>
                  <w:rFonts w:ascii="Cambria Math" w:hAnsi="Cambria Math" w:cs="Arial"/>
                  <w:szCs w:val="20"/>
                </w:rPr>
                <m:t>2</m:t>
              </m:r>
              <m:ctrlPr>
                <w:rPr>
                  <w:rFonts w:ascii="Cambria Math" w:hAnsi="Cambria Math" w:cs="Arial"/>
                  <w:i/>
                  <w:szCs w:val="20"/>
                </w:rPr>
              </m:ctrlPr>
            </m:den>
          </m:f>
          <m:func>
            <m:funcPr>
              <m:ctrlPr>
                <w:rPr>
                  <w:rFonts w:ascii="Cambria Math" w:hAnsi="Cambria Math" w:cs="Arial"/>
                  <w:szCs w:val="20"/>
                </w:rPr>
              </m:ctrlPr>
            </m:funcPr>
            <m:fName>
              <m:r>
                <m:rPr>
                  <m:sty m:val="p"/>
                </m:rPr>
                <w:rPr>
                  <w:rFonts w:ascii="Cambria Math" w:hAnsi="Cambria Math" w:cs="Arial"/>
                  <w:szCs w:val="20"/>
                </w:rPr>
                <m:t>ln</m:t>
              </m:r>
              <m:ctrlPr>
                <w:rPr>
                  <w:rFonts w:ascii="Cambria Math" w:hAnsi="Cambria Math" w:cs="Arial"/>
                  <w:i/>
                  <w:szCs w:val="20"/>
                </w:rPr>
              </m:ctrlPr>
            </m:fName>
            <m:e>
              <m:sSup>
                <m:sSupPr>
                  <m:ctrlPr>
                    <w:rPr>
                      <w:rFonts w:ascii="Cambria Math" w:hAnsi="Cambria Math" w:cs="Arial"/>
                      <w:szCs w:val="20"/>
                    </w:rPr>
                  </m:ctrlPr>
                </m:sSupPr>
                <m:e>
                  <m:acc>
                    <m:accPr>
                      <m:ctrlPr>
                        <w:rPr>
                          <w:rFonts w:ascii="Cambria Math" w:hAnsi="Cambria Math" w:cs="Arial"/>
                          <w:szCs w:val="20"/>
                        </w:rPr>
                      </m:ctrlPr>
                    </m:accPr>
                    <m:e>
                      <m:r>
                        <w:rPr>
                          <w:rFonts w:ascii="Cambria Math" w:hAnsi="Cambria Math" w:cs="Arial"/>
                          <w:szCs w:val="20"/>
                        </w:rPr>
                        <m:t>σ</m:t>
                      </m:r>
                    </m:e>
                  </m:acc>
                </m:e>
                <m:sup>
                  <m:r>
                    <w:rPr>
                      <w:rFonts w:ascii="Cambria Math" w:hAnsi="Cambria Math" w:cs="Arial"/>
                      <w:szCs w:val="20"/>
                    </w:rPr>
                    <m:t>2</m:t>
                  </m:r>
                </m:sup>
              </m:sSup>
              <m:d>
                <m:dPr>
                  <m:ctrlPr>
                    <w:rPr>
                      <w:rFonts w:ascii="Cambria Math" w:hAnsi="Cambria Math" w:cs="Arial"/>
                      <w:i/>
                      <w:szCs w:val="20"/>
                    </w:rPr>
                  </m:ctrlPr>
                </m:dPr>
                <m:e>
                  <m:r>
                    <m:rPr>
                      <m:sty m:val="p"/>
                    </m:rPr>
                    <w:rPr>
                      <w:rFonts w:ascii="Cambria Math" w:hAnsi="Cambria Math" w:cs="Arial"/>
                      <w:szCs w:val="20"/>
                    </w:rPr>
                    <m:t>λ</m:t>
                  </m:r>
                </m:e>
              </m:d>
            </m:e>
          </m:func>
          <m:r>
            <w:rPr>
              <w:rFonts w:ascii="Cambria Math" w:hAnsi="Cambria Math" w:cs="Arial"/>
              <w:szCs w:val="20"/>
            </w:rPr>
            <m:t>+</m:t>
          </m:r>
          <m:d>
            <m:dPr>
              <m:ctrlPr>
                <w:rPr>
                  <w:rFonts w:ascii="Cambria Math" w:hAnsi="Cambria Math" w:cs="Arial"/>
                  <w:i/>
                  <w:szCs w:val="20"/>
                </w:rPr>
              </m:ctrlPr>
            </m:dPr>
            <m:e>
              <m:r>
                <m:rPr>
                  <m:sty m:val="p"/>
                </m:rPr>
                <w:rPr>
                  <w:rFonts w:ascii="Cambria Math" w:hAnsi="Cambria Math" w:cs="Arial"/>
                  <w:szCs w:val="20"/>
                </w:rPr>
                <m:t>λ</m:t>
              </m:r>
              <m:r>
                <w:rPr>
                  <w:rFonts w:ascii="Cambria Math" w:hAnsi="Cambria Math" w:cs="Arial"/>
                  <w:szCs w:val="20"/>
                </w:rPr>
                <m:t>-1</m:t>
              </m:r>
            </m:e>
          </m:d>
          <m:nary>
            <m:naryPr>
              <m:chr m:val="∑"/>
              <m:ctrlPr>
                <w:rPr>
                  <w:rFonts w:ascii="Cambria Math" w:hAnsi="Cambria Math" w:cs="Arial"/>
                  <w:szCs w:val="20"/>
                </w:rPr>
              </m:ctrlPr>
            </m:naryPr>
            <m:sub>
              <m:r>
                <w:rPr>
                  <w:rFonts w:ascii="Cambria Math" w:hAnsi="Cambria Math" w:cs="Arial"/>
                  <w:szCs w:val="20"/>
                </w:rPr>
                <m:t>i=1</m:t>
              </m:r>
              <m:ctrlPr>
                <w:rPr>
                  <w:rFonts w:ascii="Cambria Math" w:hAnsi="Cambria Math" w:cs="Arial"/>
                  <w:i/>
                  <w:szCs w:val="20"/>
                </w:rPr>
              </m:ctrlPr>
            </m:sub>
            <m:sup>
              <m:r>
                <w:rPr>
                  <w:rFonts w:ascii="Cambria Math" w:hAnsi="Cambria Math" w:cs="Arial"/>
                  <w:szCs w:val="20"/>
                </w:rPr>
                <m:t>n</m:t>
              </m:r>
              <m:ctrlPr>
                <w:rPr>
                  <w:rFonts w:ascii="Cambria Math" w:hAnsi="Cambria Math" w:cs="Arial"/>
                  <w:i/>
                  <w:szCs w:val="20"/>
                </w:rPr>
              </m:ctrlPr>
            </m:sup>
            <m:e>
              <m:r>
                <m:rPr>
                  <m:nor/>
                </m:rPr>
                <w:rPr>
                  <w:rFonts w:ascii="Cambria Math" w:hAnsi="Cambria Math" w:cs="Arial"/>
                  <w:szCs w:val="20"/>
                </w:rPr>
                <m:t>sgn</m:t>
              </m:r>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i</m:t>
                      </m:r>
                    </m:sub>
                  </m:sSub>
                </m:e>
              </m:d>
              <m:ctrlPr>
                <w:rPr>
                  <w:rFonts w:ascii="Cambria Math" w:hAnsi="Cambria Math" w:cs="Arial"/>
                  <w:i/>
                  <w:szCs w:val="20"/>
                </w:rPr>
              </m:ctrlPr>
            </m:e>
          </m:nary>
          <m:func>
            <m:funcPr>
              <m:ctrlPr>
                <w:rPr>
                  <w:rFonts w:ascii="Cambria Math" w:hAnsi="Cambria Math" w:cs="Arial"/>
                  <w:szCs w:val="20"/>
                </w:rPr>
              </m:ctrlPr>
            </m:funcPr>
            <m:fName>
              <m:r>
                <m:rPr>
                  <m:sty m:val="p"/>
                </m:rPr>
                <w:rPr>
                  <w:rFonts w:ascii="Cambria Math" w:hAnsi="Cambria Math" w:cs="Arial"/>
                  <w:szCs w:val="20"/>
                </w:rPr>
                <m:t>ln</m:t>
              </m:r>
            </m:fName>
            <m:e>
              <m:d>
                <m:dPr>
                  <m:ctrlPr>
                    <w:rPr>
                      <w:rFonts w:ascii="Cambria Math" w:hAnsi="Cambria Math" w:cs="Arial"/>
                      <w:i/>
                      <w:szCs w:val="20"/>
                    </w:rPr>
                  </m:ctrlPr>
                </m:dPr>
                <m:e>
                  <m:d>
                    <m:dPr>
                      <m:begChr m:val="|"/>
                      <m:endChr m:val="|"/>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i</m:t>
                          </m:r>
                        </m:sub>
                      </m:sSub>
                    </m:e>
                  </m:d>
                  <m:r>
                    <w:rPr>
                      <w:rFonts w:ascii="Cambria Math" w:hAnsi="Cambria Math" w:cs="Arial"/>
                      <w:szCs w:val="20"/>
                    </w:rPr>
                    <m:t>+1</m:t>
                  </m:r>
                </m:e>
              </m:d>
            </m:e>
          </m:func>
        </m:oMath>
      </m:oMathPara>
    </w:p>
    <w:p w14:paraId="0EDBA8AB" w14:textId="62085031" w:rsidR="008F2841" w:rsidRPr="008F2841" w:rsidRDefault="008F2841" w:rsidP="008F2841">
      <w:pPr>
        <w:spacing w:before="100" w:beforeAutospacing="1" w:after="100" w:afterAutospacing="1"/>
        <w:jc w:val="both"/>
        <w:rPr>
          <w:rFonts w:cs="Arial"/>
          <w:szCs w:val="20"/>
        </w:rPr>
      </w:pPr>
      <w:r w:rsidRPr="008F2841">
        <w:rPr>
          <w:rFonts w:cs="Arial"/>
          <w:szCs w:val="20"/>
        </w:rPr>
        <w:t xml:space="preserve">where </w:t>
      </w:r>
      <m:oMath>
        <m:sSup>
          <m:sSupPr>
            <m:ctrlPr>
              <w:rPr>
                <w:rFonts w:ascii="Cambria Math" w:hAnsi="Cambria Math" w:cs="Arial"/>
                <w:szCs w:val="20"/>
              </w:rPr>
            </m:ctrlPr>
          </m:sSupPr>
          <m:e>
            <m:acc>
              <m:accPr>
                <m:ctrlPr>
                  <w:rPr>
                    <w:rFonts w:ascii="Cambria Math" w:hAnsi="Cambria Math" w:cs="Arial"/>
                    <w:szCs w:val="20"/>
                  </w:rPr>
                </m:ctrlPr>
              </m:accPr>
              <m:e>
                <m:r>
                  <w:rPr>
                    <w:rFonts w:ascii="Cambria Math" w:hAnsi="Cambria Math" w:cs="Arial"/>
                    <w:szCs w:val="20"/>
                  </w:rPr>
                  <m:t>σ</m:t>
                </m:r>
              </m:e>
            </m:acc>
          </m:e>
          <m:sup>
            <m:r>
              <w:rPr>
                <w:rFonts w:ascii="Cambria Math" w:hAnsi="Cambria Math" w:cs="Arial"/>
                <w:szCs w:val="20"/>
              </w:rPr>
              <m:t>2</m:t>
            </m:r>
          </m:sup>
        </m:sSup>
        <m:d>
          <m:dPr>
            <m:ctrlPr>
              <w:rPr>
                <w:rFonts w:ascii="Cambria Math" w:hAnsi="Cambria Math" w:cs="Arial"/>
                <w:i/>
                <w:szCs w:val="20"/>
              </w:rPr>
            </m:ctrlPr>
          </m:dPr>
          <m:e>
            <m:r>
              <w:rPr>
                <w:rFonts w:ascii="Cambria Math" w:hAnsi="Cambria Math" w:cs="Arial"/>
                <w:szCs w:val="20"/>
              </w:rPr>
              <m:t>λ</m:t>
            </m:r>
          </m:e>
        </m:d>
      </m:oMath>
      <w:r w:rsidRPr="008F2841">
        <w:rPr>
          <w:rFonts w:cs="Arial"/>
          <w:szCs w:val="20"/>
        </w:rPr>
        <w:t xml:space="preserve"> is the sample variance of the transformed values </w:t>
      </w:r>
      <m:oMath>
        <m:r>
          <m:rPr>
            <m:sty m:val="p"/>
          </m:rPr>
          <w:rPr>
            <w:rFonts w:ascii="Cambria Math" w:hAnsi="Cambria Math" w:cs="Arial"/>
            <w:szCs w:val="20"/>
          </w:rPr>
          <m:t>ψ</m:t>
        </m:r>
        <m:d>
          <m:dPr>
            <m:ctrlPr>
              <w:rPr>
                <w:rFonts w:ascii="Cambria Math" w:hAnsi="Cambria Math" w:cs="Arial"/>
                <w:i/>
                <w:szCs w:val="20"/>
              </w:rPr>
            </m:ctrlPr>
          </m:dPr>
          <m:e>
            <m:sSub>
              <m:sSubPr>
                <m:ctrlPr>
                  <w:rPr>
                    <w:rFonts w:ascii="Cambria Math" w:hAnsi="Cambria Math" w:cs="Arial"/>
                    <w:i/>
                    <w:szCs w:val="20"/>
                  </w:rPr>
                </m:ctrlPr>
              </m:sSubPr>
              <m:e>
                <m:r>
                  <w:rPr>
                    <w:rFonts w:ascii="Cambria Math" w:hAnsi="Cambria Math" w:cs="Arial"/>
                    <w:szCs w:val="20"/>
                  </w:rPr>
                  <m:t>x</m:t>
                </m:r>
              </m:e>
              <m:sub>
                <m:r>
                  <w:rPr>
                    <w:rFonts w:ascii="Cambria Math" w:hAnsi="Cambria Math" w:cs="Arial"/>
                    <w:szCs w:val="20"/>
                  </w:rPr>
                  <m:t>i</m:t>
                </m:r>
              </m:sub>
            </m:sSub>
            <m:r>
              <w:rPr>
                <w:rFonts w:ascii="Cambria Math" w:hAnsi="Cambria Math" w:cs="Arial"/>
                <w:szCs w:val="20"/>
              </w:rPr>
              <m:t>,</m:t>
            </m:r>
            <m:r>
              <m:rPr>
                <m:sty m:val="p"/>
              </m:rPr>
              <w:rPr>
                <w:rFonts w:ascii="Cambria Math" w:hAnsi="Cambria Math" w:cs="Arial"/>
                <w:szCs w:val="20"/>
              </w:rPr>
              <m:t>λ</m:t>
            </m:r>
          </m:e>
        </m:d>
      </m:oMath>
      <w:r w:rsidRPr="008F2841">
        <w:rPr>
          <w:rFonts w:cs="Arial"/>
          <w:szCs w:val="20"/>
        </w:rPr>
        <w:t xml:space="preserve">. The optimal </w:t>
      </w:r>
      <m:oMath>
        <m:sSup>
          <m:sSupPr>
            <m:ctrlPr>
              <w:rPr>
                <w:rFonts w:ascii="Cambria Math" w:hAnsi="Cambria Math" w:cs="Arial"/>
                <w:i/>
                <w:szCs w:val="20"/>
              </w:rPr>
            </m:ctrlPr>
          </m:sSupPr>
          <m:e>
            <m:r>
              <m:rPr>
                <m:sty m:val="p"/>
              </m:rPr>
              <w:rPr>
                <w:rFonts w:ascii="Cambria Math" w:hAnsi="Cambria Math" w:cs="Arial"/>
                <w:szCs w:val="20"/>
              </w:rPr>
              <m:t>λ</m:t>
            </m:r>
            <m:ctrlPr>
              <w:rPr>
                <w:rFonts w:ascii="Cambria Math" w:hAnsi="Cambria Math" w:cs="Arial"/>
                <w:szCs w:val="20"/>
              </w:rPr>
            </m:ctrlPr>
          </m:e>
          <m:sup>
            <m:r>
              <w:rPr>
                <w:rFonts w:ascii="Cambria Math" w:hAnsi="Cambria Math" w:cs="Arial"/>
                <w:szCs w:val="20"/>
              </w:rPr>
              <m:t>*</m:t>
            </m:r>
          </m:sup>
        </m:sSup>
      </m:oMath>
      <w:r w:rsidRPr="008F2841">
        <w:rPr>
          <w:rFonts w:cs="Arial"/>
          <w:szCs w:val="20"/>
        </w:rPr>
        <w:t xml:space="preserve"> is obtained by maximising </w:t>
      </w:r>
      <m:oMath>
        <m:r>
          <m:rPr>
            <m:sty m:val="p"/>
          </m:rPr>
          <w:rPr>
            <w:rFonts w:ascii="Cambria Math" w:hAnsi="Cambria Math" w:cs="Arial"/>
            <w:szCs w:val="20"/>
          </w:rPr>
          <m:t>l</m:t>
        </m:r>
        <m:d>
          <m:dPr>
            <m:ctrlPr>
              <w:rPr>
                <w:rFonts w:ascii="Cambria Math" w:hAnsi="Cambria Math" w:cs="Arial"/>
                <w:i/>
                <w:szCs w:val="20"/>
              </w:rPr>
            </m:ctrlPr>
          </m:dPr>
          <m:e>
            <m:r>
              <m:rPr>
                <m:sty m:val="p"/>
              </m:rPr>
              <w:rPr>
                <w:rFonts w:ascii="Cambria Math" w:hAnsi="Cambria Math" w:cs="Arial"/>
                <w:szCs w:val="20"/>
              </w:rPr>
              <m:t>λ</m:t>
            </m:r>
          </m:e>
        </m:d>
      </m:oMath>
      <w:r w:rsidRPr="008F2841">
        <w:rPr>
          <w:rFonts w:cs="Arial"/>
          <w:szCs w:val="20"/>
        </w:rPr>
        <w:t xml:space="preserve"> numerically, typically via bounded optimisation over </w:t>
      </w:r>
      <m:oMath>
        <m:r>
          <m:rPr>
            <m:sty m:val="p"/>
          </m:rPr>
          <w:rPr>
            <w:rFonts w:ascii="Cambria Math" w:hAnsi="Cambria Math" w:cs="Arial"/>
            <w:szCs w:val="20"/>
          </w:rPr>
          <m:t>λ∈</m:t>
        </m:r>
        <m:d>
          <m:dPr>
            <m:begChr m:val="["/>
            <m:endChr m:val="]"/>
            <m:ctrlPr>
              <w:rPr>
                <w:rFonts w:ascii="Cambria Math" w:hAnsi="Cambria Math" w:cs="Arial"/>
                <w:i/>
                <w:szCs w:val="20"/>
              </w:rPr>
            </m:ctrlPr>
          </m:dPr>
          <m:e>
            <m:r>
              <w:rPr>
                <w:rFonts w:ascii="Cambria Math" w:hAnsi="Cambria Math" w:cs="Arial"/>
                <w:szCs w:val="20"/>
              </w:rPr>
              <m:t>-5,5</m:t>
            </m:r>
          </m:e>
        </m:d>
      </m:oMath>
      <w:r w:rsidRPr="008F2841">
        <w:rPr>
          <w:rFonts w:cs="Arial"/>
          <w:szCs w:val="20"/>
        </w:rPr>
        <w:t>.</w:t>
      </w:r>
    </w:p>
    <w:p w14:paraId="1BE26258" w14:textId="664820A1" w:rsidR="008F2841" w:rsidRPr="008F2841" w:rsidRDefault="005F3A3A" w:rsidP="005F3A3A">
      <w:pPr>
        <w:pStyle w:val="Heading3"/>
      </w:pPr>
      <w:r>
        <w:t xml:space="preserve">A.5.3 </w:t>
      </w:r>
      <w:r w:rsidR="008F2841" w:rsidRPr="008F2841">
        <w:t>Key properties relevant to FusionCore:</w:t>
      </w:r>
    </w:p>
    <w:p w14:paraId="56E3829D" w14:textId="0082571F" w:rsidR="008F2841" w:rsidRPr="008F2841" w:rsidRDefault="005F3A3A" w:rsidP="008F2841">
      <w:pPr>
        <w:numPr>
          <w:ilvl w:val="0"/>
          <w:numId w:val="12"/>
        </w:numPr>
        <w:spacing w:before="100" w:beforeAutospacing="1" w:after="100" w:afterAutospacing="1"/>
        <w:jc w:val="both"/>
        <w:rPr>
          <w:rFonts w:cs="Arial"/>
          <w:szCs w:val="20"/>
        </w:rPr>
      </w:pPr>
      <m:oMath>
        <m:r>
          <m:rPr>
            <m:sty m:val="p"/>
          </m:rPr>
          <w:rPr>
            <w:rFonts w:ascii="Cambria Math" w:hAnsi="Cambria Math" w:cs="Arial"/>
            <w:szCs w:val="20"/>
          </w:rPr>
          <m:t>λ</m:t>
        </m:r>
        <m:r>
          <w:rPr>
            <w:rFonts w:ascii="Cambria Math" w:hAnsi="Cambria Math" w:cs="Arial"/>
            <w:szCs w:val="20"/>
          </w:rPr>
          <m:t>= 1</m:t>
        </m:r>
      </m:oMath>
      <w:r w:rsidR="008F2841" w:rsidRPr="008F2841">
        <w:rPr>
          <w:rFonts w:cs="Arial"/>
          <w:szCs w:val="20"/>
        </w:rPr>
        <w:t xml:space="preserve"> returns the identity transformation — no change applied</w:t>
      </w:r>
    </w:p>
    <w:p w14:paraId="7116A729" w14:textId="762F8ADC" w:rsidR="008F2841" w:rsidRPr="008F2841" w:rsidRDefault="005F3A3A" w:rsidP="008F2841">
      <w:pPr>
        <w:numPr>
          <w:ilvl w:val="0"/>
          <w:numId w:val="12"/>
        </w:numPr>
        <w:spacing w:before="100" w:beforeAutospacing="1" w:after="100" w:afterAutospacing="1"/>
        <w:jc w:val="both"/>
        <w:rPr>
          <w:rFonts w:cs="Arial"/>
          <w:szCs w:val="20"/>
        </w:rPr>
      </w:pPr>
      <m:oMath>
        <m:r>
          <m:rPr>
            <m:sty m:val="p"/>
          </m:rPr>
          <w:rPr>
            <w:rFonts w:ascii="Cambria Math" w:hAnsi="Cambria Math" w:cs="Arial"/>
            <w:szCs w:val="20"/>
          </w:rPr>
          <m:t>λ</m:t>
        </m:r>
        <m:r>
          <w:rPr>
            <w:rFonts w:ascii="Cambria Math" w:hAnsi="Cambria Math" w:cs="Arial"/>
            <w:szCs w:val="20"/>
          </w:rPr>
          <m:t>&lt; 1</m:t>
        </m:r>
      </m:oMath>
      <w:r w:rsidR="008F2841" w:rsidRPr="008F2841">
        <w:rPr>
          <w:rFonts w:cs="Arial"/>
          <w:szCs w:val="20"/>
        </w:rPr>
        <w:t xml:space="preserve"> compresses large positive values — directly addressing the heavy right tail of CPR and </w:t>
      </w:r>
      <m:oMath>
        <m:sSub>
          <m:sSubPr>
            <m:ctrlPr>
              <w:rPr>
                <w:rFonts w:ascii="Cambria Math" w:hAnsi="Cambria Math" w:cs="Arial"/>
                <w:i/>
                <w:szCs w:val="20"/>
              </w:rPr>
            </m:ctrlPr>
          </m:sSubPr>
          <m:e>
            <m:r>
              <w:rPr>
                <w:rFonts w:ascii="Cambria Math" w:hAnsi="Cambria Math" w:cs="Arial"/>
                <w:szCs w:val="20"/>
              </w:rPr>
              <m:t>E</m:t>
            </m:r>
          </m:e>
          <m:sub>
            <m:r>
              <m:rPr>
                <m:nor/>
              </m:rPr>
              <w:rPr>
                <w:rFonts w:ascii="Cambria Math" w:hAnsi="Cambria Math" w:cs="Arial"/>
                <w:szCs w:val="20"/>
              </w:rPr>
              <m:t>thermal</m:t>
            </m:r>
          </m:sub>
        </m:sSub>
      </m:oMath>
    </w:p>
    <w:p w14:paraId="0D17BFD7" w14:textId="59773BC6" w:rsidR="008F2841" w:rsidRPr="008F2841" w:rsidRDefault="005F3A3A" w:rsidP="008F2841">
      <w:pPr>
        <w:numPr>
          <w:ilvl w:val="0"/>
          <w:numId w:val="12"/>
        </w:numPr>
        <w:spacing w:before="100" w:beforeAutospacing="1" w:after="100" w:afterAutospacing="1"/>
        <w:jc w:val="both"/>
        <w:rPr>
          <w:rFonts w:cs="Arial"/>
          <w:szCs w:val="20"/>
        </w:rPr>
      </w:pPr>
      <m:oMath>
        <m:r>
          <m:rPr>
            <m:sty m:val="p"/>
          </m:rPr>
          <w:rPr>
            <w:rFonts w:ascii="Cambria Math" w:hAnsi="Cambria Math" w:cs="Arial"/>
            <w:szCs w:val="20"/>
          </w:rPr>
          <m:t>λ</m:t>
        </m:r>
        <m:r>
          <w:rPr>
            <w:rFonts w:ascii="Cambria Math" w:hAnsi="Cambria Math" w:cs="Arial"/>
            <w:szCs w:val="20"/>
          </w:rPr>
          <m:t>= 0</m:t>
        </m:r>
      </m:oMath>
      <w:r w:rsidR="008F2841" w:rsidRPr="008F2841">
        <w:rPr>
          <w:rFonts w:cs="Arial"/>
          <w:szCs w:val="20"/>
        </w:rPr>
        <w:t xml:space="preserve"> applies a log-like transformation to positive values</w:t>
      </w:r>
    </w:p>
    <w:p w14:paraId="63275CD1" w14:textId="161326E0" w:rsidR="008F2841" w:rsidRPr="008F2841" w:rsidRDefault="008F2841" w:rsidP="008F2841">
      <w:pPr>
        <w:numPr>
          <w:ilvl w:val="0"/>
          <w:numId w:val="12"/>
        </w:numPr>
        <w:spacing w:before="100" w:beforeAutospacing="1" w:after="100" w:afterAutospacing="1"/>
        <w:jc w:val="both"/>
        <w:rPr>
          <w:rFonts w:cs="Arial"/>
          <w:szCs w:val="20"/>
        </w:rPr>
      </w:pPr>
      <w:r w:rsidRPr="008F2841">
        <w:rPr>
          <w:rFonts w:cs="Arial"/>
          <w:szCs w:val="20"/>
        </w:rPr>
        <w:t xml:space="preserve">The transformation is continuous and monotone for all </w:t>
      </w:r>
      <m:oMath>
        <m:r>
          <m:rPr>
            <m:sty m:val="p"/>
          </m:rPr>
          <w:rPr>
            <w:rFonts w:ascii="Cambria Math" w:hAnsi="Cambria Math" w:cs="Arial"/>
            <w:szCs w:val="20"/>
          </w:rPr>
          <m:t>λ</m:t>
        </m:r>
      </m:oMath>
      <w:r w:rsidRPr="008F2841">
        <w:rPr>
          <w:rFonts w:cs="Arial"/>
          <w:szCs w:val="20"/>
        </w:rPr>
        <w:t>, preserving the rank ordering of observations and therefore not affecting XGBoost tree splits — consistent with the observation in section 8.1 that XGBoost is invariant to monotone transformations</w:t>
      </w:r>
    </w:p>
    <w:p w14:paraId="6BF2403F" w14:textId="6089BE03" w:rsidR="007E58CE" w:rsidRDefault="008F2841" w:rsidP="008F2841">
      <w:pPr>
        <w:numPr>
          <w:ilvl w:val="0"/>
          <w:numId w:val="12"/>
        </w:numPr>
        <w:spacing w:before="100" w:beforeAutospacing="1" w:after="100" w:afterAutospacing="1"/>
        <w:jc w:val="both"/>
        <w:rPr>
          <w:rFonts w:cs="Arial"/>
          <w:szCs w:val="20"/>
        </w:rPr>
      </w:pPr>
      <w:r w:rsidRPr="008F2841">
        <w:rPr>
          <w:rFonts w:cs="Arial"/>
          <w:szCs w:val="20"/>
        </w:rPr>
        <w:t xml:space="preserve">For neural network architectures in Phase </w:t>
      </w:r>
      <w:r w:rsidR="005F3A3A">
        <w:rPr>
          <w:rFonts w:cs="Arial"/>
          <w:szCs w:val="20"/>
        </w:rPr>
        <w:t>4</w:t>
      </w:r>
      <w:r w:rsidRPr="008F2841">
        <w:rPr>
          <w:rFonts w:cs="Arial"/>
          <w:szCs w:val="20"/>
        </w:rPr>
        <w:t xml:space="preserve">, the transformation reduces the extreme kurtosis of CPR (41.20) and </w:t>
      </w:r>
      <m:oMath>
        <m:sSub>
          <m:sSubPr>
            <m:ctrlPr>
              <w:rPr>
                <w:rFonts w:ascii="Cambria Math" w:hAnsi="Cambria Math" w:cs="Arial"/>
                <w:i/>
                <w:szCs w:val="20"/>
              </w:rPr>
            </m:ctrlPr>
          </m:sSubPr>
          <m:e>
            <m:r>
              <w:rPr>
                <w:rFonts w:ascii="Cambria Math" w:hAnsi="Cambria Math" w:cs="Arial"/>
                <w:szCs w:val="20"/>
              </w:rPr>
              <m:t>E</m:t>
            </m:r>
          </m:e>
          <m:sub>
            <m:r>
              <m:rPr>
                <m:nor/>
              </m:rPr>
              <w:rPr>
                <w:rFonts w:ascii="Cambria Math" w:hAnsi="Cambria Math" w:cs="Arial"/>
                <w:szCs w:val="20"/>
              </w:rPr>
              <m:t>thermal</m:t>
            </m:r>
          </m:sub>
        </m:sSub>
      </m:oMath>
      <w:r w:rsidRPr="008F2841">
        <w:rPr>
          <w:rFonts w:cs="Arial"/>
          <w:szCs w:val="20"/>
        </w:rPr>
        <w:t xml:space="preserve"> (171.82) towards a near-Gaussian distribution, stabilising gradient descent by preventing the activation functions from saturating on extreme input values</w:t>
      </w:r>
    </w:p>
    <w:p w14:paraId="7E6C443F" w14:textId="1A832E3C" w:rsidR="002F2B03" w:rsidRDefault="002F2B03">
      <w:pPr>
        <w:rPr>
          <w:rFonts w:cs="Arial"/>
          <w:szCs w:val="20"/>
        </w:rPr>
      </w:pPr>
      <w:r>
        <w:rPr>
          <w:rFonts w:cs="Arial"/>
          <w:szCs w:val="20"/>
        </w:rPr>
        <w:br w:type="page"/>
      </w:r>
    </w:p>
    <w:p w14:paraId="25E8FD77" w14:textId="77777777" w:rsidR="002F2B03" w:rsidRPr="005F7F60" w:rsidRDefault="002F2B03" w:rsidP="002F2B03">
      <w:pPr>
        <w:pStyle w:val="Heading2"/>
      </w:pPr>
      <w:r w:rsidRPr="005F7F60">
        <w:lastRenderedPageBreak/>
        <w:t>A.6 Survival Analysis: Cox Proportional Hazards and Kaplan-Meier Estimation</w:t>
      </w:r>
    </w:p>
    <w:p w14:paraId="76508FAD" w14:textId="77777777" w:rsidR="002F2B03" w:rsidRPr="005F7F60" w:rsidRDefault="002F2B03" w:rsidP="002F2B03">
      <w:pPr>
        <w:pStyle w:val="font-claude-response-body"/>
        <w:jc w:val="both"/>
        <w:rPr>
          <w:rFonts w:cs="Arial"/>
          <w:szCs w:val="20"/>
        </w:rPr>
      </w:pPr>
      <w:r w:rsidRPr="005F7F60">
        <w:rPr>
          <w:rFonts w:cs="Arial"/>
          <w:szCs w:val="20"/>
        </w:rPr>
        <w:t>This appendix provides the theoretical foundation for the survival analysis framework applied in Section 4.11 (G12) and the rationale for selecting the Kaplan-Meier estimator and Cox Proportional Hazards model over parametric alternatives.</w:t>
      </w:r>
    </w:p>
    <w:p w14:paraId="0BA4CAB3" w14:textId="77777777" w:rsidR="002F2B03" w:rsidRPr="005F7F60" w:rsidRDefault="002F2B03" w:rsidP="002F2B03">
      <w:pPr>
        <w:pStyle w:val="Heading3"/>
      </w:pPr>
      <w:r w:rsidRPr="005F7F60">
        <w:t>A.6.1 The Survival Analysis Framework in Predictive Maintenance</w:t>
      </w:r>
    </w:p>
    <w:p w14:paraId="4C00E941" w14:textId="77777777" w:rsidR="002F2B03" w:rsidRPr="005F7F60" w:rsidRDefault="002F2B03" w:rsidP="002F2B03">
      <w:pPr>
        <w:pStyle w:val="font-claude-response-body"/>
        <w:jc w:val="both"/>
        <w:rPr>
          <w:rFonts w:cs="Arial"/>
          <w:szCs w:val="20"/>
        </w:rPr>
      </w:pPr>
      <w:r w:rsidRPr="005F7F60">
        <w:rPr>
          <w:rFonts w:cs="Arial"/>
          <w:szCs w:val="20"/>
        </w:rPr>
        <w:t>In the context of turbofan engine health management, the quantity of operational interest is not the point estimate of remaining useful life (RUL) alone, but the conditional probability that an engine will survive beyond a specified horizon given its current degradation state. This is the domain of survival analysis — a branch of statistics concerned with time-to-event modelling that originated in actuarial science and clinical trials but has direct structural applicability to reliability engineering.</w:t>
      </w:r>
    </w:p>
    <w:p w14:paraId="5A012D3E" w14:textId="04E5BB99" w:rsidR="002F2B03" w:rsidRPr="005F7F60" w:rsidRDefault="002F2B03" w:rsidP="002F2B03">
      <w:pPr>
        <w:pStyle w:val="font-claude-response-body"/>
        <w:jc w:val="both"/>
        <w:rPr>
          <w:rFonts w:cs="Arial"/>
          <w:szCs w:val="20"/>
        </w:rPr>
      </w:pPr>
      <w:r w:rsidRPr="005F7F60">
        <w:rPr>
          <w:rFonts w:cs="Arial"/>
          <w:szCs w:val="20"/>
        </w:rPr>
        <w:t>The foundational reference for the Kaplan-Meier estimator is Kaplan &amp; Meier (1958)</w:t>
      </w:r>
      <w:sdt>
        <w:sdtPr>
          <w:rPr>
            <w:rFonts w:cs="Arial"/>
            <w:szCs w:val="20"/>
          </w:rPr>
          <w:id w:val="1728177535"/>
          <w:citation/>
        </w:sdtPr>
        <w:sdtContent>
          <w:r>
            <w:rPr>
              <w:rFonts w:cs="Arial"/>
              <w:szCs w:val="20"/>
            </w:rPr>
            <w:fldChar w:fldCharType="begin"/>
          </w:r>
          <w:r>
            <w:rPr>
              <w:rFonts w:cs="Arial"/>
              <w:szCs w:val="20"/>
            </w:rPr>
            <w:instrText xml:space="preserve"> CITATION Kap58 \l 2057 </w:instrText>
          </w:r>
          <w:r>
            <w:rPr>
              <w:rFonts w:cs="Arial"/>
              <w:szCs w:val="20"/>
            </w:rPr>
            <w:fldChar w:fldCharType="separate"/>
          </w:r>
          <w:r w:rsidR="0074017E">
            <w:rPr>
              <w:rFonts w:cs="Arial"/>
              <w:noProof/>
              <w:szCs w:val="20"/>
            </w:rPr>
            <w:t xml:space="preserve"> </w:t>
          </w:r>
          <w:r w:rsidR="0074017E" w:rsidRPr="0074017E">
            <w:rPr>
              <w:rFonts w:cs="Arial"/>
              <w:noProof/>
              <w:szCs w:val="20"/>
            </w:rPr>
            <w:t>[10]</w:t>
          </w:r>
          <w:r>
            <w:rPr>
              <w:rFonts w:cs="Arial"/>
              <w:szCs w:val="20"/>
            </w:rPr>
            <w:fldChar w:fldCharType="end"/>
          </w:r>
        </w:sdtContent>
      </w:sdt>
      <w:r w:rsidRPr="005F7F60">
        <w:rPr>
          <w:rFonts w:cs="Arial"/>
          <w:szCs w:val="20"/>
        </w:rPr>
        <w:t>, which introduced the product-limit estimator for non-parametric survival function estimation from censored data. The method was developed to handle a problem common to both clinical trials and maintenance engineering: not all subjects (patients, engines) are observed to fail — some are withdrawn, lost to follow-up, or the observation period ends before failure. These right-censored observations contribute partial information about the survival function and must not be discarded.</w:t>
      </w:r>
    </w:p>
    <w:p w14:paraId="7A317A10" w14:textId="77777777" w:rsidR="002F2B03" w:rsidRPr="005F7F60" w:rsidRDefault="002F2B03" w:rsidP="002F2B03">
      <w:pPr>
        <w:pStyle w:val="font-claude-response-body"/>
        <w:jc w:val="both"/>
        <w:rPr>
          <w:rFonts w:cs="Arial"/>
          <w:szCs w:val="20"/>
        </w:rPr>
      </w:pPr>
      <w:r w:rsidRPr="005F7F60">
        <w:rPr>
          <w:rFonts w:cs="Arial"/>
          <w:szCs w:val="20"/>
        </w:rPr>
        <w:t>In FusionCore, the analogous censoring mechanism would arise when an engine has not yet breached the UWL threshold by the end of the observation period. In the C-MAPSS training partition, all 567 engines breach UWL before failure (0% censoring), but in operational deployment a substantial censored population is expected, making the Kaplan-Meier framework essential for unbiased survival estimation.</w:t>
      </w:r>
    </w:p>
    <w:p w14:paraId="5724B025" w14:textId="77777777" w:rsidR="002F2B03" w:rsidRPr="005F7F60" w:rsidRDefault="002F2B03" w:rsidP="002F2B03">
      <w:pPr>
        <w:pStyle w:val="Heading3"/>
      </w:pPr>
      <w:r w:rsidRPr="005F7F60">
        <w:t>A.6.2 Kaplan-Meier Estimator</w:t>
      </w:r>
    </w:p>
    <w:p w14:paraId="358670B5" w14:textId="678E6879" w:rsidR="002F2B03" w:rsidRPr="005F7F60" w:rsidRDefault="002F2B03" w:rsidP="002F2B03">
      <w:pPr>
        <w:pStyle w:val="font-claude-response-body"/>
        <w:jc w:val="both"/>
        <w:rPr>
          <w:rFonts w:cs="Arial"/>
          <w:szCs w:val="20"/>
        </w:rPr>
      </w:pPr>
      <w:r w:rsidRPr="005F7F60">
        <w:rPr>
          <w:rFonts w:cs="Arial"/>
          <w:szCs w:val="20"/>
        </w:rPr>
        <w:t>The Kaplan-Meier estimator (Kaplan &amp; Meier, 1958)</w:t>
      </w:r>
      <w:sdt>
        <w:sdtPr>
          <w:rPr>
            <w:rFonts w:cs="Arial"/>
            <w:szCs w:val="20"/>
          </w:rPr>
          <w:id w:val="-1272080284"/>
          <w:citation/>
        </w:sdtPr>
        <w:sdtContent>
          <w:r>
            <w:rPr>
              <w:rFonts w:cs="Arial"/>
              <w:szCs w:val="20"/>
            </w:rPr>
            <w:fldChar w:fldCharType="begin"/>
          </w:r>
          <w:r>
            <w:rPr>
              <w:rFonts w:cs="Arial"/>
              <w:szCs w:val="20"/>
            </w:rPr>
            <w:instrText xml:space="preserve"> CITATION Kap58 \l 2057 </w:instrText>
          </w:r>
          <w:r>
            <w:rPr>
              <w:rFonts w:cs="Arial"/>
              <w:szCs w:val="20"/>
            </w:rPr>
            <w:fldChar w:fldCharType="separate"/>
          </w:r>
          <w:r w:rsidR="0074017E">
            <w:rPr>
              <w:rFonts w:cs="Arial"/>
              <w:noProof/>
              <w:szCs w:val="20"/>
            </w:rPr>
            <w:t xml:space="preserve"> </w:t>
          </w:r>
          <w:r w:rsidR="0074017E" w:rsidRPr="0074017E">
            <w:rPr>
              <w:rFonts w:cs="Arial"/>
              <w:noProof/>
              <w:szCs w:val="20"/>
            </w:rPr>
            <w:t>[10]</w:t>
          </w:r>
          <w:r>
            <w:rPr>
              <w:rFonts w:cs="Arial"/>
              <w:szCs w:val="20"/>
            </w:rPr>
            <w:fldChar w:fldCharType="end"/>
          </w:r>
        </w:sdtContent>
      </w:sdt>
      <w:r w:rsidRPr="005F7F60">
        <w:rPr>
          <w:rFonts w:cs="Arial"/>
          <w:szCs w:val="20"/>
        </w:rPr>
        <w:t xml:space="preserve"> is the standard non-parametric estimator of the survival function. For a sample of </w:t>
      </w:r>
      <m:oMath>
        <m:r>
          <w:rPr>
            <w:rFonts w:ascii="Cambria Math" w:hAnsi="Cambria Math" w:cs="Arial"/>
            <w:szCs w:val="20"/>
          </w:rPr>
          <m:t>n</m:t>
        </m:r>
      </m:oMath>
      <w:r w:rsidRPr="005F7F60">
        <w:rPr>
          <w:rFonts w:cs="Arial"/>
          <w:szCs w:val="20"/>
        </w:rPr>
        <w:t xml:space="preserve">engines with observed P-F intervals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1</m:t>
            </m:r>
          </m:sub>
        </m:sSub>
        <m:r>
          <w:rPr>
            <w:rFonts w:ascii="Cambria Math" w:hAnsi="Cambria Math" w:cs="Arial"/>
            <w:szCs w:val="20"/>
          </w:rPr>
          <m:t>&lt;</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2</m:t>
            </m:r>
          </m:sub>
        </m:sSub>
        <m:r>
          <w:rPr>
            <w:rFonts w:ascii="Cambria Math" w:hAnsi="Cambria Math" w:cs="Arial"/>
            <w:szCs w:val="20"/>
          </w:rPr>
          <m:t>&lt;…&lt;</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k</m:t>
            </m:r>
          </m:sub>
        </m:sSub>
      </m:oMath>
      <w:r>
        <w:rPr>
          <w:rFonts w:cs="Arial"/>
          <w:szCs w:val="20"/>
        </w:rPr>
        <w:t xml:space="preserve"> </w:t>
      </w:r>
      <w:r w:rsidRPr="005F7F60">
        <w:rPr>
          <w:rFonts w:cs="Arial"/>
          <w:szCs w:val="20"/>
        </w:rPr>
        <w:t xml:space="preserve">(the </w:t>
      </w:r>
      <m:oMath>
        <m:r>
          <w:rPr>
            <w:rFonts w:ascii="Cambria Math" w:hAnsi="Cambria Math" w:cs="Arial"/>
            <w:szCs w:val="20"/>
          </w:rPr>
          <m:t>k</m:t>
        </m:r>
      </m:oMath>
      <w:r w:rsidRPr="005F7F60">
        <w:rPr>
          <w:rFonts w:cs="Arial"/>
          <w:szCs w:val="20"/>
        </w:rPr>
        <w:t xml:space="preserve">distinct failure times), the estimator is: </w:t>
      </w:r>
    </w:p>
    <w:p w14:paraId="019E8D80" w14:textId="77777777" w:rsidR="002F2B03" w:rsidRPr="005F7F60" w:rsidRDefault="00000000" w:rsidP="002F2B03">
      <w:pPr>
        <w:jc w:val="both"/>
        <w:rPr>
          <w:rFonts w:cs="Arial"/>
          <w:szCs w:val="20"/>
        </w:rPr>
      </w:pPr>
      <m:oMathPara>
        <m:oMath>
          <m:acc>
            <m:accPr>
              <m:ctrlPr>
                <w:rPr>
                  <w:rFonts w:ascii="Cambria Math" w:hAnsi="Cambria Math" w:cs="Arial"/>
                  <w:szCs w:val="20"/>
                </w:rPr>
              </m:ctrlPr>
            </m:accPr>
            <m:e>
              <m:r>
                <w:rPr>
                  <w:rFonts w:ascii="Cambria Math" w:hAnsi="Cambria Math" w:cs="Arial"/>
                  <w:szCs w:val="20"/>
                </w:rPr>
                <m:t>S</m:t>
              </m:r>
            </m:e>
          </m:acc>
          <m:r>
            <w:rPr>
              <w:rFonts w:ascii="Cambria Math" w:hAnsi="Cambria Math" w:cs="Arial"/>
              <w:szCs w:val="20"/>
            </w:rPr>
            <m:t>(t)=</m:t>
          </m:r>
          <m:nary>
            <m:naryPr>
              <m:chr m:val="∏"/>
              <m:limLoc m:val="undOvr"/>
              <m:grow m:val="1"/>
              <m:supHide m:val="1"/>
              <m:ctrlPr>
                <w:rPr>
                  <w:rFonts w:ascii="Cambria Math" w:hAnsi="Cambria Math" w:cs="Arial"/>
                  <w:szCs w:val="20"/>
                </w:rPr>
              </m:ctrlPr>
            </m:naryPr>
            <m:sub>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≤t</m:t>
              </m:r>
            </m:sub>
            <m:sup/>
            <m:e>
              <m:d>
                <m:dPr>
                  <m:ctrlPr>
                    <w:rPr>
                      <w:rFonts w:ascii="Cambria Math" w:hAnsi="Cambria Math" w:cs="Arial"/>
                      <w:szCs w:val="20"/>
                    </w:rPr>
                  </m:ctrlPr>
                </m:dPr>
                <m:e>
                  <m:r>
                    <w:rPr>
                      <w:rFonts w:ascii="Cambria Math" w:hAnsi="Cambria Math" w:cs="Arial"/>
                      <w:szCs w:val="20"/>
                    </w:rPr>
                    <m:t>1-</m:t>
                  </m:r>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num>
                    <m:den>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den>
                  </m:f>
                </m:e>
              </m:d>
            </m:e>
          </m:nary>
          <m:r>
            <m:rPr>
              <m:sty m:val="p"/>
            </m:rPr>
            <w:rPr>
              <w:rFonts w:cs="Arial"/>
              <w:szCs w:val="20"/>
            </w:rPr>
            <w:br/>
          </m:r>
        </m:oMath>
      </m:oMathPara>
    </w:p>
    <w:p w14:paraId="3AA70E63" w14:textId="77777777" w:rsidR="002F2B03" w:rsidRPr="005F7F60" w:rsidRDefault="002F2B03" w:rsidP="002F2B03">
      <w:pPr>
        <w:pStyle w:val="font-claude-response-body"/>
        <w:jc w:val="both"/>
        <w:rPr>
          <w:rFonts w:cs="Arial"/>
          <w:szCs w:val="20"/>
        </w:rPr>
      </w:pPr>
      <w:r w:rsidRPr="005F7F60">
        <w:rPr>
          <w:rFonts w:cs="Arial"/>
          <w:szCs w:val="20"/>
        </w:rPr>
        <w:t xml:space="preserve">where </w:t>
      </w:r>
      <m:oMath>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oMath>
      <w:r>
        <w:rPr>
          <w:rFonts w:cs="Arial"/>
          <w:szCs w:val="20"/>
        </w:rPr>
        <w:t xml:space="preserve"> </w:t>
      </w:r>
      <w:r w:rsidRPr="005F7F60">
        <w:rPr>
          <w:rFonts w:cs="Arial"/>
          <w:szCs w:val="20"/>
        </w:rPr>
        <w:t xml:space="preserve">is the number of failures at time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Pr>
          <w:rFonts w:cs="Arial"/>
          <w:szCs w:val="20"/>
        </w:rPr>
        <w:t xml:space="preserve"> </w:t>
      </w:r>
      <w:r w:rsidRPr="005F7F60">
        <w:rPr>
          <w:rFonts w:cs="Arial"/>
          <w:szCs w:val="20"/>
        </w:rPr>
        <w:t xml:space="preserve">and </w:t>
      </w:r>
      <m:oMath>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oMath>
      <w:r>
        <w:rPr>
          <w:rFonts w:cs="Arial"/>
          <w:szCs w:val="20"/>
        </w:rPr>
        <w:t xml:space="preserve"> </w:t>
      </w:r>
      <w:r w:rsidRPr="005F7F60">
        <w:rPr>
          <w:rFonts w:cs="Arial"/>
          <w:szCs w:val="20"/>
        </w:rPr>
        <w:t xml:space="preserve">is the number of engines at risk (alive and uncensored) immediately prior to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5F7F60">
        <w:rPr>
          <w:rFonts w:cs="Arial"/>
          <w:szCs w:val="20"/>
        </w:rPr>
        <w:t xml:space="preserve">. The Greenwood formula provides the variance estimate: </w:t>
      </w:r>
    </w:p>
    <w:p w14:paraId="35DFD039" w14:textId="77777777" w:rsidR="002F2B03" w:rsidRPr="005F7F60" w:rsidRDefault="00000000" w:rsidP="002F2B03">
      <w:pPr>
        <w:jc w:val="both"/>
        <w:rPr>
          <w:rFonts w:cs="Arial"/>
          <w:szCs w:val="20"/>
        </w:rPr>
      </w:pPr>
      <m:oMathPara>
        <m:oMath>
          <m:acc>
            <m:accPr>
              <m:ctrlPr>
                <w:rPr>
                  <w:rFonts w:ascii="Cambria Math" w:hAnsi="Cambria Math" w:cs="Arial"/>
                  <w:szCs w:val="20"/>
                </w:rPr>
              </m:ctrlPr>
            </m:accPr>
            <m:e>
              <m:r>
                <m:rPr>
                  <m:nor/>
                </m:rPr>
                <w:rPr>
                  <w:rFonts w:cs="Arial"/>
                  <w:szCs w:val="20"/>
                </w:rPr>
                <m:t>Var</m:t>
              </m:r>
            </m:e>
          </m:acc>
          <m:r>
            <w:rPr>
              <w:rFonts w:ascii="Cambria Math" w:hAnsi="Cambria Math" w:cs="Arial"/>
              <w:szCs w:val="20"/>
            </w:rPr>
            <m:t>[</m:t>
          </m:r>
          <m:acc>
            <m:accPr>
              <m:ctrlPr>
                <w:rPr>
                  <w:rFonts w:ascii="Cambria Math" w:hAnsi="Cambria Math" w:cs="Arial"/>
                  <w:szCs w:val="20"/>
                </w:rPr>
              </m:ctrlPr>
            </m:accPr>
            <m:e>
              <m:r>
                <w:rPr>
                  <w:rFonts w:ascii="Cambria Math" w:hAnsi="Cambria Math" w:cs="Arial"/>
                  <w:szCs w:val="20"/>
                </w:rPr>
                <m:t>S</m:t>
              </m:r>
            </m:e>
          </m:acc>
          <m:r>
            <w:rPr>
              <w:rFonts w:ascii="Cambria Math" w:hAnsi="Cambria Math" w:cs="Arial"/>
              <w:szCs w:val="20"/>
            </w:rPr>
            <m:t>(t)]=[</m:t>
          </m:r>
          <m:acc>
            <m:accPr>
              <m:ctrlPr>
                <w:rPr>
                  <w:rFonts w:ascii="Cambria Math" w:hAnsi="Cambria Math" w:cs="Arial"/>
                  <w:szCs w:val="20"/>
                </w:rPr>
              </m:ctrlPr>
            </m:accPr>
            <m:e>
              <m:r>
                <w:rPr>
                  <w:rFonts w:ascii="Cambria Math" w:hAnsi="Cambria Math" w:cs="Arial"/>
                  <w:szCs w:val="20"/>
                </w:rPr>
                <m:t>S</m:t>
              </m:r>
            </m:e>
          </m:acc>
          <m:r>
            <w:rPr>
              <w:rFonts w:ascii="Cambria Math" w:hAnsi="Cambria Math" w:cs="Arial"/>
              <w:szCs w:val="20"/>
            </w:rPr>
            <m:t>(t)</m:t>
          </m:r>
          <m:sSup>
            <m:sSupPr>
              <m:ctrlPr>
                <w:rPr>
                  <w:rFonts w:ascii="Cambria Math" w:hAnsi="Cambria Math" w:cs="Arial"/>
                  <w:szCs w:val="20"/>
                </w:rPr>
              </m:ctrlPr>
            </m:sSupPr>
            <m:e>
              <m:r>
                <w:rPr>
                  <w:rFonts w:ascii="Cambria Math" w:hAnsi="Cambria Math" w:cs="Arial"/>
                  <w:szCs w:val="20"/>
                </w:rPr>
                <m:t>]</m:t>
              </m:r>
            </m:e>
            <m:sup>
              <m:r>
                <w:rPr>
                  <w:rFonts w:ascii="Cambria Math" w:hAnsi="Cambria Math" w:cs="Arial"/>
                  <w:szCs w:val="20"/>
                </w:rPr>
                <m:t>2</m:t>
              </m:r>
            </m:sup>
          </m:sSup>
          <m:nary>
            <m:naryPr>
              <m:chr m:val="∑"/>
              <m:limLoc m:val="undOvr"/>
              <m:grow m:val="1"/>
              <m:supHide m:val="1"/>
              <m:ctrlPr>
                <w:rPr>
                  <w:rFonts w:ascii="Cambria Math" w:hAnsi="Cambria Math" w:cs="Arial"/>
                  <w:szCs w:val="20"/>
                </w:rPr>
              </m:ctrlPr>
            </m:naryPr>
            <m:sub>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≤t</m:t>
              </m:r>
            </m:sub>
            <m:sup/>
            <m:e>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num>
                <m:den>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r>
                    <w:rPr>
                      <w:rFonts w:ascii="Cambria Math" w:hAnsi="Cambria Math" w:cs="Arial"/>
                      <w:szCs w:val="20"/>
                    </w:rPr>
                    <m:t>)</m:t>
                  </m:r>
                </m:den>
              </m:f>
            </m:e>
          </m:nary>
          <m:r>
            <m:rPr>
              <m:sty m:val="p"/>
            </m:rPr>
            <w:rPr>
              <w:rFonts w:cs="Arial"/>
              <w:szCs w:val="20"/>
            </w:rPr>
            <w:br/>
          </m:r>
        </m:oMath>
      </m:oMathPara>
    </w:p>
    <w:p w14:paraId="6643DAFE" w14:textId="77777777" w:rsidR="002F2B03" w:rsidRPr="005F7F60" w:rsidRDefault="002F2B03" w:rsidP="002F2B03">
      <w:pPr>
        <w:pStyle w:val="font-claude-response-body"/>
        <w:jc w:val="both"/>
        <w:rPr>
          <w:rFonts w:cs="Arial"/>
          <w:szCs w:val="20"/>
        </w:rPr>
      </w:pPr>
      <w:r w:rsidRPr="005F7F60">
        <w:rPr>
          <w:rFonts w:cs="Arial"/>
          <w:szCs w:val="20"/>
        </w:rPr>
        <w:t>The Kaplan-Meier estimator makes no assumption about the shape of the survival distribution — it is purely data-driven. This is a decisive advantage in the turbofan context where the P-F interval distribution is demonstrably non-Weibull (the dual-fault family exhibits bimodality, as documented in Section 4.12.2) and no standard parametric family provides an adequate fit.</w:t>
      </w:r>
    </w:p>
    <w:p w14:paraId="54353CA1" w14:textId="77777777" w:rsidR="002F2B03" w:rsidRPr="005F7F60" w:rsidRDefault="002F2B03" w:rsidP="002F2B03">
      <w:pPr>
        <w:pStyle w:val="Heading3"/>
      </w:pPr>
      <w:r w:rsidRPr="005F7F60">
        <w:t>A.6.3 Log-Rank Test</w:t>
      </w:r>
    </w:p>
    <w:p w14:paraId="1963DE15" w14:textId="7ECD79E3" w:rsidR="002F2B03" w:rsidRPr="005F7F60" w:rsidRDefault="002F2B03" w:rsidP="002F2B03">
      <w:pPr>
        <w:pStyle w:val="font-claude-response-body"/>
        <w:jc w:val="both"/>
        <w:rPr>
          <w:rFonts w:cs="Arial"/>
          <w:szCs w:val="20"/>
        </w:rPr>
      </w:pPr>
      <w:r w:rsidRPr="005F7F60">
        <w:rPr>
          <w:rFonts w:cs="Arial"/>
          <w:szCs w:val="20"/>
        </w:rPr>
        <w:t>To compare survival distributions across groups (e.g., fault mode families), the log-rank test (Mantel, 1966)</w:t>
      </w:r>
      <w:sdt>
        <w:sdtPr>
          <w:rPr>
            <w:rFonts w:cs="Arial"/>
            <w:szCs w:val="20"/>
          </w:rPr>
          <w:id w:val="-693308684"/>
          <w:citation/>
        </w:sdtPr>
        <w:sdtContent>
          <w:r>
            <w:rPr>
              <w:rFonts w:cs="Arial"/>
              <w:szCs w:val="20"/>
            </w:rPr>
            <w:fldChar w:fldCharType="begin"/>
          </w:r>
          <w:r>
            <w:rPr>
              <w:rFonts w:cs="Arial"/>
              <w:szCs w:val="20"/>
            </w:rPr>
            <w:instrText xml:space="preserve"> CITATION Man66 \l 2057 </w:instrText>
          </w:r>
          <w:r>
            <w:rPr>
              <w:rFonts w:cs="Arial"/>
              <w:szCs w:val="20"/>
            </w:rPr>
            <w:fldChar w:fldCharType="separate"/>
          </w:r>
          <w:r w:rsidR="0074017E">
            <w:rPr>
              <w:rFonts w:cs="Arial"/>
              <w:noProof/>
              <w:szCs w:val="20"/>
            </w:rPr>
            <w:t xml:space="preserve"> </w:t>
          </w:r>
          <w:r w:rsidR="0074017E" w:rsidRPr="0074017E">
            <w:rPr>
              <w:rFonts w:cs="Arial"/>
              <w:noProof/>
              <w:szCs w:val="20"/>
            </w:rPr>
            <w:t>[11]</w:t>
          </w:r>
          <w:r>
            <w:rPr>
              <w:rFonts w:cs="Arial"/>
              <w:szCs w:val="20"/>
            </w:rPr>
            <w:fldChar w:fldCharType="end"/>
          </w:r>
        </w:sdtContent>
      </w:sdt>
      <w:r w:rsidRPr="005F7F60">
        <w:rPr>
          <w:rFonts w:cs="Arial"/>
          <w:szCs w:val="20"/>
        </w:rPr>
        <w:t xml:space="preserve"> is the standard non-parametric hypothesis test. The test statistic is:</w:t>
      </w:r>
    </w:p>
    <w:p w14:paraId="274B8D31" w14:textId="77777777" w:rsidR="002F2B03" w:rsidRPr="005F7F60" w:rsidRDefault="00000000" w:rsidP="002F2B03">
      <w:pPr>
        <w:jc w:val="both"/>
        <w:rPr>
          <w:rFonts w:cs="Arial"/>
          <w:szCs w:val="20"/>
        </w:rPr>
      </w:pPr>
      <m:oMathPara>
        <m:oMath>
          <m:sSubSup>
            <m:sSubSupPr>
              <m:ctrlPr>
                <w:rPr>
                  <w:rFonts w:ascii="Cambria Math" w:hAnsi="Cambria Math" w:cs="Arial"/>
                  <w:szCs w:val="20"/>
                </w:rPr>
              </m:ctrlPr>
            </m:sSubSupPr>
            <m:e>
              <m:r>
                <w:rPr>
                  <w:rFonts w:ascii="Cambria Math" w:hAnsi="Cambria Math" w:cs="Arial"/>
                  <w:szCs w:val="20"/>
                </w:rPr>
                <m:t>χ</m:t>
              </m:r>
            </m:e>
            <m:sub>
              <m:r>
                <m:rPr>
                  <m:nor/>
                </m:rPr>
                <w:rPr>
                  <w:rFonts w:cs="Arial"/>
                  <w:szCs w:val="20"/>
                </w:rPr>
                <m:t>LR</m:t>
              </m:r>
            </m:sub>
            <m:sup>
              <m:r>
                <w:rPr>
                  <w:rFonts w:ascii="Cambria Math" w:hAnsi="Cambria Math" w:cs="Arial"/>
                  <w:szCs w:val="20"/>
                </w:rPr>
                <m:t>2</m:t>
              </m:r>
            </m:sup>
          </m:sSubSup>
          <m:r>
            <w:rPr>
              <w:rFonts w:ascii="Cambria Math" w:hAnsi="Cambria Math" w:cs="Arial"/>
              <w:szCs w:val="20"/>
            </w:rPr>
            <m:t>=</m:t>
          </m:r>
          <m:f>
            <m:fPr>
              <m:ctrlPr>
                <w:rPr>
                  <w:rFonts w:ascii="Cambria Math" w:hAnsi="Cambria Math" w:cs="Arial"/>
                  <w:szCs w:val="20"/>
                </w:rPr>
              </m:ctrlPr>
            </m:fPr>
            <m:num>
              <m:sSup>
                <m:sSupPr>
                  <m:ctrlPr>
                    <w:rPr>
                      <w:rFonts w:ascii="Cambria Math" w:hAnsi="Cambria Math" w:cs="Arial"/>
                      <w:szCs w:val="20"/>
                    </w:rPr>
                  </m:ctrlPr>
                </m:sSupPr>
                <m:e>
                  <m:d>
                    <m:dPr>
                      <m:ctrlPr>
                        <w:rPr>
                          <w:rFonts w:ascii="Cambria Math" w:hAnsi="Cambria Math" w:cs="Arial"/>
                          <w:szCs w:val="20"/>
                        </w:rPr>
                      </m:ctrlPr>
                    </m:dPr>
                    <m:e>
                      <m:nary>
                        <m:naryPr>
                          <m:chr m:val="∑"/>
                          <m:limLoc m:val="undOvr"/>
                          <m:grow m:val="1"/>
                          <m:ctrlPr>
                            <w:rPr>
                              <w:rFonts w:ascii="Cambria Math" w:hAnsi="Cambria Math" w:cs="Arial"/>
                              <w:szCs w:val="20"/>
                            </w:rPr>
                          </m:ctrlPr>
                        </m:naryPr>
                        <m:sub>
                          <m:r>
                            <w:rPr>
                              <w:rFonts w:ascii="Cambria Math" w:hAnsi="Cambria Math" w:cs="Arial"/>
                              <w:szCs w:val="20"/>
                            </w:rPr>
                            <m:t>i=1</m:t>
                          </m:r>
                        </m:sub>
                        <m:sup>
                          <m:r>
                            <w:rPr>
                              <w:rFonts w:ascii="Cambria Math" w:hAnsi="Cambria Math" w:cs="Arial"/>
                              <w:szCs w:val="20"/>
                            </w:rPr>
                            <m:t>k</m:t>
                          </m:r>
                        </m:sup>
                        <m:e>
                          <m:r>
                            <w:rPr>
                              <w:rFonts w:ascii="Cambria Math" w:hAnsi="Cambria Math" w:cs="Arial"/>
                              <w:szCs w:val="20"/>
                            </w:rPr>
                            <m:t>(</m:t>
                          </m:r>
                        </m:e>
                      </m:nary>
                      <m:sSub>
                        <m:sSubPr>
                          <m:ctrlPr>
                            <w:rPr>
                              <w:rFonts w:ascii="Cambria Math" w:hAnsi="Cambria Math" w:cs="Arial"/>
                              <w:szCs w:val="20"/>
                            </w:rPr>
                          </m:ctrlPr>
                        </m:sSubPr>
                        <m:e>
                          <m:r>
                            <w:rPr>
                              <w:rFonts w:ascii="Cambria Math" w:hAnsi="Cambria Math" w:cs="Arial"/>
                              <w:szCs w:val="20"/>
                            </w:rPr>
                            <m:t>O</m:t>
                          </m:r>
                        </m:e>
                        <m:sub>
                          <m:r>
                            <w:rPr>
                              <w:rFonts w:ascii="Cambria Math" w:hAnsi="Cambria Math" w:cs="Arial"/>
                              <w:szCs w:val="20"/>
                            </w:rPr>
                            <m:t>1i</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E</m:t>
                          </m:r>
                        </m:e>
                        <m:sub>
                          <m:r>
                            <w:rPr>
                              <w:rFonts w:ascii="Cambria Math" w:hAnsi="Cambria Math" w:cs="Arial"/>
                              <w:szCs w:val="20"/>
                            </w:rPr>
                            <m:t>1i</m:t>
                          </m:r>
                        </m:sub>
                      </m:sSub>
                      <m:r>
                        <w:rPr>
                          <w:rFonts w:ascii="Cambria Math" w:hAnsi="Cambria Math" w:cs="Arial"/>
                          <w:szCs w:val="20"/>
                        </w:rPr>
                        <m:t>)</m:t>
                      </m:r>
                    </m:e>
                  </m:d>
                </m:e>
                <m:sup>
                  <m:r>
                    <w:rPr>
                      <w:rFonts w:ascii="Cambria Math" w:hAnsi="Cambria Math" w:cs="Arial"/>
                      <w:szCs w:val="20"/>
                    </w:rPr>
                    <m:t>2</m:t>
                  </m:r>
                </m:sup>
              </m:sSup>
            </m:num>
            <m:den>
              <m:nary>
                <m:naryPr>
                  <m:chr m:val="∑"/>
                  <m:limLoc m:val="undOvr"/>
                  <m:grow m:val="1"/>
                  <m:ctrlPr>
                    <w:rPr>
                      <w:rFonts w:ascii="Cambria Math" w:hAnsi="Cambria Math" w:cs="Arial"/>
                      <w:szCs w:val="20"/>
                    </w:rPr>
                  </m:ctrlPr>
                </m:naryPr>
                <m:sub>
                  <m:r>
                    <w:rPr>
                      <w:rFonts w:ascii="Cambria Math" w:hAnsi="Cambria Math" w:cs="Arial"/>
                      <w:szCs w:val="20"/>
                    </w:rPr>
                    <m:t>i=1</m:t>
                  </m:r>
                </m:sub>
                <m:sup>
                  <m:r>
                    <w:rPr>
                      <w:rFonts w:ascii="Cambria Math" w:hAnsi="Cambria Math" w:cs="Arial"/>
                      <w:szCs w:val="20"/>
                    </w:rPr>
                    <m:t>k</m:t>
                  </m:r>
                </m:sup>
                <m:e>
                  <m:sSub>
                    <m:sSubPr>
                      <m:ctrlPr>
                        <w:rPr>
                          <w:rFonts w:ascii="Cambria Math" w:hAnsi="Cambria Math" w:cs="Arial"/>
                          <w:szCs w:val="20"/>
                        </w:rPr>
                      </m:ctrlPr>
                    </m:sSubPr>
                    <m:e>
                      <m:r>
                        <w:rPr>
                          <w:rFonts w:ascii="Cambria Math" w:hAnsi="Cambria Math" w:cs="Arial"/>
                          <w:szCs w:val="20"/>
                        </w:rPr>
                        <m:t>V</m:t>
                      </m:r>
                    </m:e>
                    <m:sub>
                      <m:r>
                        <w:rPr>
                          <w:rFonts w:ascii="Cambria Math" w:hAnsi="Cambria Math" w:cs="Arial"/>
                          <w:szCs w:val="20"/>
                        </w:rPr>
                        <m:t>i</m:t>
                      </m:r>
                    </m:sub>
                  </m:sSub>
                </m:e>
              </m:nary>
            </m:den>
          </m:f>
          <m:r>
            <m:rPr>
              <m:sty m:val="p"/>
            </m:rPr>
            <w:rPr>
              <w:rFonts w:cs="Arial"/>
              <w:szCs w:val="20"/>
            </w:rPr>
            <w:br/>
          </m:r>
        </m:oMath>
      </m:oMathPara>
    </w:p>
    <w:p w14:paraId="1874682B" w14:textId="77777777" w:rsidR="002F2B03" w:rsidRPr="005F7F60" w:rsidRDefault="002F2B03" w:rsidP="002F2B03">
      <w:pPr>
        <w:pStyle w:val="font-claude-response-body"/>
        <w:jc w:val="both"/>
        <w:rPr>
          <w:rFonts w:cs="Arial"/>
          <w:szCs w:val="20"/>
        </w:rPr>
      </w:pPr>
      <w:r w:rsidRPr="005F7F60">
        <w:rPr>
          <w:rFonts w:cs="Arial"/>
          <w:szCs w:val="20"/>
        </w:rPr>
        <w:t xml:space="preserve">where at each distinct failure time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5F7F60">
        <w:rPr>
          <w:rFonts w:cs="Arial"/>
          <w:szCs w:val="20"/>
        </w:rPr>
        <w:t xml:space="preserve">: </w:t>
      </w:r>
      <m:oMath>
        <m:sSub>
          <m:sSubPr>
            <m:ctrlPr>
              <w:rPr>
                <w:rFonts w:ascii="Cambria Math" w:hAnsi="Cambria Math" w:cs="Arial"/>
                <w:szCs w:val="20"/>
              </w:rPr>
            </m:ctrlPr>
          </m:sSubPr>
          <m:e>
            <m:r>
              <w:rPr>
                <w:rFonts w:ascii="Cambria Math" w:hAnsi="Cambria Math" w:cs="Arial"/>
                <w:szCs w:val="20"/>
              </w:rPr>
              <m:t>O</m:t>
            </m:r>
          </m:e>
          <m:sub>
            <m:r>
              <w:rPr>
                <w:rFonts w:ascii="Cambria Math" w:hAnsi="Cambria Math" w:cs="Arial"/>
                <w:szCs w:val="20"/>
              </w:rPr>
              <m:t>1i</m:t>
            </m:r>
          </m:sub>
        </m:sSub>
      </m:oMath>
      <w:r>
        <w:rPr>
          <w:rFonts w:cs="Arial"/>
          <w:szCs w:val="20"/>
        </w:rPr>
        <w:t xml:space="preserve"> </w:t>
      </w:r>
      <w:r w:rsidRPr="005F7F60">
        <w:rPr>
          <w:rFonts w:cs="Arial"/>
          <w:szCs w:val="20"/>
        </w:rPr>
        <w:t xml:space="preserve">is the observed number of failures in group 1, </w:t>
      </w:r>
      <m:oMath>
        <m:sSub>
          <m:sSubPr>
            <m:ctrlPr>
              <w:rPr>
                <w:rFonts w:ascii="Cambria Math" w:hAnsi="Cambria Math" w:cs="Arial"/>
                <w:szCs w:val="20"/>
              </w:rPr>
            </m:ctrlPr>
          </m:sSubPr>
          <m:e>
            <m:r>
              <w:rPr>
                <w:rFonts w:ascii="Cambria Math" w:hAnsi="Cambria Math" w:cs="Arial"/>
                <w:szCs w:val="20"/>
              </w:rPr>
              <m:t>E</m:t>
            </m:r>
          </m:e>
          <m:sub>
            <m:r>
              <w:rPr>
                <w:rFonts w:ascii="Cambria Math" w:hAnsi="Cambria Math" w:cs="Arial"/>
                <w:szCs w:val="20"/>
              </w:rPr>
              <m:t>1i</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1i</m:t>
            </m:r>
          </m:sub>
        </m:sSub>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r>
          <m:rPr>
            <m:sty m:val="p"/>
          </m:rP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oMath>
      <w:r>
        <w:rPr>
          <w:rFonts w:cs="Arial"/>
          <w:szCs w:val="20"/>
        </w:rPr>
        <w:t xml:space="preserve"> </w:t>
      </w:r>
      <w:r w:rsidRPr="005F7F60">
        <w:rPr>
          <w:rFonts w:cs="Arial"/>
          <w:szCs w:val="20"/>
        </w:rPr>
        <w:t xml:space="preserve">is the expected number under the null hypothesis of identical survival, </w:t>
      </w:r>
      <m:oMath>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1i</m:t>
            </m:r>
          </m:sub>
        </m:sSub>
      </m:oMath>
      <w:r w:rsidRPr="005F7F60">
        <w:rPr>
          <w:rFonts w:cs="Arial"/>
          <w:szCs w:val="20"/>
        </w:rPr>
        <w:t xml:space="preserve">and </w:t>
      </w:r>
      <m:oMath>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i</m:t>
            </m:r>
          </m:sub>
        </m:sSub>
      </m:oMath>
      <w:r w:rsidRPr="005F7F60">
        <w:rPr>
          <w:rFonts w:cs="Arial"/>
          <w:szCs w:val="20"/>
        </w:rPr>
        <w:t xml:space="preserve">are the at-risk counts in group 1 and overall, </w:t>
      </w:r>
      <m:oMath>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oMath>
      <w:r>
        <w:rPr>
          <w:rFonts w:cs="Arial"/>
          <w:szCs w:val="20"/>
        </w:rPr>
        <w:t xml:space="preserve"> </w:t>
      </w:r>
      <w:r w:rsidRPr="005F7F60">
        <w:rPr>
          <w:rFonts w:cs="Arial"/>
          <w:szCs w:val="20"/>
        </w:rPr>
        <w:t xml:space="preserve">is the total failures, and </w:t>
      </w:r>
      <m:oMath>
        <m:sSub>
          <m:sSubPr>
            <m:ctrlPr>
              <w:rPr>
                <w:rFonts w:ascii="Cambria Math" w:hAnsi="Cambria Math" w:cs="Arial"/>
                <w:szCs w:val="20"/>
              </w:rPr>
            </m:ctrlPr>
          </m:sSubPr>
          <m:e>
            <m:r>
              <w:rPr>
                <w:rFonts w:ascii="Cambria Math" w:hAnsi="Cambria Math" w:cs="Arial"/>
                <w:szCs w:val="20"/>
              </w:rPr>
              <m:t>V</m:t>
            </m:r>
          </m:e>
          <m:sub>
            <m:r>
              <w:rPr>
                <w:rFonts w:ascii="Cambria Math" w:hAnsi="Cambria Math" w:cs="Arial"/>
                <w:szCs w:val="20"/>
              </w:rPr>
              <m:t>i</m:t>
            </m:r>
          </m:sub>
        </m:sSub>
      </m:oMath>
      <w:r w:rsidRPr="005F7F60">
        <w:rPr>
          <w:rFonts w:cs="Arial"/>
          <w:szCs w:val="20"/>
        </w:rPr>
        <w:t xml:space="preserve">is the hypergeometric variance. Under the null hypothesis, </w:t>
      </w:r>
      <m:oMath>
        <m:sSubSup>
          <m:sSubSupPr>
            <m:ctrlPr>
              <w:rPr>
                <w:rFonts w:ascii="Cambria Math" w:hAnsi="Cambria Math" w:cs="Arial"/>
                <w:szCs w:val="20"/>
              </w:rPr>
            </m:ctrlPr>
          </m:sSubSupPr>
          <m:e>
            <m:r>
              <w:rPr>
                <w:rFonts w:ascii="Cambria Math" w:hAnsi="Cambria Math" w:cs="Arial"/>
                <w:szCs w:val="20"/>
              </w:rPr>
              <m:t>χ</m:t>
            </m:r>
          </m:e>
          <m:sub>
            <m:r>
              <m:rPr>
                <m:nor/>
              </m:rPr>
              <w:rPr>
                <w:rFonts w:cs="Arial"/>
                <w:szCs w:val="20"/>
              </w:rPr>
              <m:t>LR</m:t>
            </m:r>
          </m:sub>
          <m:sup>
            <m:r>
              <w:rPr>
                <w:rFonts w:ascii="Cambria Math" w:hAnsi="Cambria Math" w:cs="Arial"/>
                <w:szCs w:val="20"/>
              </w:rPr>
              <m:t>2</m:t>
            </m:r>
          </m:sup>
        </m:sSubSup>
        <m:r>
          <w:rPr>
            <w:rFonts w:ascii="Cambria Math" w:hAnsi="Cambria Math" w:cs="Arial"/>
            <w:szCs w:val="20"/>
          </w:rPr>
          <m:t>∼</m:t>
        </m:r>
        <m:sSubSup>
          <m:sSubSupPr>
            <m:ctrlPr>
              <w:rPr>
                <w:rFonts w:ascii="Cambria Math" w:hAnsi="Cambria Math" w:cs="Arial"/>
                <w:szCs w:val="20"/>
              </w:rPr>
            </m:ctrlPr>
          </m:sSubSupPr>
          <m:e>
            <m:r>
              <w:rPr>
                <w:rFonts w:ascii="Cambria Math" w:hAnsi="Cambria Math" w:cs="Arial"/>
                <w:szCs w:val="20"/>
              </w:rPr>
              <m:t>χ</m:t>
            </m:r>
          </m:e>
          <m:sub>
            <m:r>
              <w:rPr>
                <w:rFonts w:ascii="Cambria Math" w:hAnsi="Cambria Math" w:cs="Arial"/>
                <w:szCs w:val="20"/>
              </w:rPr>
              <m:t>1</m:t>
            </m:r>
          </m:sub>
          <m:sup>
            <m:r>
              <w:rPr>
                <w:rFonts w:ascii="Cambria Math" w:hAnsi="Cambria Math" w:cs="Arial"/>
                <w:szCs w:val="20"/>
              </w:rPr>
              <m:t>2</m:t>
            </m:r>
          </m:sup>
        </m:sSubSup>
      </m:oMath>
      <w:r w:rsidRPr="005F7F60">
        <w:rPr>
          <w:rFonts w:cs="Arial"/>
          <w:szCs w:val="20"/>
        </w:rPr>
        <w:t xml:space="preserve">. </w:t>
      </w:r>
    </w:p>
    <w:p w14:paraId="44CD0B85" w14:textId="77777777" w:rsidR="002F2B03" w:rsidRPr="005F7F60" w:rsidRDefault="002F2B03" w:rsidP="002F2B03">
      <w:pPr>
        <w:pStyle w:val="Heading3"/>
      </w:pPr>
      <w:r w:rsidRPr="005F7F60">
        <w:t>A.6.4 Cox Proportional Hazards Model</w:t>
      </w:r>
    </w:p>
    <w:p w14:paraId="093FB540" w14:textId="22608333" w:rsidR="002F2B03" w:rsidRPr="005F7F60" w:rsidRDefault="002F2B03" w:rsidP="002F2B03">
      <w:pPr>
        <w:pStyle w:val="font-claude-response-body"/>
        <w:jc w:val="both"/>
        <w:rPr>
          <w:rFonts w:cs="Arial"/>
          <w:szCs w:val="20"/>
        </w:rPr>
      </w:pPr>
      <w:r w:rsidRPr="005F7F60">
        <w:rPr>
          <w:rFonts w:cs="Arial"/>
          <w:szCs w:val="20"/>
        </w:rPr>
        <w:t>The Cox Proportional Hazards (PH) model (Cox, 1972)</w:t>
      </w:r>
      <w:sdt>
        <w:sdtPr>
          <w:rPr>
            <w:rFonts w:cs="Arial"/>
            <w:szCs w:val="20"/>
          </w:rPr>
          <w:id w:val="-1975439111"/>
          <w:citation/>
        </w:sdtPr>
        <w:sdtContent>
          <w:r>
            <w:rPr>
              <w:rFonts w:cs="Arial"/>
              <w:szCs w:val="20"/>
            </w:rPr>
            <w:fldChar w:fldCharType="begin"/>
          </w:r>
          <w:r>
            <w:rPr>
              <w:rFonts w:cs="Arial"/>
              <w:szCs w:val="20"/>
            </w:rPr>
            <w:instrText xml:space="preserve"> CITATION Cox72 \l 2057 </w:instrText>
          </w:r>
          <w:r>
            <w:rPr>
              <w:rFonts w:cs="Arial"/>
              <w:szCs w:val="20"/>
            </w:rPr>
            <w:fldChar w:fldCharType="separate"/>
          </w:r>
          <w:r w:rsidR="0074017E">
            <w:rPr>
              <w:rFonts w:cs="Arial"/>
              <w:noProof/>
              <w:szCs w:val="20"/>
            </w:rPr>
            <w:t xml:space="preserve"> </w:t>
          </w:r>
          <w:r w:rsidR="0074017E" w:rsidRPr="0074017E">
            <w:rPr>
              <w:rFonts w:cs="Arial"/>
              <w:noProof/>
              <w:szCs w:val="20"/>
            </w:rPr>
            <w:t>[12]</w:t>
          </w:r>
          <w:r>
            <w:rPr>
              <w:rFonts w:cs="Arial"/>
              <w:szCs w:val="20"/>
            </w:rPr>
            <w:fldChar w:fldCharType="end"/>
          </w:r>
        </w:sdtContent>
      </w:sdt>
      <w:r w:rsidRPr="005F7F60">
        <w:rPr>
          <w:rFonts w:cs="Arial"/>
          <w:szCs w:val="20"/>
        </w:rPr>
        <w:t xml:space="preserve"> is a semi-parametric regression model for the hazard function. It is the most widely used survival regression model in both biostatistics and reliability engineering, cited over 60,000 times since publication. The model specifies:</w:t>
      </w:r>
    </w:p>
    <w:p w14:paraId="6C191A1C" w14:textId="77777777" w:rsidR="002F2B03" w:rsidRPr="005F7F60" w:rsidRDefault="002F2B03" w:rsidP="002F2B03">
      <w:pPr>
        <w:jc w:val="both"/>
        <w:rPr>
          <w:rFonts w:cs="Arial"/>
          <w:szCs w:val="20"/>
        </w:rPr>
      </w:pPr>
      <m:oMathPara>
        <m:oMath>
          <m:r>
            <w:rPr>
              <w:rFonts w:ascii="Cambria Math" w:hAnsi="Cambria Math" w:cs="Arial"/>
              <w:szCs w:val="20"/>
            </w:rPr>
            <m:t>h(t∣</m:t>
          </m:r>
          <m:r>
            <m:rPr>
              <m:sty m:val="b"/>
            </m:rPr>
            <w:rPr>
              <w:rFonts w:ascii="Cambria Math" w:hAnsi="Cambria Math" w:cs="Arial"/>
              <w:szCs w:val="20"/>
            </w:rPr>
            <m:t>x</m:t>
          </m:r>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r>
            <m:rPr>
              <m:sty m:val="p"/>
            </m:rPr>
            <w:rPr>
              <w:rFonts w:ascii="Cambria Math" w:hAnsi="Cambria Math" w:cs="Arial"/>
              <w:szCs w:val="20"/>
            </w:rPr>
            <m:t>exp</m:t>
          </m:r>
          <m:r>
            <w:rPr>
              <w:rFonts w:ascii="Cambria Math" w:hAnsi="Cambria Math" w:cs="Arial"/>
              <w:szCs w:val="20"/>
            </w:rPr>
            <m:t>⁡(</m:t>
          </m:r>
          <m:sSup>
            <m:sSupPr>
              <m:ctrlPr>
                <w:rPr>
                  <w:rFonts w:ascii="Cambria Math" w:hAnsi="Cambria Math" w:cs="Arial"/>
                  <w:szCs w:val="20"/>
                </w:rPr>
              </m:ctrlPr>
            </m:sSupPr>
            <m:e>
              <m:r>
                <m:rPr>
                  <m:sty m:val="bi"/>
                </m:rPr>
                <w:rPr>
                  <w:rFonts w:ascii="Cambria Math" w:hAnsi="Cambria Math" w:cs="Arial"/>
                  <w:szCs w:val="20"/>
                </w:rPr>
                <m:t>β</m:t>
              </m:r>
            </m:e>
            <m:sup>
              <m:r>
                <w:rPr>
                  <w:rFonts w:ascii="Cambria Math" w:hAnsi="Cambria Math" w:cs="Arial"/>
                  <w:szCs w:val="20"/>
                </w:rPr>
                <m:t>T</m:t>
              </m:r>
            </m:sup>
          </m:sSup>
          <m:r>
            <m:rPr>
              <m:sty m:val="b"/>
            </m:rPr>
            <w:rPr>
              <w:rFonts w:ascii="Cambria Math" w:hAnsi="Cambria Math" w:cs="Arial"/>
              <w:szCs w:val="20"/>
            </w:rPr>
            <m:t>x</m:t>
          </m:r>
          <m:r>
            <w:rPr>
              <w:rFonts w:ascii="Cambria Math" w:hAnsi="Cambria Math" w:cs="Arial"/>
              <w:szCs w:val="20"/>
            </w:rPr>
            <m:t>)</m:t>
          </m:r>
          <m:r>
            <w:rPr>
              <w:rFonts w:cs="Arial"/>
              <w:szCs w:val="20"/>
            </w:rPr>
            <w:br/>
          </m:r>
        </m:oMath>
      </m:oMathPara>
    </w:p>
    <w:p w14:paraId="1A0B976A" w14:textId="77777777" w:rsidR="002F2B03" w:rsidRPr="005F7F60" w:rsidRDefault="002F2B03" w:rsidP="002F2B03">
      <w:pPr>
        <w:pStyle w:val="font-claude-response-body"/>
        <w:jc w:val="both"/>
        <w:rPr>
          <w:rFonts w:cs="Arial"/>
          <w:szCs w:val="20"/>
        </w:rPr>
      </w:pPr>
      <w:r w:rsidRPr="005F7F60">
        <w:rPr>
          <w:rFonts w:cs="Arial"/>
          <w:szCs w:val="20"/>
        </w:rPr>
        <w:t xml:space="preserve">where </w:t>
      </w:r>
      <m:oMath>
        <m:r>
          <w:rPr>
            <w:rFonts w:ascii="Cambria Math" w:hAnsi="Cambria Math" w:cs="Arial"/>
            <w:szCs w:val="20"/>
          </w:rPr>
          <m:t>h(t∣</m:t>
        </m:r>
        <m:r>
          <m:rPr>
            <m:sty m:val="b"/>
          </m:rPr>
          <w:rPr>
            <w:rFonts w:ascii="Cambria Math" w:hAnsi="Cambria Math" w:cs="Arial"/>
            <w:szCs w:val="20"/>
          </w:rPr>
          <m:t>x</m:t>
        </m:r>
        <m:r>
          <w:rPr>
            <w:rFonts w:ascii="Cambria Math" w:hAnsi="Cambria Math" w:cs="Arial"/>
            <w:szCs w:val="20"/>
          </w:rPr>
          <m:t>)</m:t>
        </m:r>
      </m:oMath>
      <w:r>
        <w:rPr>
          <w:rFonts w:cs="Arial"/>
          <w:szCs w:val="20"/>
        </w:rPr>
        <w:t xml:space="preserve"> </w:t>
      </w:r>
      <w:r w:rsidRPr="005F7F60">
        <w:rPr>
          <w:rFonts w:cs="Arial"/>
          <w:szCs w:val="20"/>
        </w:rPr>
        <w:t xml:space="preserve">is the hazard rate at time </w:t>
      </w:r>
      <m:oMath>
        <m:r>
          <w:rPr>
            <w:rFonts w:ascii="Cambria Math" w:hAnsi="Cambria Math" w:cs="Arial"/>
            <w:szCs w:val="20"/>
          </w:rPr>
          <m:t>t</m:t>
        </m:r>
      </m:oMath>
      <w:r w:rsidRPr="005F7F60">
        <w:rPr>
          <w:rFonts w:cs="Arial"/>
          <w:szCs w:val="20"/>
        </w:rPr>
        <w:t xml:space="preserve">for a subject with covariate vector </w:t>
      </w:r>
      <m:oMath>
        <m:r>
          <m:rPr>
            <m:sty m:val="b"/>
          </m:rPr>
          <w:rPr>
            <w:rFonts w:ascii="Cambria Math" w:hAnsi="Cambria Math" w:cs="Arial"/>
            <w:szCs w:val="20"/>
          </w:rPr>
          <m:t>x</m:t>
        </m:r>
      </m:oMath>
      <w:r w:rsidRPr="005F7F60">
        <w:rPr>
          <w:rFonts w:cs="Arial"/>
          <w:szCs w:val="20"/>
        </w:rPr>
        <w:t xml:space="preserve">, </w:t>
      </w:r>
      <m:oMath>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oMath>
      <w:r>
        <w:rPr>
          <w:rFonts w:cs="Arial"/>
          <w:szCs w:val="20"/>
        </w:rPr>
        <w:t xml:space="preserve"> </w:t>
      </w:r>
      <w:r w:rsidRPr="005F7F60">
        <w:rPr>
          <w:rFonts w:cs="Arial"/>
          <w:szCs w:val="20"/>
        </w:rPr>
        <w:t xml:space="preserve">is the unspecified baseline hazard function, and </w:t>
      </w:r>
      <m:oMath>
        <m:r>
          <m:rPr>
            <m:sty m:val="bi"/>
          </m:rPr>
          <w:rPr>
            <w:rFonts w:ascii="Cambria Math" w:hAnsi="Cambria Math" w:cs="Arial"/>
            <w:szCs w:val="20"/>
          </w:rPr>
          <m:t>β</m:t>
        </m:r>
      </m:oMath>
      <w:r w:rsidRPr="005F7F60">
        <w:rPr>
          <w:rFonts w:cs="Arial"/>
          <w:szCs w:val="20"/>
        </w:rPr>
        <w:t xml:space="preserve">is the vector of regression coefficients estimated by maximising the partial likelihood: </w:t>
      </w:r>
    </w:p>
    <w:p w14:paraId="49BC7EEC" w14:textId="77777777" w:rsidR="002F2B03" w:rsidRPr="005F7F60" w:rsidRDefault="002F2B03" w:rsidP="002F2B03">
      <w:pPr>
        <w:jc w:val="both"/>
        <w:rPr>
          <w:rFonts w:cs="Arial"/>
          <w:szCs w:val="20"/>
        </w:rPr>
      </w:pPr>
      <m:oMathPara>
        <m:oMath>
          <m:r>
            <w:rPr>
              <w:rFonts w:ascii="Cambria Math" w:hAnsi="Cambria Math" w:cs="Arial"/>
              <w:szCs w:val="20"/>
            </w:rPr>
            <m:t>L(</m:t>
          </m:r>
          <m:r>
            <m:rPr>
              <m:sty m:val="bi"/>
            </m:rPr>
            <w:rPr>
              <w:rFonts w:ascii="Cambria Math" w:hAnsi="Cambria Math" w:cs="Arial"/>
              <w:szCs w:val="20"/>
            </w:rPr>
            <m:t>β</m:t>
          </m:r>
          <m:r>
            <w:rPr>
              <w:rFonts w:ascii="Cambria Math" w:hAnsi="Cambria Math" w:cs="Arial"/>
              <w:szCs w:val="20"/>
            </w:rPr>
            <m:t>)=</m:t>
          </m:r>
          <m:nary>
            <m:naryPr>
              <m:chr m:val="∏"/>
              <m:limLoc m:val="undOvr"/>
              <m:grow m:val="1"/>
              <m:supHide m:val="1"/>
              <m:ctrlPr>
                <w:rPr>
                  <w:rFonts w:ascii="Cambria Math" w:hAnsi="Cambria Math" w:cs="Arial"/>
                  <w:szCs w:val="20"/>
                </w:rPr>
              </m:ctrlPr>
            </m:naryPr>
            <m:sub>
              <m:r>
                <w:rPr>
                  <w:rFonts w:ascii="Cambria Math" w:hAnsi="Cambria Math" w:cs="Arial"/>
                  <w:szCs w:val="20"/>
                </w:rPr>
                <m:t>i:</m:t>
              </m:r>
              <m:sSub>
                <m:sSubPr>
                  <m:ctrlPr>
                    <w:rPr>
                      <w:rFonts w:ascii="Cambria Math" w:hAnsi="Cambria Math" w:cs="Arial"/>
                      <w:szCs w:val="20"/>
                    </w:rPr>
                  </m:ctrlPr>
                </m:sSubPr>
                <m:e>
                  <m:r>
                    <w:rPr>
                      <w:rFonts w:ascii="Cambria Math" w:hAnsi="Cambria Math" w:cs="Arial"/>
                      <w:szCs w:val="20"/>
                    </w:rPr>
                    <m:t>δ</m:t>
                  </m:r>
                </m:e>
                <m:sub>
                  <m:r>
                    <w:rPr>
                      <w:rFonts w:ascii="Cambria Math" w:hAnsi="Cambria Math" w:cs="Arial"/>
                      <w:szCs w:val="20"/>
                    </w:rPr>
                    <m:t>i</m:t>
                  </m:r>
                </m:sub>
              </m:sSub>
              <m:r>
                <w:rPr>
                  <w:rFonts w:ascii="Cambria Math" w:hAnsi="Cambria Math" w:cs="Arial"/>
                  <w:szCs w:val="20"/>
                </w:rPr>
                <m:t>=1</m:t>
              </m:r>
            </m:sub>
            <m:sup/>
            <m:e>
              <m:f>
                <m:fPr>
                  <m:ctrlPr>
                    <w:rPr>
                      <w:rFonts w:ascii="Cambria Math" w:hAnsi="Cambria Math" w:cs="Arial"/>
                      <w:szCs w:val="20"/>
                    </w:rPr>
                  </m:ctrlPr>
                </m:fPr>
                <m:num>
                  <m:r>
                    <m:rPr>
                      <m:sty m:val="p"/>
                    </m:rPr>
                    <w:rPr>
                      <w:rFonts w:ascii="Cambria Math" w:hAnsi="Cambria Math" w:cs="Arial"/>
                      <w:szCs w:val="20"/>
                    </w:rPr>
                    <m:t>exp</m:t>
                  </m:r>
                  <m:r>
                    <w:rPr>
                      <w:rFonts w:ascii="Cambria Math" w:hAnsi="Cambria Math" w:cs="Arial"/>
                      <w:szCs w:val="20"/>
                    </w:rPr>
                    <m:t>⁡(</m:t>
                  </m:r>
                  <m:sSup>
                    <m:sSupPr>
                      <m:ctrlPr>
                        <w:rPr>
                          <w:rFonts w:ascii="Cambria Math" w:hAnsi="Cambria Math" w:cs="Arial"/>
                          <w:szCs w:val="20"/>
                        </w:rPr>
                      </m:ctrlPr>
                    </m:sSupPr>
                    <m:e>
                      <m:r>
                        <m:rPr>
                          <m:sty m:val="bi"/>
                        </m:rPr>
                        <w:rPr>
                          <w:rFonts w:ascii="Cambria Math" w:hAnsi="Cambria Math" w:cs="Arial"/>
                          <w:szCs w:val="20"/>
                        </w:rPr>
                        <m:t>β</m:t>
                      </m:r>
                    </m:e>
                    <m:sup>
                      <m:r>
                        <w:rPr>
                          <w:rFonts w:ascii="Cambria Math" w:hAnsi="Cambria Math" w:cs="Arial"/>
                          <w:szCs w:val="20"/>
                        </w:rPr>
                        <m:t>T</m:t>
                      </m:r>
                    </m:sup>
                  </m:sSup>
                  <m:sSub>
                    <m:sSubPr>
                      <m:ctrlPr>
                        <w:rPr>
                          <w:rFonts w:ascii="Cambria Math" w:hAnsi="Cambria Math" w:cs="Arial"/>
                          <w:szCs w:val="20"/>
                        </w:rPr>
                      </m:ctrlPr>
                    </m:sSubPr>
                    <m:e>
                      <m:r>
                        <m:rPr>
                          <m:sty m:val="b"/>
                        </m:rPr>
                        <w:rPr>
                          <w:rFonts w:ascii="Cambria Math" w:hAnsi="Cambria Math" w:cs="Arial"/>
                          <w:szCs w:val="20"/>
                        </w:rPr>
                        <m:t>x</m:t>
                      </m:r>
                    </m:e>
                    <m:sub>
                      <m:r>
                        <w:rPr>
                          <w:rFonts w:ascii="Cambria Math" w:hAnsi="Cambria Math" w:cs="Arial"/>
                          <w:szCs w:val="20"/>
                        </w:rPr>
                        <m:t>i</m:t>
                      </m:r>
                    </m:sub>
                  </m:sSub>
                  <m:r>
                    <w:rPr>
                      <w:rFonts w:ascii="Cambria Math" w:hAnsi="Cambria Math" w:cs="Arial"/>
                      <w:szCs w:val="20"/>
                    </w:rPr>
                    <m:t>)</m:t>
                  </m:r>
                </m:num>
                <m:den>
                  <m:nary>
                    <m:naryPr>
                      <m:chr m:val="∑"/>
                      <m:limLoc m:val="undOvr"/>
                      <m:grow m:val="1"/>
                      <m:supHide m:val="1"/>
                      <m:ctrlPr>
                        <w:rPr>
                          <w:rFonts w:ascii="Cambria Math" w:hAnsi="Cambria Math" w:cs="Arial"/>
                          <w:szCs w:val="20"/>
                        </w:rPr>
                      </m:ctrlPr>
                    </m:naryPr>
                    <m:sub>
                      <m:r>
                        <w:rPr>
                          <w:rFonts w:ascii="Cambria Math" w:hAnsi="Cambria Math" w:cs="Arial"/>
                          <w:szCs w:val="20"/>
                        </w:rPr>
                        <m:t>j∈R(</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m:t>
                      </m:r>
                    </m:sub>
                    <m:sup/>
                    <m:e>
                      <m:r>
                        <m:rPr>
                          <m:sty m:val="p"/>
                        </m:rPr>
                        <w:rPr>
                          <w:rFonts w:ascii="Cambria Math" w:hAnsi="Cambria Math" w:cs="Arial"/>
                          <w:szCs w:val="20"/>
                        </w:rPr>
                        <m:t>exp</m:t>
                      </m:r>
                      <m:r>
                        <w:rPr>
                          <w:rFonts w:ascii="Cambria Math" w:hAnsi="Cambria Math" w:cs="Arial"/>
                          <w:szCs w:val="20"/>
                        </w:rPr>
                        <m:t>⁡(</m:t>
                      </m:r>
                    </m:e>
                  </m:nary>
                  <m:sSup>
                    <m:sSupPr>
                      <m:ctrlPr>
                        <w:rPr>
                          <w:rFonts w:ascii="Cambria Math" w:hAnsi="Cambria Math" w:cs="Arial"/>
                          <w:szCs w:val="20"/>
                        </w:rPr>
                      </m:ctrlPr>
                    </m:sSupPr>
                    <m:e>
                      <m:r>
                        <m:rPr>
                          <m:sty m:val="bi"/>
                        </m:rPr>
                        <w:rPr>
                          <w:rFonts w:ascii="Cambria Math" w:hAnsi="Cambria Math" w:cs="Arial"/>
                          <w:szCs w:val="20"/>
                        </w:rPr>
                        <m:t>β</m:t>
                      </m:r>
                    </m:e>
                    <m:sup>
                      <m:r>
                        <w:rPr>
                          <w:rFonts w:ascii="Cambria Math" w:hAnsi="Cambria Math" w:cs="Arial"/>
                          <w:szCs w:val="20"/>
                        </w:rPr>
                        <m:t>T</m:t>
                      </m:r>
                    </m:sup>
                  </m:sSup>
                  <m:sSub>
                    <m:sSubPr>
                      <m:ctrlPr>
                        <w:rPr>
                          <w:rFonts w:ascii="Cambria Math" w:hAnsi="Cambria Math" w:cs="Arial"/>
                          <w:szCs w:val="20"/>
                        </w:rPr>
                      </m:ctrlPr>
                    </m:sSubPr>
                    <m:e>
                      <m:r>
                        <m:rPr>
                          <m:sty m:val="b"/>
                        </m:rPr>
                        <w:rPr>
                          <w:rFonts w:ascii="Cambria Math" w:hAnsi="Cambria Math" w:cs="Arial"/>
                          <w:szCs w:val="20"/>
                        </w:rPr>
                        <m:t>x</m:t>
                      </m:r>
                    </m:e>
                    <m:sub>
                      <m:r>
                        <w:rPr>
                          <w:rFonts w:ascii="Cambria Math" w:hAnsi="Cambria Math" w:cs="Arial"/>
                          <w:szCs w:val="20"/>
                        </w:rPr>
                        <m:t>j</m:t>
                      </m:r>
                    </m:sub>
                  </m:sSub>
                  <m:r>
                    <w:rPr>
                      <w:rFonts w:ascii="Cambria Math" w:hAnsi="Cambria Math" w:cs="Arial"/>
                      <w:szCs w:val="20"/>
                    </w:rPr>
                    <m:t>)</m:t>
                  </m:r>
                </m:den>
              </m:f>
            </m:e>
          </m:nary>
          <m:r>
            <m:rPr>
              <m:sty m:val="p"/>
            </m:rPr>
            <w:rPr>
              <w:rFonts w:cs="Arial"/>
              <w:szCs w:val="20"/>
            </w:rPr>
            <w:br/>
          </m:r>
        </m:oMath>
      </m:oMathPara>
    </w:p>
    <w:p w14:paraId="5F5DED2A" w14:textId="75115E54" w:rsidR="002F2B03" w:rsidRPr="005F7F60" w:rsidRDefault="002F2B03" w:rsidP="002F2B03">
      <w:pPr>
        <w:pStyle w:val="font-claude-response-body"/>
        <w:jc w:val="both"/>
        <w:rPr>
          <w:rFonts w:cs="Arial"/>
          <w:szCs w:val="20"/>
        </w:rPr>
      </w:pPr>
      <w:r w:rsidRPr="005F7F60">
        <w:rPr>
          <w:rFonts w:cs="Arial"/>
          <w:szCs w:val="20"/>
        </w:rPr>
        <w:t>where the product is taken over all observed failures (</w:t>
      </w:r>
      <m:oMath>
        <m:sSub>
          <m:sSubPr>
            <m:ctrlPr>
              <w:rPr>
                <w:rFonts w:ascii="Cambria Math" w:hAnsi="Cambria Math" w:cs="Arial"/>
                <w:szCs w:val="20"/>
              </w:rPr>
            </m:ctrlPr>
          </m:sSubPr>
          <m:e>
            <m:r>
              <w:rPr>
                <w:rFonts w:ascii="Cambria Math" w:hAnsi="Cambria Math" w:cs="Arial"/>
                <w:szCs w:val="20"/>
              </w:rPr>
              <m:t>δ</m:t>
            </m:r>
          </m:e>
          <m:sub>
            <m:r>
              <w:rPr>
                <w:rFonts w:ascii="Cambria Math" w:hAnsi="Cambria Math" w:cs="Arial"/>
                <w:szCs w:val="20"/>
              </w:rPr>
              <m:t>i</m:t>
            </m:r>
          </m:sub>
        </m:sSub>
        <m:r>
          <w:rPr>
            <w:rFonts w:ascii="Cambria Math" w:hAnsi="Cambria Math" w:cs="Arial"/>
            <w:szCs w:val="20"/>
          </w:rPr>
          <m:t>=1</m:t>
        </m:r>
      </m:oMath>
      <w:r w:rsidRPr="005F7F60">
        <w:rPr>
          <w:rFonts w:cs="Arial"/>
          <w:szCs w:val="20"/>
        </w:rPr>
        <w:t xml:space="preserve">), and </w:t>
      </w:r>
      <m:oMath>
        <m:r>
          <w:rPr>
            <w:rFonts w:ascii="Cambria Math" w:hAnsi="Cambria Math" w:cs="Arial"/>
            <w:szCs w:val="20"/>
          </w:rPr>
          <m:t>R(</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m:t>
        </m:r>
      </m:oMath>
      <w:r>
        <w:rPr>
          <w:rFonts w:cs="Arial"/>
          <w:szCs w:val="20"/>
        </w:rPr>
        <w:t xml:space="preserve"> </w:t>
      </w:r>
      <w:r w:rsidRPr="005F7F60">
        <w:rPr>
          <w:rFonts w:cs="Arial"/>
          <w:szCs w:val="20"/>
        </w:rPr>
        <w:t xml:space="preserve">is the risk set at time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5F7F60">
        <w:rPr>
          <w:rFonts w:cs="Arial"/>
          <w:szCs w:val="20"/>
        </w:rPr>
        <w:t xml:space="preserve">(all subjects still at risk immediately before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5F7F60">
        <w:rPr>
          <w:rFonts w:cs="Arial"/>
          <w:szCs w:val="20"/>
        </w:rPr>
        <w:t>). The partial likelihood formulation, due to Cox (1972)</w:t>
      </w:r>
      <w:sdt>
        <w:sdtPr>
          <w:rPr>
            <w:rFonts w:cs="Arial"/>
            <w:szCs w:val="20"/>
          </w:rPr>
          <w:id w:val="370741639"/>
          <w:citation/>
        </w:sdtPr>
        <w:sdtContent>
          <w:r>
            <w:rPr>
              <w:rFonts w:cs="Arial"/>
              <w:szCs w:val="20"/>
            </w:rPr>
            <w:fldChar w:fldCharType="begin"/>
          </w:r>
          <w:r>
            <w:rPr>
              <w:rFonts w:cs="Arial"/>
              <w:szCs w:val="20"/>
            </w:rPr>
            <w:instrText xml:space="preserve"> CITATION Cox72 \l 2057 </w:instrText>
          </w:r>
          <w:r>
            <w:rPr>
              <w:rFonts w:cs="Arial"/>
              <w:szCs w:val="20"/>
            </w:rPr>
            <w:fldChar w:fldCharType="separate"/>
          </w:r>
          <w:r w:rsidR="0074017E">
            <w:rPr>
              <w:rFonts w:cs="Arial"/>
              <w:noProof/>
              <w:szCs w:val="20"/>
            </w:rPr>
            <w:t xml:space="preserve"> </w:t>
          </w:r>
          <w:r w:rsidR="0074017E" w:rsidRPr="0074017E">
            <w:rPr>
              <w:rFonts w:cs="Arial"/>
              <w:noProof/>
              <w:szCs w:val="20"/>
            </w:rPr>
            <w:t>[12]</w:t>
          </w:r>
          <w:r>
            <w:rPr>
              <w:rFonts w:cs="Arial"/>
              <w:szCs w:val="20"/>
            </w:rPr>
            <w:fldChar w:fldCharType="end"/>
          </w:r>
        </w:sdtContent>
      </w:sdt>
      <w:r w:rsidRPr="005F7F60">
        <w:rPr>
          <w:rFonts w:cs="Arial"/>
          <w:szCs w:val="20"/>
        </w:rPr>
        <w:t xml:space="preserve">, eliminates the need to specify </w:t>
      </w:r>
      <m:oMath>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oMath>
      <w:r>
        <w:rPr>
          <w:rFonts w:cs="Arial"/>
          <w:szCs w:val="20"/>
        </w:rPr>
        <w:t xml:space="preserve"> </w:t>
      </w:r>
      <w:r w:rsidRPr="005F7F60">
        <w:rPr>
          <w:rFonts w:cs="Arial"/>
          <w:szCs w:val="20"/>
        </w:rPr>
        <w:t xml:space="preserve">— the baseline hazard cancels in the partial likelihood ratio, allowing covariate effects to be estimated without parametric assumptions about the time-to-failure distribution. </w:t>
      </w:r>
    </w:p>
    <w:p w14:paraId="31603E66" w14:textId="1B1D28E3" w:rsidR="002F2B03" w:rsidRPr="005F7F60" w:rsidRDefault="002F2B03" w:rsidP="002F2B03">
      <w:pPr>
        <w:pStyle w:val="font-claude-response-body"/>
        <w:jc w:val="both"/>
        <w:rPr>
          <w:rFonts w:cs="Arial"/>
          <w:szCs w:val="20"/>
        </w:rPr>
      </w:pPr>
      <w:r w:rsidRPr="005F7F60">
        <w:rPr>
          <w:rFonts w:cs="Arial"/>
          <w:szCs w:val="20"/>
        </w:rPr>
        <w:t xml:space="preserve">The baseline hazard </w:t>
      </w:r>
      <m:oMath>
        <m:sSub>
          <m:sSubPr>
            <m:ctrlPr>
              <w:rPr>
                <w:rFonts w:ascii="Cambria Math" w:hAnsi="Cambria Math" w:cs="Arial"/>
                <w:szCs w:val="20"/>
              </w:rPr>
            </m:ctrlPr>
          </m:sSubPr>
          <m:e>
            <m:r>
              <w:rPr>
                <w:rFonts w:ascii="Cambria Math" w:hAnsi="Cambria Math" w:cs="Arial"/>
                <w:szCs w:val="20"/>
              </w:rPr>
              <m:t>h</m:t>
            </m:r>
          </m:e>
          <m:sub>
            <m:r>
              <w:rPr>
                <w:rFonts w:ascii="Cambria Math" w:hAnsi="Cambria Math" w:cs="Arial"/>
                <w:szCs w:val="20"/>
              </w:rPr>
              <m:t>0</m:t>
            </m:r>
          </m:sub>
        </m:sSub>
        <m:r>
          <w:rPr>
            <w:rFonts w:ascii="Cambria Math" w:hAnsi="Cambria Math" w:cs="Arial"/>
            <w:szCs w:val="20"/>
          </w:rPr>
          <m:t>(t)</m:t>
        </m:r>
      </m:oMath>
      <w:r>
        <w:rPr>
          <w:rFonts w:cs="Arial"/>
          <w:szCs w:val="20"/>
        </w:rPr>
        <w:t xml:space="preserve"> </w:t>
      </w:r>
      <w:r w:rsidRPr="005F7F60">
        <w:rPr>
          <w:rFonts w:cs="Arial"/>
          <w:szCs w:val="20"/>
        </w:rPr>
        <w:t>is estimated non-parametrically using the Breslow estimator (Breslow, 1972)</w:t>
      </w:r>
      <w:sdt>
        <w:sdtPr>
          <w:rPr>
            <w:rFonts w:cs="Arial"/>
            <w:szCs w:val="20"/>
          </w:rPr>
          <w:id w:val="1785229105"/>
          <w:citation/>
        </w:sdtPr>
        <w:sdtContent>
          <w:r>
            <w:rPr>
              <w:rFonts w:cs="Arial"/>
              <w:szCs w:val="20"/>
            </w:rPr>
            <w:fldChar w:fldCharType="begin"/>
          </w:r>
          <w:r>
            <w:rPr>
              <w:rFonts w:cs="Arial"/>
              <w:szCs w:val="20"/>
            </w:rPr>
            <w:instrText xml:space="preserve"> CITATION Bre72 \l 2057 </w:instrText>
          </w:r>
          <w:r>
            <w:rPr>
              <w:rFonts w:cs="Arial"/>
              <w:szCs w:val="20"/>
            </w:rPr>
            <w:fldChar w:fldCharType="separate"/>
          </w:r>
          <w:r w:rsidR="0074017E">
            <w:rPr>
              <w:rFonts w:cs="Arial"/>
              <w:noProof/>
              <w:szCs w:val="20"/>
            </w:rPr>
            <w:t xml:space="preserve"> </w:t>
          </w:r>
          <w:r w:rsidR="0074017E" w:rsidRPr="0074017E">
            <w:rPr>
              <w:rFonts w:cs="Arial"/>
              <w:noProof/>
              <w:szCs w:val="20"/>
            </w:rPr>
            <w:t>[13]</w:t>
          </w:r>
          <w:r>
            <w:rPr>
              <w:rFonts w:cs="Arial"/>
              <w:szCs w:val="20"/>
            </w:rPr>
            <w:fldChar w:fldCharType="end"/>
          </w:r>
        </w:sdtContent>
      </w:sdt>
      <w:r w:rsidRPr="005F7F60">
        <w:rPr>
          <w:rFonts w:cs="Arial"/>
          <w:szCs w:val="20"/>
        </w:rPr>
        <w:t xml:space="preserve">: </w:t>
      </w:r>
    </w:p>
    <w:p w14:paraId="5446963C" w14:textId="77777777" w:rsidR="002F2B03" w:rsidRPr="005F7F60" w:rsidRDefault="00000000" w:rsidP="002F2B03">
      <w:pPr>
        <w:jc w:val="both"/>
        <w:rPr>
          <w:rFonts w:cs="Arial"/>
          <w:szCs w:val="20"/>
        </w:rPr>
      </w:pPr>
      <m:oMathPara>
        <m:oMath>
          <m:sSub>
            <m:sSubPr>
              <m:ctrlPr>
                <w:rPr>
                  <w:rFonts w:ascii="Cambria Math" w:hAnsi="Cambria Math" w:cs="Arial"/>
                  <w:szCs w:val="20"/>
                </w:rPr>
              </m:ctrlPr>
            </m:sSubPr>
            <m:e>
              <m:acc>
                <m:accPr>
                  <m:ctrlPr>
                    <w:rPr>
                      <w:rFonts w:ascii="Cambria Math" w:hAnsi="Cambria Math" w:cs="Arial"/>
                      <w:szCs w:val="20"/>
                    </w:rPr>
                  </m:ctrlPr>
                </m:accPr>
                <m:e>
                  <m:r>
                    <w:rPr>
                      <w:rFonts w:ascii="Cambria Math" w:hAnsi="Cambria Math" w:cs="Arial"/>
                      <w:szCs w:val="20"/>
                    </w:rPr>
                    <m:t>H</m:t>
                  </m:r>
                </m:e>
              </m:acc>
            </m:e>
            <m:sub>
              <m:r>
                <w:rPr>
                  <w:rFonts w:ascii="Cambria Math" w:hAnsi="Cambria Math" w:cs="Arial"/>
                  <w:szCs w:val="20"/>
                </w:rPr>
                <m:t>0</m:t>
              </m:r>
            </m:sub>
          </m:sSub>
          <m:r>
            <w:rPr>
              <w:rFonts w:ascii="Cambria Math" w:hAnsi="Cambria Math" w:cs="Arial"/>
              <w:szCs w:val="20"/>
            </w:rPr>
            <m:t>(t)=</m:t>
          </m:r>
          <m:nary>
            <m:naryPr>
              <m:chr m:val="∑"/>
              <m:limLoc m:val="undOvr"/>
              <m:grow m:val="1"/>
              <m:supHide m:val="1"/>
              <m:ctrlPr>
                <w:rPr>
                  <w:rFonts w:ascii="Cambria Math" w:hAnsi="Cambria Math" w:cs="Arial"/>
                  <w:szCs w:val="20"/>
                </w:rPr>
              </m:ctrlPr>
            </m:naryPr>
            <m:sub>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≤t</m:t>
              </m:r>
            </m:sub>
            <m:sup/>
            <m:e>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d</m:t>
                      </m:r>
                    </m:e>
                    <m:sub>
                      <m:r>
                        <w:rPr>
                          <w:rFonts w:ascii="Cambria Math" w:hAnsi="Cambria Math" w:cs="Arial"/>
                          <w:szCs w:val="20"/>
                        </w:rPr>
                        <m:t>i</m:t>
                      </m:r>
                    </m:sub>
                  </m:sSub>
                </m:num>
                <m:den>
                  <m:nary>
                    <m:naryPr>
                      <m:chr m:val="∑"/>
                      <m:limLoc m:val="undOvr"/>
                      <m:grow m:val="1"/>
                      <m:supHide m:val="1"/>
                      <m:ctrlPr>
                        <w:rPr>
                          <w:rFonts w:ascii="Cambria Math" w:hAnsi="Cambria Math" w:cs="Arial"/>
                          <w:szCs w:val="20"/>
                        </w:rPr>
                      </m:ctrlPr>
                    </m:naryPr>
                    <m:sub>
                      <m:r>
                        <w:rPr>
                          <w:rFonts w:ascii="Cambria Math" w:hAnsi="Cambria Math" w:cs="Arial"/>
                          <w:szCs w:val="20"/>
                        </w:rPr>
                        <m:t>j∈R(</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m:t>
                      </m:r>
                    </m:sub>
                    <m:sup/>
                    <m:e>
                      <m:r>
                        <m:rPr>
                          <m:sty m:val="p"/>
                        </m:rPr>
                        <w:rPr>
                          <w:rFonts w:ascii="Cambria Math" w:hAnsi="Cambria Math" w:cs="Arial"/>
                          <w:szCs w:val="20"/>
                        </w:rPr>
                        <m:t>exp</m:t>
                      </m:r>
                      <m:r>
                        <w:rPr>
                          <w:rFonts w:ascii="Cambria Math" w:hAnsi="Cambria Math" w:cs="Arial"/>
                          <w:szCs w:val="20"/>
                        </w:rPr>
                        <m:t>⁡(</m:t>
                      </m:r>
                    </m:e>
                  </m:nary>
                  <m:sSup>
                    <m:sSupPr>
                      <m:ctrlPr>
                        <w:rPr>
                          <w:rFonts w:ascii="Cambria Math" w:hAnsi="Cambria Math" w:cs="Arial"/>
                          <w:szCs w:val="20"/>
                        </w:rPr>
                      </m:ctrlPr>
                    </m:sSupPr>
                    <m:e>
                      <m:r>
                        <m:rPr>
                          <m:sty m:val="bi"/>
                        </m:rPr>
                        <w:rPr>
                          <w:rFonts w:ascii="Cambria Math" w:hAnsi="Cambria Math" w:cs="Arial"/>
                          <w:szCs w:val="20"/>
                        </w:rPr>
                        <m:t>β</m:t>
                      </m:r>
                    </m:e>
                    <m:sup>
                      <m:r>
                        <w:rPr>
                          <w:rFonts w:ascii="Cambria Math" w:hAnsi="Cambria Math" w:cs="Arial"/>
                          <w:szCs w:val="20"/>
                        </w:rPr>
                        <m:t>T</m:t>
                      </m:r>
                    </m:sup>
                  </m:sSup>
                  <m:sSub>
                    <m:sSubPr>
                      <m:ctrlPr>
                        <w:rPr>
                          <w:rFonts w:ascii="Cambria Math" w:hAnsi="Cambria Math" w:cs="Arial"/>
                          <w:szCs w:val="20"/>
                        </w:rPr>
                      </m:ctrlPr>
                    </m:sSubPr>
                    <m:e>
                      <m:r>
                        <m:rPr>
                          <m:sty m:val="b"/>
                        </m:rPr>
                        <w:rPr>
                          <w:rFonts w:ascii="Cambria Math" w:hAnsi="Cambria Math" w:cs="Arial"/>
                          <w:szCs w:val="20"/>
                        </w:rPr>
                        <m:t>x</m:t>
                      </m:r>
                    </m:e>
                    <m:sub>
                      <m:r>
                        <w:rPr>
                          <w:rFonts w:ascii="Cambria Math" w:hAnsi="Cambria Math" w:cs="Arial"/>
                          <w:szCs w:val="20"/>
                        </w:rPr>
                        <m:t>j</m:t>
                      </m:r>
                    </m:sub>
                  </m:sSub>
                  <m:r>
                    <w:rPr>
                      <w:rFonts w:ascii="Cambria Math" w:hAnsi="Cambria Math" w:cs="Arial"/>
                      <w:szCs w:val="20"/>
                    </w:rPr>
                    <m:t>)</m:t>
                  </m:r>
                </m:den>
              </m:f>
            </m:e>
          </m:nary>
          <m:r>
            <m:rPr>
              <m:sty m:val="p"/>
            </m:rPr>
            <w:rPr>
              <w:rFonts w:cs="Arial"/>
              <w:szCs w:val="20"/>
            </w:rPr>
            <w:br/>
          </m:r>
        </m:oMath>
      </m:oMathPara>
    </w:p>
    <w:p w14:paraId="32FE6B11" w14:textId="77777777" w:rsidR="002F2B03" w:rsidRPr="005F7F60" w:rsidRDefault="002F2B03" w:rsidP="002F2B03">
      <w:pPr>
        <w:pStyle w:val="font-claude-response-body"/>
        <w:jc w:val="both"/>
        <w:rPr>
          <w:rFonts w:cs="Arial"/>
          <w:szCs w:val="20"/>
        </w:rPr>
      </w:pPr>
      <w:r w:rsidRPr="005F7F60">
        <w:rPr>
          <w:rFonts w:cs="Arial"/>
          <w:szCs w:val="20"/>
        </w:rPr>
        <w:t xml:space="preserve">where </w:t>
      </w:r>
      <m:oMath>
        <m:sSub>
          <m:sSubPr>
            <m:ctrlPr>
              <w:rPr>
                <w:rFonts w:ascii="Cambria Math" w:hAnsi="Cambria Math" w:cs="Arial"/>
                <w:szCs w:val="20"/>
              </w:rPr>
            </m:ctrlPr>
          </m:sSubPr>
          <m:e>
            <m:acc>
              <m:accPr>
                <m:ctrlPr>
                  <w:rPr>
                    <w:rFonts w:ascii="Cambria Math" w:hAnsi="Cambria Math" w:cs="Arial"/>
                    <w:szCs w:val="20"/>
                  </w:rPr>
                </m:ctrlPr>
              </m:accPr>
              <m:e>
                <m:r>
                  <w:rPr>
                    <w:rFonts w:ascii="Cambria Math" w:hAnsi="Cambria Math" w:cs="Arial"/>
                    <w:szCs w:val="20"/>
                  </w:rPr>
                  <m:t>H</m:t>
                </m:r>
              </m:e>
            </m:acc>
          </m:e>
          <m:sub>
            <m:r>
              <w:rPr>
                <w:rFonts w:ascii="Cambria Math" w:hAnsi="Cambria Math" w:cs="Arial"/>
                <w:szCs w:val="20"/>
              </w:rPr>
              <m:t>0</m:t>
            </m:r>
          </m:sub>
        </m:sSub>
        <m:r>
          <w:rPr>
            <w:rFonts w:ascii="Cambria Math" w:hAnsi="Cambria Math" w:cs="Arial"/>
            <w:szCs w:val="20"/>
          </w:rPr>
          <m:t>(t)</m:t>
        </m:r>
      </m:oMath>
      <w:r>
        <w:rPr>
          <w:rFonts w:cs="Arial"/>
          <w:szCs w:val="20"/>
        </w:rPr>
        <w:t xml:space="preserve"> </w:t>
      </w:r>
      <w:r w:rsidRPr="005F7F60">
        <w:rPr>
          <w:rFonts w:cs="Arial"/>
          <w:szCs w:val="20"/>
        </w:rPr>
        <w:t xml:space="preserve">is the cumulative baseline hazard. </w:t>
      </w:r>
    </w:p>
    <w:p w14:paraId="655E3AE6" w14:textId="77777777" w:rsidR="002F2B03" w:rsidRPr="005F7F60" w:rsidRDefault="002F2B03" w:rsidP="002F2B03">
      <w:pPr>
        <w:pStyle w:val="Heading3"/>
      </w:pPr>
      <w:r w:rsidRPr="005F7F60">
        <w:t>A.6.5 Concordance Index</w:t>
      </w:r>
    </w:p>
    <w:p w14:paraId="6B066D95" w14:textId="6995F48A" w:rsidR="002F2B03" w:rsidRPr="005F7F60" w:rsidRDefault="002F2B03" w:rsidP="002F2B03">
      <w:pPr>
        <w:pStyle w:val="font-claude-response-body"/>
        <w:jc w:val="both"/>
        <w:rPr>
          <w:rFonts w:cs="Arial"/>
          <w:szCs w:val="20"/>
        </w:rPr>
      </w:pPr>
      <w:r w:rsidRPr="005F7F60">
        <w:rPr>
          <w:rFonts w:cs="Arial"/>
          <w:szCs w:val="20"/>
        </w:rPr>
        <w:t>The concordance index (C-index), introduced by Harrell et al. (1996)</w:t>
      </w:r>
      <w:sdt>
        <w:sdtPr>
          <w:rPr>
            <w:rFonts w:cs="Arial"/>
            <w:szCs w:val="20"/>
          </w:rPr>
          <w:id w:val="-480227396"/>
          <w:citation/>
        </w:sdtPr>
        <w:sdtContent>
          <w:r>
            <w:rPr>
              <w:rFonts w:cs="Arial"/>
              <w:szCs w:val="20"/>
            </w:rPr>
            <w:fldChar w:fldCharType="begin"/>
          </w:r>
          <w:r>
            <w:rPr>
              <w:rFonts w:cs="Arial"/>
              <w:szCs w:val="20"/>
            </w:rPr>
            <w:instrText xml:space="preserve"> CITATION Har96 \l 2057 </w:instrText>
          </w:r>
          <w:r>
            <w:rPr>
              <w:rFonts w:cs="Arial"/>
              <w:szCs w:val="20"/>
            </w:rPr>
            <w:fldChar w:fldCharType="separate"/>
          </w:r>
          <w:r w:rsidR="0074017E">
            <w:rPr>
              <w:rFonts w:cs="Arial"/>
              <w:noProof/>
              <w:szCs w:val="20"/>
            </w:rPr>
            <w:t xml:space="preserve"> </w:t>
          </w:r>
          <w:r w:rsidR="0074017E" w:rsidRPr="0074017E">
            <w:rPr>
              <w:rFonts w:cs="Arial"/>
              <w:noProof/>
              <w:szCs w:val="20"/>
            </w:rPr>
            <w:t>[24]</w:t>
          </w:r>
          <w:r>
            <w:rPr>
              <w:rFonts w:cs="Arial"/>
              <w:szCs w:val="20"/>
            </w:rPr>
            <w:fldChar w:fldCharType="end"/>
          </w:r>
        </w:sdtContent>
      </w:sdt>
      <w:r w:rsidRPr="005F7F60">
        <w:rPr>
          <w:rFonts w:cs="Arial"/>
          <w:szCs w:val="20"/>
        </w:rPr>
        <w:t>, measures the model's discriminative ability — the probability that, for a randomly selected pair of engines, the engine predicted to fail first actually does fail first. Formally:</w:t>
      </w:r>
    </w:p>
    <w:p w14:paraId="70A6D9C6" w14:textId="77777777" w:rsidR="002F2B03" w:rsidRPr="005F7F60" w:rsidRDefault="002F2B03" w:rsidP="002F2B03">
      <w:pPr>
        <w:jc w:val="both"/>
        <w:rPr>
          <w:rFonts w:cs="Arial"/>
          <w:szCs w:val="20"/>
        </w:rPr>
      </w:pPr>
      <m:oMathPara>
        <m:oMath>
          <m:r>
            <w:rPr>
              <w:rFonts w:ascii="Cambria Math" w:hAnsi="Cambria Math" w:cs="Arial"/>
              <w:szCs w:val="20"/>
            </w:rPr>
            <m:t>C=P(</m:t>
          </m:r>
          <m:sSub>
            <m:sSubPr>
              <m:ctrlPr>
                <w:rPr>
                  <w:rFonts w:ascii="Cambria Math" w:hAnsi="Cambria Math" w:cs="Arial"/>
                  <w:szCs w:val="20"/>
                </w:rPr>
              </m:ctrlPr>
            </m:sSubPr>
            <m:e>
              <m:acc>
                <m:accPr>
                  <m:ctrlPr>
                    <w:rPr>
                      <w:rFonts w:ascii="Cambria Math" w:hAnsi="Cambria Math" w:cs="Arial"/>
                      <w:szCs w:val="20"/>
                    </w:rPr>
                  </m:ctrlPr>
                </m:accPr>
                <m:e>
                  <m:r>
                    <w:rPr>
                      <w:rFonts w:ascii="Cambria Math" w:hAnsi="Cambria Math" w:cs="Arial"/>
                      <w:szCs w:val="20"/>
                    </w:rPr>
                    <m:t>η</m:t>
                  </m:r>
                </m:e>
              </m:acc>
            </m:e>
            <m:sub>
              <m:r>
                <w:rPr>
                  <w:rFonts w:ascii="Cambria Math" w:hAnsi="Cambria Math" w:cs="Arial"/>
                  <w:szCs w:val="20"/>
                </w:rPr>
                <m:t>i</m:t>
              </m:r>
            </m:sub>
          </m:sSub>
          <m:r>
            <w:rPr>
              <w:rFonts w:ascii="Cambria Math" w:hAnsi="Cambria Math" w:cs="Arial"/>
              <w:szCs w:val="20"/>
            </w:rPr>
            <m:t>&gt;</m:t>
          </m:r>
          <m:sSub>
            <m:sSubPr>
              <m:ctrlPr>
                <w:rPr>
                  <w:rFonts w:ascii="Cambria Math" w:hAnsi="Cambria Math" w:cs="Arial"/>
                  <w:szCs w:val="20"/>
                </w:rPr>
              </m:ctrlPr>
            </m:sSubPr>
            <m:e>
              <m:acc>
                <m:accPr>
                  <m:ctrlPr>
                    <w:rPr>
                      <w:rFonts w:ascii="Cambria Math" w:hAnsi="Cambria Math" w:cs="Arial"/>
                      <w:szCs w:val="20"/>
                    </w:rPr>
                  </m:ctrlPr>
                </m:accPr>
                <m:e>
                  <m:r>
                    <w:rPr>
                      <w:rFonts w:ascii="Cambria Math" w:hAnsi="Cambria Math" w:cs="Arial"/>
                      <w:szCs w:val="20"/>
                    </w:rPr>
                    <m:t>η</m:t>
                  </m:r>
                </m:e>
              </m:acc>
            </m:e>
            <m:sub>
              <m:r>
                <w:rPr>
                  <w:rFonts w:ascii="Cambria Math" w:hAnsi="Cambria Math" w:cs="Arial"/>
                  <w:szCs w:val="20"/>
                </w:rPr>
                <m:t>j</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r>
            <w:rPr>
              <w:rFonts w:ascii="Cambria Math" w:hAnsi="Cambria Math" w:cs="Arial"/>
              <w:szCs w:val="20"/>
            </w:rPr>
            <m:t>&lt;</m:t>
          </m:r>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j</m:t>
              </m:r>
            </m:sub>
          </m:sSub>
          <m:r>
            <w:rPr>
              <w:rFonts w:ascii="Cambria Math" w:hAnsi="Cambria Math" w:cs="Arial"/>
              <w:szCs w:val="20"/>
            </w:rPr>
            <m:t>)</m:t>
          </m:r>
          <m:r>
            <w:rPr>
              <w:rFonts w:cs="Arial"/>
              <w:szCs w:val="20"/>
            </w:rPr>
            <w:br/>
          </m:r>
        </m:oMath>
      </m:oMathPara>
    </w:p>
    <w:p w14:paraId="4BFD694E" w14:textId="77777777" w:rsidR="002F2B03" w:rsidRPr="005F7F60" w:rsidRDefault="002F2B03" w:rsidP="002F2B03">
      <w:pPr>
        <w:pStyle w:val="font-claude-response-body"/>
        <w:jc w:val="both"/>
        <w:rPr>
          <w:rFonts w:cs="Arial"/>
          <w:szCs w:val="20"/>
        </w:rPr>
      </w:pPr>
      <w:r w:rsidRPr="005F7F60">
        <w:rPr>
          <w:rFonts w:cs="Arial"/>
          <w:szCs w:val="20"/>
        </w:rPr>
        <w:t xml:space="preserve">where </w:t>
      </w:r>
      <m:oMath>
        <m:sSub>
          <m:sSubPr>
            <m:ctrlPr>
              <w:rPr>
                <w:rFonts w:ascii="Cambria Math" w:hAnsi="Cambria Math" w:cs="Arial"/>
                <w:szCs w:val="20"/>
              </w:rPr>
            </m:ctrlPr>
          </m:sSubPr>
          <m:e>
            <m:acc>
              <m:accPr>
                <m:ctrlPr>
                  <w:rPr>
                    <w:rFonts w:ascii="Cambria Math" w:hAnsi="Cambria Math" w:cs="Arial"/>
                    <w:szCs w:val="20"/>
                  </w:rPr>
                </m:ctrlPr>
              </m:accPr>
              <m:e>
                <m:r>
                  <w:rPr>
                    <w:rFonts w:ascii="Cambria Math" w:hAnsi="Cambria Math" w:cs="Arial"/>
                    <w:szCs w:val="20"/>
                  </w:rPr>
                  <m:t>η</m:t>
                </m:r>
              </m:e>
            </m:acc>
          </m:e>
          <m:sub>
            <m:r>
              <w:rPr>
                <w:rFonts w:ascii="Cambria Math" w:hAnsi="Cambria Math" w:cs="Arial"/>
                <w:szCs w:val="20"/>
              </w:rPr>
              <m:t>i</m:t>
            </m:r>
          </m:sub>
        </m:sSub>
        <m:r>
          <w:rPr>
            <w:rFonts w:ascii="Cambria Math" w:hAnsi="Cambria Math" w:cs="Arial"/>
            <w:szCs w:val="20"/>
          </w:rPr>
          <m:t>=</m:t>
        </m:r>
        <m:sSup>
          <m:sSupPr>
            <m:ctrlPr>
              <w:rPr>
                <w:rFonts w:ascii="Cambria Math" w:hAnsi="Cambria Math" w:cs="Arial"/>
                <w:szCs w:val="20"/>
              </w:rPr>
            </m:ctrlPr>
          </m:sSupPr>
          <m:e>
            <m:r>
              <m:rPr>
                <m:sty m:val="bi"/>
              </m:rPr>
              <w:rPr>
                <w:rFonts w:ascii="Cambria Math" w:hAnsi="Cambria Math" w:cs="Arial"/>
                <w:szCs w:val="20"/>
              </w:rPr>
              <m:t>β</m:t>
            </m:r>
          </m:e>
          <m:sup>
            <m:r>
              <w:rPr>
                <w:rFonts w:ascii="Cambria Math" w:hAnsi="Cambria Math" w:cs="Arial"/>
                <w:szCs w:val="20"/>
              </w:rPr>
              <m:t>T</m:t>
            </m:r>
          </m:sup>
        </m:sSup>
        <m:sSub>
          <m:sSubPr>
            <m:ctrlPr>
              <w:rPr>
                <w:rFonts w:ascii="Cambria Math" w:hAnsi="Cambria Math" w:cs="Arial"/>
                <w:szCs w:val="20"/>
              </w:rPr>
            </m:ctrlPr>
          </m:sSubPr>
          <m:e>
            <m:r>
              <m:rPr>
                <m:sty m:val="b"/>
              </m:rPr>
              <w:rPr>
                <w:rFonts w:ascii="Cambria Math" w:hAnsi="Cambria Math" w:cs="Arial"/>
                <w:szCs w:val="20"/>
              </w:rPr>
              <m:t>x</m:t>
            </m:r>
          </m:e>
          <m:sub>
            <m:r>
              <w:rPr>
                <w:rFonts w:ascii="Cambria Math" w:hAnsi="Cambria Math" w:cs="Arial"/>
                <w:szCs w:val="20"/>
              </w:rPr>
              <m:t>i</m:t>
            </m:r>
          </m:sub>
        </m:sSub>
      </m:oMath>
      <w:r>
        <w:rPr>
          <w:rFonts w:cs="Arial"/>
          <w:szCs w:val="20"/>
        </w:rPr>
        <w:t xml:space="preserve"> </w:t>
      </w:r>
      <w:r w:rsidRPr="005F7F60">
        <w:rPr>
          <w:rFonts w:cs="Arial"/>
          <w:szCs w:val="20"/>
        </w:rPr>
        <w:t xml:space="preserve">is the predicted risk score for engine </w:t>
      </w:r>
      <m:oMath>
        <m:r>
          <w:rPr>
            <w:rFonts w:ascii="Cambria Math" w:hAnsi="Cambria Math" w:cs="Arial"/>
            <w:szCs w:val="20"/>
          </w:rPr>
          <m:t>i</m:t>
        </m:r>
      </m:oMath>
      <w:r w:rsidRPr="005F7F60">
        <w:rPr>
          <w:rFonts w:cs="Arial"/>
          <w:szCs w:val="20"/>
        </w:rPr>
        <w:t xml:space="preserve">and </w:t>
      </w:r>
      <m:oMath>
        <m:sSub>
          <m:sSubPr>
            <m:ctrlPr>
              <w:rPr>
                <w:rFonts w:ascii="Cambria Math" w:hAnsi="Cambria Math" w:cs="Arial"/>
                <w:szCs w:val="20"/>
              </w:rPr>
            </m:ctrlPr>
          </m:sSubPr>
          <m:e>
            <m:r>
              <w:rPr>
                <w:rFonts w:ascii="Cambria Math" w:hAnsi="Cambria Math" w:cs="Arial"/>
                <w:szCs w:val="20"/>
              </w:rPr>
              <m:t>T</m:t>
            </m:r>
          </m:e>
          <m:sub>
            <m:r>
              <w:rPr>
                <w:rFonts w:ascii="Cambria Math" w:hAnsi="Cambria Math" w:cs="Arial"/>
                <w:szCs w:val="20"/>
              </w:rPr>
              <m:t>i</m:t>
            </m:r>
          </m:sub>
        </m:sSub>
      </m:oMath>
      <w:r w:rsidRPr="005F7F60">
        <w:rPr>
          <w:rFonts w:cs="Arial"/>
          <w:szCs w:val="20"/>
        </w:rPr>
        <w:t xml:space="preserve">is the observed failure time. A C-index of 0.5 indicates random prediction; 1.0 indicates perfect discrimination. The value of 0.6398 obtained in </w:t>
      </w:r>
      <w:r w:rsidRPr="005F7F60">
        <w:rPr>
          <w:rFonts w:cs="Arial"/>
          <w:szCs w:val="20"/>
        </w:rPr>
        <w:lastRenderedPageBreak/>
        <w:t xml:space="preserve">Section 4.11.4 indicates moderate discriminative ability, consistent with a model using only four trajectory-level mean covariates. </w:t>
      </w:r>
    </w:p>
    <w:p w14:paraId="53BDB039" w14:textId="77777777" w:rsidR="002F2B03" w:rsidRPr="005F7F60" w:rsidRDefault="002F2B03" w:rsidP="002F2B03">
      <w:pPr>
        <w:pStyle w:val="Heading3"/>
      </w:pPr>
      <w:r w:rsidRPr="005F7F60">
        <w:t>A.6.6 Rationale for Model Selection</w:t>
      </w:r>
    </w:p>
    <w:p w14:paraId="2F1E6136" w14:textId="77777777" w:rsidR="002F2B03" w:rsidRPr="005F7F60" w:rsidRDefault="002F2B03" w:rsidP="002F2B03">
      <w:pPr>
        <w:pStyle w:val="font-claude-response-body"/>
        <w:jc w:val="both"/>
        <w:rPr>
          <w:rFonts w:cs="Arial"/>
          <w:szCs w:val="20"/>
        </w:rPr>
      </w:pPr>
      <w:r w:rsidRPr="005F7F60">
        <w:rPr>
          <w:rFonts w:cs="Arial"/>
          <w:szCs w:val="20"/>
        </w:rPr>
        <w:t>The Cox PH model and Kaplan-Meier estimator were selected over parametric alternatives (Weibull, log-normal, Accelerated Failure Time models) for three reasons.</w:t>
      </w:r>
    </w:p>
    <w:p w14:paraId="3B841AAD" w14:textId="77777777" w:rsidR="002F2B03" w:rsidRPr="005F7F60" w:rsidRDefault="002F2B03" w:rsidP="002F2B03">
      <w:pPr>
        <w:pStyle w:val="font-claude-response-body"/>
        <w:jc w:val="both"/>
        <w:rPr>
          <w:rFonts w:cs="Arial"/>
          <w:szCs w:val="20"/>
        </w:rPr>
      </w:pPr>
      <w:r w:rsidRPr="005F7F60">
        <w:rPr>
          <w:rFonts w:cs="Arial"/>
          <w:szCs w:val="20"/>
        </w:rPr>
        <w:t>First, the P-F interval distribution does not conform to a standard parametric family. Section 4.12.2 demonstrates that the dual-fault family exhibits bimodality, with a subpopulation of rapidly failing engines and a long right tail. Weibull and log-normal models impose unimodal distributional assumptions that would misrepresent this structure.</w:t>
      </w:r>
    </w:p>
    <w:p w14:paraId="56003251" w14:textId="77777777" w:rsidR="002F2B03" w:rsidRPr="005F7F60" w:rsidRDefault="002F2B03" w:rsidP="002F2B03">
      <w:pPr>
        <w:pStyle w:val="font-claude-response-body"/>
        <w:jc w:val="both"/>
        <w:rPr>
          <w:rFonts w:cs="Arial"/>
          <w:szCs w:val="20"/>
        </w:rPr>
      </w:pPr>
      <w:r w:rsidRPr="005F7F60">
        <w:rPr>
          <w:rFonts w:cs="Arial"/>
          <w:szCs w:val="20"/>
        </w:rPr>
        <w:t>Second, the Cox PH model's semi-parametric formulation allows covariate effects to be estimated without committing to a specific baseline hazard shape. This is particularly appropriate for a diagnostic exercise where the primary objective is to rank covariate importance (confirming EGT dominance) rather than to generate calibrated survival probabilities.</w:t>
      </w:r>
    </w:p>
    <w:p w14:paraId="6097349A" w14:textId="77777777" w:rsidR="002F2B03" w:rsidRPr="005F7F60" w:rsidRDefault="002F2B03" w:rsidP="002F2B03">
      <w:pPr>
        <w:pStyle w:val="font-claude-response-body"/>
        <w:jc w:val="both"/>
        <w:rPr>
          <w:rFonts w:cs="Arial"/>
          <w:szCs w:val="20"/>
        </w:rPr>
      </w:pPr>
      <w:r w:rsidRPr="005F7F60">
        <w:rPr>
          <w:rFonts w:cs="Arial"/>
          <w:szCs w:val="20"/>
        </w:rPr>
        <w:t>Third, the partial likelihood estimation is robust to the complete absence of censoring in the C-MAPSS training data. In operational deployment where censoring will be present, the same framework extends naturally without methodological change — the partial likelihood automatically accounts for censored observations through the risk set construction.</w:t>
      </w:r>
    </w:p>
    <w:p w14:paraId="35916553" w14:textId="72B7787C" w:rsidR="002F2B03" w:rsidRPr="008F2841" w:rsidRDefault="002F2B03" w:rsidP="002F2B03">
      <w:pPr>
        <w:pStyle w:val="font-claude-response-body"/>
        <w:jc w:val="both"/>
        <w:rPr>
          <w:rFonts w:cs="Arial"/>
          <w:szCs w:val="20"/>
        </w:rPr>
      </w:pPr>
      <w:r w:rsidRPr="005F7F60">
        <w:rPr>
          <w:rFonts w:cs="Arial"/>
          <w:szCs w:val="20"/>
        </w:rPr>
        <w:t xml:space="preserve">For Phase 5 deployment on real operational telemetry, where the proportional hazards assumption may be violated by time-varying covariates (e.g., maintenance resets), extensions such as the extended Cox model with time-dependent covariates or random survival forests should be evaluated (Table </w:t>
      </w:r>
      <w:r>
        <w:rPr>
          <w:rFonts w:cs="Arial"/>
          <w:szCs w:val="20"/>
        </w:rPr>
        <w:t>20</w:t>
      </w:r>
      <w:r w:rsidRPr="005F7F60">
        <w:rPr>
          <w:rFonts w:cs="Arial"/>
          <w:szCs w:val="20"/>
        </w:rPr>
        <w:t>, Item G3).</w:t>
      </w:r>
    </w:p>
    <w:sectPr w:rsidR="002F2B03" w:rsidRPr="008F2841">
      <w:headerReference w:type="even" r:id="rId20"/>
      <w:headerReference w:type="default" r:id="rId21"/>
      <w:footerReference w:type="even" r:id="rId22"/>
      <w:footerReference w:type="default" r:id="rId23"/>
      <w:headerReference w:type="first" r:id="rId24"/>
      <w:footerReference w:type="first" r:id="rId25"/>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0CE23" w14:textId="77777777" w:rsidR="00891CE5" w:rsidRDefault="00891CE5">
      <w:r>
        <w:separator/>
      </w:r>
    </w:p>
  </w:endnote>
  <w:endnote w:type="continuationSeparator" w:id="0">
    <w:p w14:paraId="6047520B" w14:textId="77777777" w:rsidR="00891CE5" w:rsidRDefault="00891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6E89" w14:textId="77777777" w:rsidR="00BB339E" w:rsidRDefault="00BB33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5D9A" w14:textId="2B6378CD" w:rsidR="00A807E4" w:rsidRDefault="00000000" w:rsidP="00BB339E">
    <w:pPr>
      <w:pBdr>
        <w:top w:val="single" w:sz="4" w:space="4" w:color="1B3A5C"/>
      </w:pBdr>
      <w:tabs>
        <w:tab w:val="right" w:pos="9070"/>
      </w:tabs>
      <w:jc w:val="center"/>
    </w:pPr>
    <w:r>
      <w:rPr>
        <w:color w:val="4A6274"/>
        <w:sz w:val="16"/>
        <w:szCs w:val="16"/>
      </w:rPr>
      <w:t xml:space="preserve">FusionCore </w:t>
    </w:r>
    <m:oMath>
      <m:sSub>
        <m:sSubPr>
          <m:ctrlPr>
            <w:rPr>
              <w:rFonts w:ascii="Cambria Math" w:hAnsi="Cambria Math"/>
              <w:i/>
              <w:color w:val="4A6274"/>
              <w:sz w:val="16"/>
              <w:szCs w:val="16"/>
            </w:rPr>
          </m:ctrlPr>
        </m:sSubPr>
        <m:e>
          <m:r>
            <w:rPr>
              <w:rFonts w:ascii="Cambria Math" w:hAnsi="Cambria Math"/>
              <w:color w:val="4A6274"/>
              <w:sz w:val="16"/>
              <w:szCs w:val="16"/>
            </w:rPr>
            <m:t>v</m:t>
          </m:r>
        </m:e>
        <m:sub>
          <m:r>
            <w:rPr>
              <w:rFonts w:ascii="Cambria Math" w:hAnsi="Cambria Math"/>
              <w:color w:val="4A6274"/>
              <w:sz w:val="16"/>
              <w:szCs w:val="16"/>
            </w:rPr>
            <m:t>0</m:t>
          </m:r>
        </m:sub>
      </m:sSub>
    </m:oMath>
    <w:r w:rsidR="00BB339E">
      <w:rPr>
        <w:color w:val="4A6274"/>
        <w:sz w:val="16"/>
        <w:szCs w:val="16"/>
      </w:rPr>
      <w:t xml:space="preserve"> | </w:t>
    </w:r>
    <w:r>
      <w:rPr>
        <w:color w:val="4A6274"/>
        <w:sz w:val="16"/>
        <w:szCs w:val="16"/>
      </w:rPr>
      <w:t>Technical Analysis Report</w:t>
    </w:r>
    <w:r w:rsidR="00BB339E">
      <w:rPr>
        <w:color w:val="4A6274"/>
        <w:sz w:val="16"/>
        <w:szCs w:val="16"/>
      </w:rPr>
      <w:t xml:space="preserve"> | </w:t>
    </w:r>
    <w:r>
      <w:rPr>
        <w:color w:val="4A6274"/>
        <w:sz w:val="16"/>
        <w:szCs w:val="16"/>
      </w:rPr>
      <w:t xml:space="preserve">Page </w:t>
    </w:r>
    <w:r>
      <w:rPr>
        <w:color w:val="4A6274"/>
        <w:sz w:val="16"/>
        <w:szCs w:val="16"/>
      </w:rPr>
      <w:fldChar w:fldCharType="begin"/>
    </w:r>
    <w:r>
      <w:rPr>
        <w:color w:val="4A6274"/>
        <w:sz w:val="16"/>
        <w:szCs w:val="16"/>
      </w:rPr>
      <w:instrText>PAGE</w:instrText>
    </w:r>
    <w:r>
      <w:rPr>
        <w:color w:val="4A6274"/>
        <w:sz w:val="16"/>
        <w:szCs w:val="16"/>
      </w:rPr>
      <w:fldChar w:fldCharType="separate"/>
    </w:r>
    <w:r w:rsidR="00CC253E">
      <w:rPr>
        <w:noProof/>
        <w:color w:val="4A6274"/>
        <w:sz w:val="16"/>
        <w:szCs w:val="16"/>
      </w:rPr>
      <w:t>1</w:t>
    </w:r>
    <w:r>
      <w:rPr>
        <w:color w:val="4A6274"/>
        <w:sz w:val="16"/>
        <w:szCs w:val="16"/>
      </w:rPr>
      <w:fldChar w:fldCharType="end"/>
    </w:r>
    <w:r>
      <w:rPr>
        <w:color w:val="4A6274"/>
        <w:sz w:val="16"/>
        <w:szCs w:val="16"/>
      </w:rPr>
      <w:t xml:space="preserve"> of </w:t>
    </w:r>
    <w:r>
      <w:rPr>
        <w:color w:val="4A6274"/>
        <w:sz w:val="16"/>
        <w:szCs w:val="16"/>
      </w:rPr>
      <w:fldChar w:fldCharType="begin"/>
    </w:r>
    <w:r>
      <w:rPr>
        <w:color w:val="4A6274"/>
        <w:sz w:val="16"/>
        <w:szCs w:val="16"/>
      </w:rPr>
      <w:instrText>NUMPAGES</w:instrText>
    </w:r>
    <w:r>
      <w:rPr>
        <w:color w:val="4A6274"/>
        <w:sz w:val="16"/>
        <w:szCs w:val="16"/>
      </w:rPr>
      <w:fldChar w:fldCharType="separate"/>
    </w:r>
    <w:r w:rsidR="00CC253E">
      <w:rPr>
        <w:noProof/>
        <w:color w:val="4A6274"/>
        <w:sz w:val="16"/>
        <w:szCs w:val="16"/>
      </w:rPr>
      <w:t>2</w:t>
    </w:r>
    <w:r>
      <w:rPr>
        <w:color w:val="4A6274"/>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4807" w14:textId="77777777" w:rsidR="00BB339E" w:rsidRDefault="00BB3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C491E" w14:textId="77777777" w:rsidR="00891CE5" w:rsidRDefault="00891CE5">
      <w:r>
        <w:separator/>
      </w:r>
    </w:p>
  </w:footnote>
  <w:footnote w:type="continuationSeparator" w:id="0">
    <w:p w14:paraId="6BDD9E03" w14:textId="77777777" w:rsidR="00891CE5" w:rsidRDefault="00891CE5">
      <w:r>
        <w:continuationSeparator/>
      </w:r>
    </w:p>
  </w:footnote>
  <w:footnote w:id="1">
    <w:p w14:paraId="6E5E4EB9" w14:textId="10920E6D" w:rsidR="00B45DA7" w:rsidRDefault="00B45DA7" w:rsidP="002E0DD1">
      <w:pPr>
        <w:pStyle w:val="FootnoteText"/>
        <w:jc w:val="both"/>
      </w:pPr>
      <w:r w:rsidRPr="00B45DA7">
        <w:rPr>
          <w:rStyle w:val="FootnoteReference"/>
          <w:color w:val="E97132" w:themeColor="accent2"/>
        </w:rPr>
        <w:footnoteRef/>
      </w:r>
      <w:r>
        <w:t xml:space="preserve"> </w:t>
      </w:r>
      <w:r w:rsidRPr="00B45DA7">
        <w:rPr>
          <w:sz w:val="18"/>
          <w:szCs w:val="18"/>
        </w:rPr>
        <w:t>The terminal threshold of RUL &lt; 30 cycles is operationally calibrated to the minimum actionable maintenance lead time established in Phase 2 Gate 3: a median P-F interval of 36 cycles against a hard minimum of 30 cycles, reflecting realistic slot-booking and parts-provisioning constraints in commercial MRO operations (Nowlan &amp; Heap, 1978)</w:t>
      </w:r>
      <w:sdt>
        <w:sdtPr>
          <w:rPr>
            <w:sz w:val="18"/>
            <w:szCs w:val="18"/>
          </w:rPr>
          <w:id w:val="1667277055"/>
          <w:citation/>
        </w:sdtPr>
        <w:sdtContent>
          <w:r w:rsidR="000706F9">
            <w:rPr>
              <w:sz w:val="18"/>
              <w:szCs w:val="18"/>
            </w:rPr>
            <w:fldChar w:fldCharType="begin"/>
          </w:r>
          <w:r w:rsidR="000706F9">
            <w:rPr>
              <w:sz w:val="18"/>
              <w:szCs w:val="18"/>
            </w:rPr>
            <w:instrText xml:space="preserve"> CITATION Now78 \l 2057 </w:instrText>
          </w:r>
          <w:r w:rsidR="000706F9">
            <w:rPr>
              <w:sz w:val="18"/>
              <w:szCs w:val="18"/>
            </w:rPr>
            <w:fldChar w:fldCharType="separate"/>
          </w:r>
          <w:r w:rsidR="0074017E">
            <w:rPr>
              <w:noProof/>
              <w:sz w:val="18"/>
              <w:szCs w:val="18"/>
            </w:rPr>
            <w:t xml:space="preserve"> </w:t>
          </w:r>
          <w:r w:rsidR="0074017E" w:rsidRPr="0074017E">
            <w:rPr>
              <w:noProof/>
              <w:sz w:val="18"/>
              <w:szCs w:val="18"/>
            </w:rPr>
            <w:t>[19]</w:t>
          </w:r>
          <w:r w:rsidR="000706F9">
            <w:rPr>
              <w:sz w:val="18"/>
              <w:szCs w:val="18"/>
            </w:rPr>
            <w:fldChar w:fldCharType="end"/>
          </w:r>
        </w:sdtContent>
      </w:sdt>
      <w:r w:rsidRPr="00B45DA7">
        <w:rPr>
          <w:sz w:val="18"/>
          <w:szCs w:val="18"/>
        </w:rPr>
        <w:t>. Rows satisfying this condition represent engines within the critical degradation window and constitute the primary signal of interest for downstream RUL estimation.</w:t>
      </w:r>
    </w:p>
  </w:footnote>
  <w:footnote w:id="2">
    <w:p w14:paraId="1C1CDB96" w14:textId="485044D8" w:rsidR="001065D2" w:rsidRDefault="001065D2" w:rsidP="002E0DD1">
      <w:pPr>
        <w:pStyle w:val="FootnoteText"/>
        <w:jc w:val="both"/>
      </w:pPr>
      <w:r w:rsidRPr="001065D2">
        <w:rPr>
          <w:rStyle w:val="FootnoteReference"/>
          <w:color w:val="E97132" w:themeColor="accent2"/>
        </w:rPr>
        <w:footnoteRef/>
      </w:r>
      <w:r>
        <w:t xml:space="preserve"> </w:t>
      </w:r>
      <w:r w:rsidRPr="001065D2">
        <w:rPr>
          <w:sz w:val="18"/>
          <w:szCs w:val="18"/>
        </w:rPr>
        <w:t>The negative RUL values visible in the KDE tails to the left of zero are a smoothing artefact of the kernel density estimator and carry no physical meaning — no engine in the dataset has a negative remaining useful life.</w:t>
      </w:r>
    </w:p>
  </w:footnote>
  <w:footnote w:id="3">
    <w:p w14:paraId="7B6C97F4" w14:textId="6D516CE2" w:rsidR="00B45DA7" w:rsidRPr="00F24BF5" w:rsidRDefault="00B45DA7" w:rsidP="00BD4886">
      <w:pPr>
        <w:jc w:val="both"/>
        <w:rPr>
          <w:rFonts w:cs="Arial"/>
          <w:sz w:val="18"/>
          <w:szCs w:val="18"/>
        </w:rPr>
      </w:pPr>
      <w:r w:rsidRPr="002E0DD1">
        <w:rPr>
          <w:rStyle w:val="FootnoteReference"/>
          <w:color w:val="E97132" w:themeColor="accent2"/>
        </w:rPr>
        <w:footnoteRef/>
      </w:r>
      <w:r w:rsidRPr="002E0DD1">
        <w:rPr>
          <w:color w:val="E97132" w:themeColor="accent2"/>
        </w:rPr>
        <w:t xml:space="preserve"> </w:t>
      </w:r>
      <w:r w:rsidR="002E0DD1" w:rsidRPr="00F24BF5">
        <w:rPr>
          <w:rFonts w:cs="Arial"/>
          <w:sz w:val="18"/>
          <w:szCs w:val="18"/>
        </w:rPr>
        <w:t xml:space="preserve">Inverse-frequency regime weighting assigns each training observation a weight inversely proportional to its regime's row count, such that minority regimes contribute equally to the training signal relative to the dominant Regime 0. For a regime </w:t>
      </w:r>
      <m:oMath>
        <m:r>
          <w:rPr>
            <w:rFonts w:ascii="Cambria Math" w:hAnsi="Cambria Math" w:cs="Arial"/>
            <w:sz w:val="18"/>
            <w:szCs w:val="18"/>
          </w:rPr>
          <m:t>r</m:t>
        </m:r>
      </m:oMath>
      <w:r w:rsidR="002E0DD1" w:rsidRPr="00F24BF5">
        <w:rPr>
          <w:rFonts w:cs="Arial"/>
          <w:sz w:val="18"/>
          <w:szCs w:val="18"/>
        </w:rPr>
        <w:t xml:space="preserve"> containing </w:t>
      </w: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r</m:t>
            </m:r>
          </m:sub>
        </m:sSub>
      </m:oMath>
      <w:r w:rsidR="002E0DD1" w:rsidRPr="00F24BF5">
        <w:rPr>
          <w:rFonts w:cs="Arial"/>
          <w:sz w:val="18"/>
          <w:szCs w:val="18"/>
        </w:rPr>
        <w:t xml:space="preserve"> rows out of </w:t>
      </w:r>
      <m:oMath>
        <m:r>
          <w:rPr>
            <w:rFonts w:ascii="Cambria Math" w:hAnsi="Cambria Math" w:cs="Arial"/>
            <w:sz w:val="18"/>
            <w:szCs w:val="18"/>
          </w:rPr>
          <m:t>N</m:t>
        </m:r>
      </m:oMath>
      <w:r w:rsidR="002E0DD1" w:rsidRPr="00F24BF5">
        <w:rPr>
          <w:rFonts w:cs="Arial"/>
          <w:sz w:val="18"/>
          <w:szCs w:val="18"/>
        </w:rPr>
        <w:t xml:space="preserve"> total rows across </w:t>
      </w:r>
      <m:oMath>
        <m:r>
          <w:rPr>
            <w:rFonts w:ascii="Cambria Math" w:hAnsi="Cambria Math" w:cs="Arial"/>
            <w:sz w:val="18"/>
            <w:szCs w:val="18"/>
          </w:rPr>
          <m:t>R</m:t>
        </m:r>
      </m:oMath>
      <w:r w:rsidR="002E0DD1" w:rsidRPr="00F24BF5">
        <w:rPr>
          <w:rFonts w:cs="Arial"/>
          <w:sz w:val="18"/>
          <w:szCs w:val="18"/>
        </w:rPr>
        <w:t xml:space="preserve"> regimes, the weight is: </w:t>
      </w:r>
      <m:oMath>
        <m:sSub>
          <m:sSubPr>
            <m:ctrlPr>
              <w:rPr>
                <w:rFonts w:ascii="Cambria Math" w:hAnsi="Cambria Math" w:cs="Arial"/>
                <w:i/>
                <w:sz w:val="18"/>
                <w:szCs w:val="18"/>
              </w:rPr>
            </m:ctrlPr>
          </m:sSubPr>
          <m:e>
            <m:r>
              <w:rPr>
                <w:rFonts w:ascii="Cambria Math" w:hAnsi="Cambria Math" w:cs="Arial"/>
                <w:sz w:val="18"/>
                <w:szCs w:val="18"/>
              </w:rPr>
              <m:t>w</m:t>
            </m:r>
          </m:e>
          <m:sub>
            <m:r>
              <w:rPr>
                <w:rFonts w:ascii="Cambria Math" w:hAnsi="Cambria Math" w:cs="Arial"/>
                <w:sz w:val="18"/>
                <w:szCs w:val="18"/>
              </w:rPr>
              <m:t>r</m:t>
            </m:r>
          </m:sub>
        </m:sSub>
        <m:r>
          <w:rPr>
            <w:rFonts w:ascii="Cambria Math" w:hAnsi="Cambria Math" w:cs="Arial"/>
            <w:sz w:val="18"/>
            <w:szCs w:val="18"/>
          </w:rPr>
          <m:t>=</m:t>
        </m:r>
        <m:f>
          <m:fPr>
            <m:ctrlPr>
              <w:rPr>
                <w:rFonts w:ascii="Cambria Math" w:hAnsi="Cambria Math" w:cs="Arial"/>
                <w:sz w:val="18"/>
                <w:szCs w:val="18"/>
              </w:rPr>
            </m:ctrlPr>
          </m:fPr>
          <m:num>
            <m:r>
              <w:rPr>
                <w:rFonts w:ascii="Cambria Math" w:hAnsi="Cambria Math" w:cs="Arial"/>
                <w:sz w:val="18"/>
                <w:szCs w:val="18"/>
              </w:rPr>
              <m:t>N</m:t>
            </m:r>
            <m:r>
              <m:rPr>
                <m:lit/>
              </m:rPr>
              <w:rPr>
                <w:rFonts w:ascii="Cambria Math" w:hAnsi="Cambria Math" w:cs="Arial"/>
                <w:sz w:val="18"/>
                <w:szCs w:val="18"/>
              </w:rPr>
              <m:t>/</m:t>
            </m:r>
            <m:r>
              <w:rPr>
                <w:rFonts w:ascii="Cambria Math" w:hAnsi="Cambria Math" w:cs="Arial"/>
                <w:sz w:val="18"/>
                <w:szCs w:val="18"/>
              </w:rPr>
              <m:t>R</m:t>
            </m:r>
            <m:ctrlPr>
              <w:rPr>
                <w:rFonts w:ascii="Cambria Math" w:hAnsi="Cambria Math" w:cs="Arial"/>
                <w:i/>
                <w:sz w:val="18"/>
                <w:szCs w:val="18"/>
              </w:rPr>
            </m:ctrlPr>
          </m:num>
          <m:den>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r</m:t>
                </m:r>
              </m:sub>
            </m:sSub>
            <m:ctrlPr>
              <w:rPr>
                <w:rFonts w:ascii="Cambria Math" w:hAnsi="Cambria Math" w:cs="Arial"/>
                <w:i/>
                <w:sz w:val="18"/>
                <w:szCs w:val="18"/>
              </w:rPr>
            </m:ctrlPr>
          </m:den>
        </m:f>
      </m:oMath>
    </w:p>
  </w:footnote>
  <w:footnote w:id="4">
    <w:p w14:paraId="362C0EBE" w14:textId="3972E25F" w:rsidR="00E14EDD" w:rsidRDefault="00E14EDD">
      <w:pPr>
        <w:pStyle w:val="FootnoteText"/>
      </w:pPr>
      <w:r w:rsidRPr="00E14EDD">
        <w:rPr>
          <w:rStyle w:val="FootnoteReference"/>
          <w:color w:val="E97132" w:themeColor="accent2"/>
        </w:rPr>
        <w:footnoteRef/>
      </w:r>
      <w:r>
        <w:t xml:space="preserve"> </w:t>
      </w:r>
      <w:r w:rsidRPr="004451D0">
        <w:rPr>
          <w:rFonts w:eastAsia="Times New Roman"/>
          <w:sz w:val="18"/>
          <w:szCs w:val="18"/>
        </w:rPr>
        <w:t xml:space="preserve">Appendix A.1 </w:t>
      </w:r>
      <w:r w:rsidRPr="00E14EDD">
        <w:rPr>
          <w:rFonts w:eastAsia="Times New Roman"/>
          <w:sz w:val="18"/>
          <w:szCs w:val="18"/>
        </w:rPr>
        <w:t>Conceptual Primer: Multicollinearity, VIF, and Physics-Informed Feature Enrichment</w:t>
      </w:r>
    </w:p>
  </w:footnote>
  <w:footnote w:id="5">
    <w:p w14:paraId="3846FFC5" w14:textId="0D9F6CC0" w:rsidR="00050574" w:rsidRDefault="00050574" w:rsidP="00B93351">
      <w:pPr>
        <w:pStyle w:val="FootnoteText"/>
        <w:jc w:val="both"/>
        <w:rPr>
          <w:sz w:val="18"/>
          <w:szCs w:val="18"/>
        </w:rPr>
      </w:pPr>
      <w:r w:rsidRPr="00980B59">
        <w:rPr>
          <w:rStyle w:val="FootnoteReference"/>
          <w:color w:val="E97132" w:themeColor="accent2"/>
          <w:sz w:val="18"/>
          <w:szCs w:val="18"/>
        </w:rPr>
        <w:footnoteRef/>
      </w:r>
      <w:r w:rsidRPr="00980B59">
        <w:rPr>
          <w:color w:val="E97132" w:themeColor="accent2"/>
          <w:sz w:val="18"/>
          <w:szCs w:val="18"/>
        </w:rPr>
        <w:t xml:space="preserve"> </w:t>
      </w:r>
      <w:r w:rsidRPr="00980B59">
        <w:rPr>
          <w:sz w:val="18"/>
          <w:szCs w:val="18"/>
        </w:rPr>
        <w:t xml:space="preserve">The transition from discrete simulation data to continuous real operational telemetry is the central architectural challenge of FusionCore </w:t>
      </w:r>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2</m:t>
            </m:r>
          </m:sub>
        </m:sSub>
      </m:oMath>
      <w:r w:rsidRPr="00980B59">
        <w:rPr>
          <w:sz w:val="18"/>
          <w:szCs w:val="18"/>
        </w:rPr>
        <w:t xml:space="preserve">. See Appendix A.2 for a detailed discussion of how NASA N-CMAPSS, introduced in FusionCore </w:t>
      </w:r>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2</m:t>
            </m:r>
          </m:sub>
        </m:sSub>
      </m:oMath>
      <w:r w:rsidRPr="00980B59">
        <w:rPr>
          <w:sz w:val="18"/>
          <w:szCs w:val="18"/>
        </w:rPr>
        <w:t>, serves as a structured proxy validation environment for real OEM engine monitoring systems — including GE EMS, Rolls-Royce ACMF, and Pratt &amp; Whitney's e-enabled engine platform — and the specific structural properties that make this connection principled rather than nominal.</w:t>
      </w:r>
    </w:p>
    <w:p w14:paraId="1A68DF38" w14:textId="77777777" w:rsidR="00A34C97" w:rsidRPr="00980B59" w:rsidRDefault="00A34C97" w:rsidP="00B93351">
      <w:pPr>
        <w:pStyle w:val="FootnoteText"/>
        <w:jc w:val="both"/>
        <w:rPr>
          <w:sz w:val="18"/>
          <w:szCs w:val="18"/>
        </w:rPr>
      </w:pPr>
    </w:p>
  </w:footnote>
  <w:footnote w:id="6">
    <w:p w14:paraId="67F5CD40" w14:textId="6BACD8F3" w:rsidR="00872F21" w:rsidRPr="000C4627" w:rsidRDefault="00872F21" w:rsidP="003A292C">
      <w:pPr>
        <w:tabs>
          <w:tab w:val="left" w:pos="2440"/>
        </w:tabs>
        <w:jc w:val="both"/>
        <w:rPr>
          <w:rFonts w:cs="Arial"/>
          <w:sz w:val="18"/>
          <w:szCs w:val="18"/>
        </w:rPr>
      </w:pPr>
      <w:r w:rsidRPr="000C4627">
        <w:rPr>
          <w:rStyle w:val="FootnoteReference"/>
          <w:color w:val="E97132" w:themeColor="accent2"/>
        </w:rPr>
        <w:footnoteRef/>
      </w:r>
      <w:r>
        <w:t xml:space="preserve"> </w:t>
      </w:r>
      <w:r w:rsidRPr="00F528EC">
        <w:rPr>
          <w:sz w:val="18"/>
          <w:szCs w:val="18"/>
        </w:rPr>
        <w:t>The Kaplan-Meier estimator (Kaplan &amp; Meier, 1958)</w:t>
      </w:r>
      <w:sdt>
        <w:sdtPr>
          <w:rPr>
            <w:sz w:val="18"/>
            <w:szCs w:val="18"/>
          </w:rPr>
          <w:id w:val="1384140769"/>
          <w:citation/>
        </w:sdtPr>
        <w:sdtContent>
          <w:r>
            <w:rPr>
              <w:sz w:val="18"/>
              <w:szCs w:val="18"/>
            </w:rPr>
            <w:fldChar w:fldCharType="begin"/>
          </w:r>
          <w:r>
            <w:rPr>
              <w:sz w:val="18"/>
              <w:szCs w:val="18"/>
            </w:rPr>
            <w:instrText xml:space="preserve"> CITATION Kap58 \l 2057 </w:instrText>
          </w:r>
          <w:r>
            <w:rPr>
              <w:sz w:val="18"/>
              <w:szCs w:val="18"/>
            </w:rPr>
            <w:fldChar w:fldCharType="separate"/>
          </w:r>
          <w:r w:rsidR="0074017E">
            <w:rPr>
              <w:noProof/>
              <w:sz w:val="18"/>
              <w:szCs w:val="18"/>
            </w:rPr>
            <w:t xml:space="preserve"> </w:t>
          </w:r>
          <w:r w:rsidR="0074017E" w:rsidRPr="0074017E">
            <w:rPr>
              <w:noProof/>
              <w:sz w:val="18"/>
              <w:szCs w:val="18"/>
            </w:rPr>
            <w:t>[10]</w:t>
          </w:r>
          <w:r>
            <w:rPr>
              <w:sz w:val="18"/>
              <w:szCs w:val="18"/>
            </w:rPr>
            <w:fldChar w:fldCharType="end"/>
          </w:r>
        </w:sdtContent>
      </w:sdt>
      <w:r w:rsidRPr="00F528EC">
        <w:rPr>
          <w:sz w:val="18"/>
          <w:szCs w:val="18"/>
        </w:rPr>
        <w:t xml:space="preserve"> is a non-parametric product-limit estimator that provides an empirical survival function without distributional assumptions. See Appendix A.6 for the full theoretical treatment, including the Greenwood variance formula and the rationale for preferring non-parametric estimation over parametric Weibull or log-normal alternatives in the turbofan degradation context.</w:t>
      </w:r>
    </w:p>
  </w:footnote>
  <w:footnote w:id="7">
    <w:p w14:paraId="3B3D7C22" w14:textId="5171499B" w:rsidR="00BF2439" w:rsidRPr="000C4627" w:rsidRDefault="00BF2439" w:rsidP="003A292C">
      <w:pPr>
        <w:tabs>
          <w:tab w:val="left" w:pos="2440"/>
        </w:tabs>
        <w:jc w:val="both"/>
        <w:rPr>
          <w:rFonts w:cs="Arial"/>
          <w:sz w:val="18"/>
          <w:szCs w:val="18"/>
        </w:rPr>
      </w:pPr>
      <w:r w:rsidRPr="002F2B03">
        <w:rPr>
          <w:rStyle w:val="FootnoteReference"/>
          <w:color w:val="E97132" w:themeColor="accent2"/>
        </w:rPr>
        <w:footnoteRef/>
      </w:r>
      <w:r>
        <w:t xml:space="preserve"> </w:t>
      </w:r>
      <w:r w:rsidRPr="00F528EC">
        <w:rPr>
          <w:sz w:val="18"/>
          <w:szCs w:val="18"/>
        </w:rPr>
        <w:t>The Cox Proportional Hazards model (Cox, 1972)</w:t>
      </w:r>
      <w:sdt>
        <w:sdtPr>
          <w:rPr>
            <w:sz w:val="18"/>
            <w:szCs w:val="18"/>
          </w:rPr>
          <w:id w:val="-2125532015"/>
          <w:citation/>
        </w:sdtPr>
        <w:sdtContent>
          <w:r>
            <w:rPr>
              <w:sz w:val="18"/>
              <w:szCs w:val="18"/>
            </w:rPr>
            <w:fldChar w:fldCharType="begin"/>
          </w:r>
          <w:r>
            <w:rPr>
              <w:sz w:val="18"/>
              <w:szCs w:val="18"/>
            </w:rPr>
            <w:instrText xml:space="preserve"> CITATION Cox72 \l 2057 </w:instrText>
          </w:r>
          <w:r>
            <w:rPr>
              <w:sz w:val="18"/>
              <w:szCs w:val="18"/>
            </w:rPr>
            <w:fldChar w:fldCharType="separate"/>
          </w:r>
          <w:r w:rsidR="0074017E">
            <w:rPr>
              <w:noProof/>
              <w:sz w:val="18"/>
              <w:szCs w:val="18"/>
            </w:rPr>
            <w:t xml:space="preserve"> </w:t>
          </w:r>
          <w:r w:rsidR="0074017E" w:rsidRPr="0074017E">
            <w:rPr>
              <w:noProof/>
              <w:sz w:val="18"/>
              <w:szCs w:val="18"/>
            </w:rPr>
            <w:t>[12]</w:t>
          </w:r>
          <w:r>
            <w:rPr>
              <w:sz w:val="18"/>
              <w:szCs w:val="18"/>
            </w:rPr>
            <w:fldChar w:fldCharType="end"/>
          </w:r>
        </w:sdtContent>
      </w:sdt>
      <w:r w:rsidRPr="00F528EC">
        <w:rPr>
          <w:sz w:val="18"/>
          <w:szCs w:val="18"/>
        </w:rPr>
        <w:t xml:space="preserve"> is a semi-parametric regression model that estimates covariate effects on the hazard function without specifying the baseline hazard. The partial likelihood formulation and Breslow baseline hazard estimator (Breslow, 1972)</w:t>
      </w:r>
      <w:sdt>
        <w:sdtPr>
          <w:rPr>
            <w:sz w:val="18"/>
            <w:szCs w:val="18"/>
          </w:rPr>
          <w:id w:val="-919410140"/>
          <w:citation/>
        </w:sdtPr>
        <w:sdtContent>
          <w:r>
            <w:rPr>
              <w:sz w:val="18"/>
              <w:szCs w:val="18"/>
            </w:rPr>
            <w:fldChar w:fldCharType="begin"/>
          </w:r>
          <w:r>
            <w:rPr>
              <w:sz w:val="18"/>
              <w:szCs w:val="18"/>
            </w:rPr>
            <w:instrText xml:space="preserve"> CITATION Bre72 \l 2057 </w:instrText>
          </w:r>
          <w:r>
            <w:rPr>
              <w:sz w:val="18"/>
              <w:szCs w:val="18"/>
            </w:rPr>
            <w:fldChar w:fldCharType="separate"/>
          </w:r>
          <w:r w:rsidR="0074017E">
            <w:rPr>
              <w:noProof/>
              <w:sz w:val="18"/>
              <w:szCs w:val="18"/>
            </w:rPr>
            <w:t xml:space="preserve"> </w:t>
          </w:r>
          <w:r w:rsidR="0074017E" w:rsidRPr="0074017E">
            <w:rPr>
              <w:noProof/>
              <w:sz w:val="18"/>
              <w:szCs w:val="18"/>
            </w:rPr>
            <w:t>[13]</w:t>
          </w:r>
          <w:r>
            <w:rPr>
              <w:sz w:val="18"/>
              <w:szCs w:val="18"/>
            </w:rPr>
            <w:fldChar w:fldCharType="end"/>
          </w:r>
        </w:sdtContent>
      </w:sdt>
      <w:r w:rsidRPr="00F528EC">
        <w:rPr>
          <w:sz w:val="18"/>
          <w:szCs w:val="18"/>
        </w:rPr>
        <w:t xml:space="preserve"> are detailed in Appendix A.6. The concordance index (Harrell et al., 1996)</w:t>
      </w:r>
      <w:sdt>
        <w:sdtPr>
          <w:rPr>
            <w:sz w:val="18"/>
            <w:szCs w:val="18"/>
          </w:rPr>
          <w:id w:val="-759446062"/>
          <w:citation/>
        </w:sdtPr>
        <w:sdtContent>
          <w:r>
            <w:rPr>
              <w:sz w:val="18"/>
              <w:szCs w:val="18"/>
            </w:rPr>
            <w:fldChar w:fldCharType="begin"/>
          </w:r>
          <w:r>
            <w:rPr>
              <w:sz w:val="18"/>
              <w:szCs w:val="18"/>
            </w:rPr>
            <w:instrText xml:space="preserve"> CITATION Har96 \l 2057 </w:instrText>
          </w:r>
          <w:r>
            <w:rPr>
              <w:sz w:val="18"/>
              <w:szCs w:val="18"/>
            </w:rPr>
            <w:fldChar w:fldCharType="separate"/>
          </w:r>
          <w:r w:rsidR="0074017E">
            <w:rPr>
              <w:noProof/>
              <w:sz w:val="18"/>
              <w:szCs w:val="18"/>
            </w:rPr>
            <w:t xml:space="preserve"> </w:t>
          </w:r>
          <w:r w:rsidR="0074017E" w:rsidRPr="0074017E">
            <w:rPr>
              <w:noProof/>
              <w:sz w:val="18"/>
              <w:szCs w:val="18"/>
            </w:rPr>
            <w:t>[24]</w:t>
          </w:r>
          <w:r>
            <w:rPr>
              <w:sz w:val="18"/>
              <w:szCs w:val="18"/>
            </w:rPr>
            <w:fldChar w:fldCharType="end"/>
          </w:r>
        </w:sdtContent>
      </w:sdt>
      <w:r w:rsidRPr="00F528EC">
        <w:rPr>
          <w:sz w:val="18"/>
          <w:szCs w:val="18"/>
        </w:rPr>
        <w:t xml:space="preserve"> quantifies discriminative ability.</w:t>
      </w:r>
    </w:p>
  </w:footnote>
  <w:footnote w:id="8">
    <w:p w14:paraId="7DDA6C45" w14:textId="46097270" w:rsidR="00980B59" w:rsidRDefault="00980B59" w:rsidP="00B93351">
      <w:pPr>
        <w:pStyle w:val="FootnoteText"/>
        <w:jc w:val="both"/>
        <w:rPr>
          <w:sz w:val="18"/>
          <w:szCs w:val="18"/>
        </w:rPr>
      </w:pPr>
      <w:r w:rsidRPr="00980B59">
        <w:rPr>
          <w:rStyle w:val="FootnoteReference"/>
          <w:color w:val="E97132" w:themeColor="accent2"/>
          <w:sz w:val="18"/>
          <w:szCs w:val="18"/>
        </w:rPr>
        <w:footnoteRef/>
      </w:r>
      <w:r w:rsidRPr="00980B59">
        <w:rPr>
          <w:sz w:val="18"/>
          <w:szCs w:val="18"/>
        </w:rPr>
        <w:t xml:space="preserve"> The feature count of 91 is established by two independent methods. The analytical derivation computes </w:t>
      </w:r>
    </w:p>
    <w:p w14:paraId="07D1B52C" w14:textId="7B0D3DD1" w:rsidR="00980B59" w:rsidRDefault="00980B59" w:rsidP="00B93351">
      <w:pPr>
        <w:pStyle w:val="FootnoteText"/>
        <w:jc w:val="both"/>
        <w:rPr>
          <w:sz w:val="18"/>
          <w:szCs w:val="18"/>
        </w:rPr>
      </w:pPr>
      <m:oMathPara>
        <m:oMath>
          <m:r>
            <m:rPr>
              <m:sty m:val="p"/>
            </m:rPr>
            <w:rPr>
              <w:rFonts w:ascii="Cambria Math" w:hAnsi="Cambria Math"/>
              <w:sz w:val="18"/>
              <w:szCs w:val="18"/>
            </w:rPr>
            <m:t>∣</m:t>
          </m:r>
          <m:r>
            <m:rPr>
              <m:sty m:val="b"/>
            </m:rP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N</m:t>
              </m:r>
            </m:e>
            <m:sub>
              <m:r>
                <m:rPr>
                  <m:nor/>
                </m:rPr>
                <w:rPr>
                  <w:sz w:val="18"/>
                  <w:szCs w:val="18"/>
                </w:rPr>
                <m:t>base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N</m:t>
              </m:r>
            </m:e>
            <m:sub>
              <m:r>
                <m:rPr>
                  <m:nor/>
                </m:rPr>
                <w:rPr>
                  <w:sz w:val="18"/>
                  <w:szCs w:val="18"/>
                </w:rPr>
                <m:t>active</m:t>
              </m:r>
            </m:sub>
          </m:sSub>
          <m:r>
            <w:rPr>
              <w:rFonts w:ascii="Cambria Math" w:hAnsi="Cambria Math"/>
              <w:sz w:val="18"/>
              <w:szCs w:val="18"/>
            </w:rPr>
            <m:t>×3)+</m:t>
          </m:r>
          <m:sSub>
            <m:sSubPr>
              <m:ctrlPr>
                <w:rPr>
                  <w:rFonts w:ascii="Cambria Math" w:hAnsi="Cambria Math"/>
                  <w:sz w:val="18"/>
                  <w:szCs w:val="18"/>
                </w:rPr>
              </m:ctrlPr>
            </m:sSubPr>
            <m:e>
              <m:r>
                <w:rPr>
                  <w:rFonts w:ascii="Cambria Math" w:hAnsi="Cambria Math"/>
                  <w:sz w:val="18"/>
                  <w:szCs w:val="18"/>
                </w:rPr>
                <m:t>N</m:t>
              </m:r>
            </m:e>
            <m:sub>
              <m:r>
                <m:rPr>
                  <m:nor/>
                </m:rPr>
                <w:rPr>
                  <w:sz w:val="18"/>
                  <w:szCs w:val="18"/>
                </w:rPr>
                <m:t>virtual</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N</m:t>
              </m:r>
            </m:e>
            <m:sub>
              <m:r>
                <m:rPr>
                  <m:nor/>
                </m:rPr>
                <w:rPr>
                  <w:sz w:val="18"/>
                  <w:szCs w:val="18"/>
                </w:rPr>
                <m:t>fatigue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N</m:t>
              </m:r>
            </m:e>
            <m:sub>
              <m:r>
                <m:rPr>
                  <m:nor/>
                </m:rPr>
                <w:rPr>
                  <w:sz w:val="18"/>
                  <w:szCs w:val="18"/>
                </w:rPr>
                <m:t>gap</m:t>
              </m:r>
            </m:sub>
          </m:sSub>
          <m:r>
            <w:rPr>
              <w:rFonts w:ascii="Cambria Math" w:hAnsi="Cambria Math"/>
              <w:sz w:val="18"/>
              <w:szCs w:val="18"/>
            </w:rPr>
            <m:t>=24+51+3+3+10=91</m:t>
          </m:r>
        </m:oMath>
      </m:oMathPara>
    </w:p>
    <w:p w14:paraId="6733BC5A" w14:textId="5ABFB6B9" w:rsidR="00980B59" w:rsidRDefault="00980B59" w:rsidP="00B93351">
      <w:pPr>
        <w:pStyle w:val="FootnoteText"/>
        <w:jc w:val="both"/>
      </w:pPr>
      <w:r w:rsidRPr="00980B59">
        <w:rPr>
          <w:sz w:val="18"/>
          <w:szCs w:val="18"/>
        </w:rPr>
        <w:t xml:space="preserve">from the pipeline specification before execution. The empirical verification reads </w:t>
      </w:r>
      <w:r w:rsidRPr="00980B59">
        <w:rPr>
          <w:rStyle w:val="HTMLCode"/>
          <w:rFonts w:eastAsia="Arial"/>
          <w:sz w:val="18"/>
          <w:szCs w:val="18"/>
        </w:rPr>
        <w:t>X_train.shape[1]</w:t>
      </w:r>
      <w:r w:rsidRPr="00980B59">
        <w:rPr>
          <w:sz w:val="18"/>
          <w:szCs w:val="18"/>
        </w:rPr>
        <w:t xml:space="preserve"> after execution and asserts equality against the formula result. Disagreement between the two constitutes an execution-halting failure at Feature Engineering Gate 2 (Cell 28), preventing a silently malformed feature matrix from propagating into Phase 4 model training.</w:t>
      </w:r>
    </w:p>
  </w:footnote>
  <w:footnote w:id="9">
    <w:p w14:paraId="3272FA39" w14:textId="77777777" w:rsidR="007E58CE" w:rsidRDefault="00057410" w:rsidP="007E58CE">
      <w:pPr>
        <w:jc w:val="both"/>
        <w:rPr>
          <w:rFonts w:cs="Arial"/>
          <w:sz w:val="18"/>
          <w:szCs w:val="18"/>
        </w:rPr>
      </w:pPr>
      <w:r w:rsidRPr="007E58CE">
        <w:rPr>
          <w:rStyle w:val="FootnoteReference"/>
          <w:rFonts w:cs="Arial"/>
          <w:color w:val="E97132" w:themeColor="accent2"/>
          <w:sz w:val="18"/>
          <w:szCs w:val="18"/>
        </w:rPr>
        <w:footnoteRef/>
      </w:r>
      <w:r w:rsidRPr="007E58CE">
        <w:rPr>
          <w:rFonts w:cs="Arial"/>
          <w:color w:val="E97132" w:themeColor="accent2"/>
          <w:sz w:val="18"/>
          <w:szCs w:val="18"/>
        </w:rPr>
        <w:t xml:space="preserve"> </w:t>
      </w:r>
      <w:r w:rsidRPr="00057410">
        <w:rPr>
          <w:rFonts w:cs="Arial"/>
          <w:sz w:val="18"/>
          <w:szCs w:val="18"/>
        </w:rPr>
        <w:t xml:space="preserve">The </w:t>
      </w:r>
      <w:r w:rsidRPr="006C19B3">
        <w:rPr>
          <w:rFonts w:cs="Arial"/>
          <w:sz w:val="18"/>
          <w:szCs w:val="18"/>
        </w:rPr>
        <w:t>revision to s7/s3 = P30/T30 is a pragmatic engineering substitution rather than a strict physical equivalent, but it is defensible on the following grounds. In isentropic compression the relationship between compressor outlet pressure and outlet temperature is governed by:</w:t>
      </w:r>
    </w:p>
    <w:p w14:paraId="0DDE30D4" w14:textId="7FF62A41" w:rsidR="007E58CE" w:rsidRPr="006C19B3" w:rsidRDefault="00000000" w:rsidP="007E58CE">
      <w:pPr>
        <w:jc w:val="both"/>
        <w:rPr>
          <w:rFonts w:cs="Arial"/>
          <w:sz w:val="18"/>
          <w:szCs w:val="18"/>
        </w:rPr>
      </w:pPr>
      <m:oMathPara>
        <m:oMath>
          <m:f>
            <m:fPr>
              <m:ctrlPr>
                <w:rPr>
                  <w:rFonts w:ascii="Cambria Math" w:hAnsi="Cambria Math" w:cs="Arial"/>
                  <w:sz w:val="18"/>
                  <w:szCs w:val="18"/>
                </w:rPr>
              </m:ctrlPr>
            </m:fPr>
            <m:num>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sub>
              </m:sSub>
            </m:num>
            <m:den>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2</m:t>
                  </m:r>
                </m:sub>
              </m:sSub>
            </m:den>
          </m:f>
          <m:r>
            <w:rPr>
              <w:rFonts w:ascii="Cambria Math" w:hAnsi="Cambria Math" w:cs="Arial"/>
              <w:sz w:val="18"/>
              <w:szCs w:val="18"/>
            </w:rPr>
            <m:t>=</m:t>
          </m:r>
          <m:sSup>
            <m:sSupPr>
              <m:ctrlPr>
                <w:rPr>
                  <w:rFonts w:ascii="Cambria Math" w:hAnsi="Cambria Math" w:cs="Arial"/>
                  <w:sz w:val="18"/>
                  <w:szCs w:val="18"/>
                </w:rPr>
              </m:ctrlPr>
            </m:sSupPr>
            <m:e>
              <m:d>
                <m:dPr>
                  <m:ctrlPr>
                    <w:rPr>
                      <w:rFonts w:ascii="Cambria Math" w:hAnsi="Cambria Math" w:cs="Arial"/>
                      <w:sz w:val="18"/>
                      <w:szCs w:val="18"/>
                    </w:rPr>
                  </m:ctrlPr>
                </m:dPr>
                <m:e>
                  <m:f>
                    <m:fPr>
                      <m:ctrlPr>
                        <w:rPr>
                          <w:rFonts w:ascii="Cambria Math" w:hAnsi="Cambria Math" w:cs="Arial"/>
                          <w:sz w:val="18"/>
                          <w:szCs w:val="18"/>
                        </w:rPr>
                      </m:ctrlPr>
                    </m:fPr>
                    <m:num>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30</m:t>
                          </m:r>
                        </m:sub>
                      </m:sSub>
                    </m:num>
                    <m:den>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2</m:t>
                          </m:r>
                        </m:sub>
                      </m:sSub>
                    </m:den>
                  </m:f>
                </m:e>
              </m:d>
            </m:e>
            <m:sup>
              <m:f>
                <m:fPr>
                  <m:ctrlPr>
                    <w:rPr>
                      <w:rFonts w:ascii="Cambria Math" w:hAnsi="Cambria Math" w:cs="Arial"/>
                      <w:sz w:val="18"/>
                      <w:szCs w:val="18"/>
                    </w:rPr>
                  </m:ctrlPr>
                </m:fPr>
                <m:num>
                  <m:r>
                    <w:rPr>
                      <w:rFonts w:ascii="Cambria Math" w:hAnsi="Cambria Math" w:cs="Arial"/>
                      <w:sz w:val="18"/>
                      <w:szCs w:val="18"/>
                    </w:rPr>
                    <m:t>γ-1</m:t>
                  </m:r>
                </m:num>
                <m:den>
                  <m:r>
                    <w:rPr>
                      <w:rFonts w:ascii="Cambria Math" w:hAnsi="Cambria Math" w:cs="Arial"/>
                      <w:sz w:val="18"/>
                      <w:szCs w:val="18"/>
                    </w:rPr>
                    <m:t>γ</m:t>
                  </m:r>
                </m:den>
              </m:f>
            </m:sup>
          </m:sSup>
          <m:r>
            <m:rPr>
              <m:sty m:val="p"/>
            </m:rPr>
            <w:rPr>
              <w:rFonts w:cs="Arial"/>
              <w:sz w:val="18"/>
              <w:szCs w:val="18"/>
            </w:rPr>
            <w:br/>
          </m:r>
        </m:oMath>
      </m:oMathPara>
    </w:p>
    <w:p w14:paraId="0C7DA7D2" w14:textId="02326E09" w:rsidR="00057410" w:rsidRPr="007E58CE" w:rsidRDefault="007E58CE" w:rsidP="007E58CE">
      <w:pPr>
        <w:spacing w:before="100" w:beforeAutospacing="1" w:after="100" w:afterAutospacing="1"/>
        <w:jc w:val="both"/>
        <w:rPr>
          <w:rFonts w:cs="Arial"/>
          <w:sz w:val="18"/>
          <w:szCs w:val="18"/>
        </w:rPr>
      </w:pPr>
      <w:r w:rsidRPr="006C19B3">
        <w:rPr>
          <w:rFonts w:cs="Arial"/>
          <w:sz w:val="18"/>
          <w:szCs w:val="18"/>
        </w:rPr>
        <w:t xml:space="preserve">Since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2</m:t>
            </m:r>
          </m:sub>
        </m:sSub>
      </m:oMath>
      <w:r w:rsidRPr="006C19B3">
        <w:rPr>
          <w:rFonts w:cs="Arial"/>
          <w:sz w:val="18"/>
          <w:szCs w:val="18"/>
        </w:rPr>
        <w:t xml:space="preserve">and </w:t>
      </w:r>
      <m:oMath>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2</m:t>
            </m:r>
          </m:sub>
        </m:sSub>
      </m:oMath>
      <w:r w:rsidRPr="006C19B3">
        <w:rPr>
          <w:rFonts w:cs="Arial"/>
          <w:sz w:val="18"/>
          <w:szCs w:val="18"/>
        </w:rPr>
        <w:t xml:space="preserve">are both held approximately constant within a regime (both are regime-dead or near-constant), </w:t>
      </w:r>
      <m:oMath>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sub>
        </m:sSub>
      </m:oMath>
      <w:r w:rsidRPr="006C19B3">
        <w:rPr>
          <w:rFonts w:cs="Arial"/>
          <w:sz w:val="18"/>
          <w:szCs w:val="18"/>
        </w:rPr>
        <w:t xml:space="preserve">becomes a monotone function of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30</m:t>
            </m:r>
          </m:sub>
        </m:sSub>
      </m:oMath>
      <w:r w:rsidRPr="006C19B3">
        <w:rPr>
          <w:rFonts w:cs="Arial"/>
          <w:sz w:val="18"/>
          <w:szCs w:val="18"/>
        </w:rPr>
        <w:t xml:space="preserve">under isentropic conditions. The ratio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30</m:t>
            </m:r>
          </m:sub>
        </m:sSub>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sub>
        </m:sSub>
      </m:oMath>
      <w:r w:rsidRPr="006C19B3">
        <w:rPr>
          <w:rFonts w:cs="Arial"/>
          <w:sz w:val="18"/>
          <w:szCs w:val="18"/>
        </w:rPr>
        <w:t>therefore encodes the departure from isentropic behaviour — it rises when the compressor is doing more work per unit pressure rise, which is precisely the signature of compressor degradation. Crucially, s3 (</w:t>
      </w:r>
      <m:oMath>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sub>
        </m:sSub>
      </m:oMath>
      <w:r w:rsidRPr="006C19B3">
        <w:rPr>
          <w:rFonts w:cs="Arial"/>
          <w:sz w:val="18"/>
          <w:szCs w:val="18"/>
        </w:rPr>
        <w:t>) is an active sensor with genuine within-regime variance, so the denominator is never degenerate.</w:t>
      </w:r>
    </w:p>
  </w:footnote>
  <w:footnote w:id="10">
    <w:p w14:paraId="4038498C" w14:textId="77777777" w:rsidR="007E58CE" w:rsidRPr="007E58CE" w:rsidRDefault="007E58CE" w:rsidP="007E58CE">
      <w:pPr>
        <w:pStyle w:val="font-claude-response-body"/>
        <w:jc w:val="both"/>
        <w:rPr>
          <w:rFonts w:cs="Arial"/>
          <w:sz w:val="18"/>
          <w:szCs w:val="18"/>
        </w:rPr>
      </w:pPr>
      <w:r w:rsidRPr="007E58CE">
        <w:rPr>
          <w:rStyle w:val="FootnoteReference"/>
          <w:rFonts w:cs="Arial"/>
          <w:color w:val="E97132" w:themeColor="accent2"/>
          <w:sz w:val="18"/>
          <w:szCs w:val="18"/>
        </w:rPr>
        <w:footnoteRef/>
      </w:r>
      <w:r w:rsidRPr="007E58CE">
        <w:rPr>
          <w:rFonts w:cs="Arial"/>
          <w:color w:val="E97132" w:themeColor="accent2"/>
          <w:sz w:val="18"/>
          <w:szCs w:val="18"/>
        </w:rPr>
        <w:t xml:space="preserve"> </w:t>
      </w:r>
      <w:r w:rsidRPr="007E58CE">
        <w:rPr>
          <w:rFonts w:cs="Arial"/>
          <w:sz w:val="18"/>
          <w:szCs w:val="18"/>
        </w:rPr>
        <w:t xml:space="preserve">Isentropic efficiency </w:t>
      </w:r>
      <m:oMath>
        <m:sSub>
          <m:sSubPr>
            <m:ctrlPr>
              <w:rPr>
                <w:rFonts w:ascii="Cambria Math" w:hAnsi="Cambria Math" w:cs="Arial"/>
                <w:sz w:val="18"/>
                <w:szCs w:val="18"/>
              </w:rPr>
            </m:ctrlPr>
          </m:sSubPr>
          <m:e>
            <m:r>
              <w:rPr>
                <w:rFonts w:ascii="Cambria Math" w:hAnsi="Cambria Math" w:cs="Arial"/>
                <w:sz w:val="18"/>
                <w:szCs w:val="18"/>
              </w:rPr>
              <m:t>η</m:t>
            </m:r>
          </m:e>
          <m:sub>
            <m:r>
              <w:rPr>
                <w:rFonts w:ascii="Cambria Math" w:hAnsi="Cambria Math" w:cs="Arial"/>
                <w:sz w:val="18"/>
                <w:szCs w:val="18"/>
              </w:rPr>
              <m:t>c</m:t>
            </m:r>
          </m:sub>
        </m:sSub>
      </m:oMath>
      <w:r w:rsidRPr="007E58CE">
        <w:rPr>
          <w:rFonts w:cs="Arial"/>
          <w:sz w:val="18"/>
          <w:szCs w:val="18"/>
        </w:rPr>
        <w:t xml:space="preserve">quantifies how closely a real compression process approximates the theoretically ideal (isentropic, i.e. reversible and adiabatic) process. For a compressor: </w:t>
      </w:r>
    </w:p>
    <w:p w14:paraId="4A6A629D" w14:textId="21BFFFBE" w:rsidR="007E58CE" w:rsidRPr="007E58CE" w:rsidRDefault="00000000" w:rsidP="007E58CE">
      <w:pPr>
        <w:jc w:val="both"/>
        <w:rPr>
          <w:rFonts w:cs="Arial"/>
          <w:sz w:val="18"/>
          <w:szCs w:val="18"/>
        </w:rPr>
      </w:pPr>
      <m:oMathPara>
        <m:oMath>
          <m:sSub>
            <m:sSubPr>
              <m:ctrlPr>
                <w:rPr>
                  <w:rFonts w:ascii="Cambria Math" w:hAnsi="Cambria Math" w:cs="Arial"/>
                  <w:sz w:val="18"/>
                  <w:szCs w:val="18"/>
                </w:rPr>
              </m:ctrlPr>
            </m:sSubPr>
            <m:e>
              <m:r>
                <w:rPr>
                  <w:rFonts w:ascii="Cambria Math" w:hAnsi="Cambria Math" w:cs="Arial"/>
                  <w:sz w:val="18"/>
                  <w:szCs w:val="18"/>
                </w:rPr>
                <m:t>η</m:t>
              </m:r>
            </m:e>
            <m:sub>
              <m:r>
                <w:rPr>
                  <w:rFonts w:ascii="Cambria Math" w:hAnsi="Cambria Math" w:cs="Arial"/>
                  <w:sz w:val="18"/>
                  <w:szCs w:val="18"/>
                </w:rPr>
                <m:t>c</m:t>
              </m:r>
            </m:sub>
          </m:sSub>
          <m:r>
            <w:rPr>
              <w:rFonts w:ascii="Cambria Math" w:hAnsi="Cambria Math" w:cs="Arial"/>
              <w:sz w:val="18"/>
              <w:szCs w:val="18"/>
            </w:rPr>
            <m:t>=</m:t>
          </m:r>
          <m:f>
            <m:fPr>
              <m:ctrlPr>
                <w:rPr>
                  <w:rFonts w:ascii="Cambria Math" w:hAnsi="Cambria Math" w:cs="Arial"/>
                  <w:sz w:val="18"/>
                  <w:szCs w:val="18"/>
                </w:rPr>
              </m:ctrlPr>
            </m:fPr>
            <m:num>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r>
                    <m:rPr>
                      <m:nor/>
                    </m:rPr>
                    <w:rPr>
                      <w:rFonts w:cs="Arial"/>
                      <w:sz w:val="18"/>
                      <w:szCs w:val="18"/>
                    </w:rPr>
                    <m:t>ideal</m:t>
                  </m:r>
                </m:sub>
              </m:sSub>
              <m: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2</m:t>
                  </m:r>
                </m:sub>
              </m:sSub>
            </m:num>
            <m:den>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r>
                    <m:rPr>
                      <m:nor/>
                    </m:rPr>
                    <w:rPr>
                      <w:rFonts w:cs="Arial"/>
                      <w:sz w:val="18"/>
                      <w:szCs w:val="18"/>
                    </w:rPr>
                    <m:t>actual</m:t>
                  </m:r>
                </m:sub>
              </m:sSub>
              <m: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2</m:t>
                  </m:r>
                </m:sub>
              </m:sSub>
            </m:den>
          </m:f>
          <m:r>
            <w:rPr>
              <w:rFonts w:ascii="Cambria Math" w:hAnsi="Cambria Math" w:cs="Arial"/>
              <w:sz w:val="18"/>
              <w:szCs w:val="18"/>
            </w:rPr>
            <m:t>=</m:t>
          </m:r>
          <m:f>
            <m:fPr>
              <m:ctrlPr>
                <w:rPr>
                  <w:rFonts w:ascii="Cambria Math" w:hAnsi="Cambria Math" w:cs="Arial"/>
                  <w:sz w:val="18"/>
                  <w:szCs w:val="18"/>
                </w:rPr>
              </m:ctrlPr>
            </m:fPr>
            <m:num>
              <m:sSup>
                <m:sSupPr>
                  <m:ctrlPr>
                    <w:rPr>
                      <w:rFonts w:ascii="Cambria Math" w:hAnsi="Cambria Math" w:cs="Arial"/>
                      <w:sz w:val="18"/>
                      <w:szCs w:val="18"/>
                    </w:rPr>
                  </m:ctrlPr>
                </m:sSupPr>
                <m:e>
                  <m:d>
                    <m:dPr>
                      <m:ctrlPr>
                        <w:rPr>
                          <w:rFonts w:ascii="Cambria Math" w:hAnsi="Cambria Math" w:cs="Arial"/>
                          <w:sz w:val="18"/>
                          <w:szCs w:val="18"/>
                        </w:rPr>
                      </m:ctrlPr>
                    </m:dPr>
                    <m:e>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30</m:t>
                          </m:r>
                        </m:sub>
                      </m:sSub>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2</m:t>
                          </m:r>
                        </m:sub>
                      </m:sSub>
                    </m:e>
                  </m:d>
                </m:e>
                <m:sup>
                  <m:r>
                    <w:rPr>
                      <w:rFonts w:ascii="Cambria Math" w:hAnsi="Cambria Math" w:cs="Arial"/>
                      <w:sz w:val="18"/>
                      <w:szCs w:val="18"/>
                    </w:rPr>
                    <m:t>(γ-1)</m:t>
                  </m:r>
                  <m:r>
                    <m:rPr>
                      <m:sty m:val="p"/>
                    </m:rPr>
                    <w:rPr>
                      <w:rFonts w:ascii="Cambria Math" w:hAnsi="Cambria Math" w:cs="Arial"/>
                      <w:sz w:val="18"/>
                      <w:szCs w:val="18"/>
                    </w:rPr>
                    <m:t>/</m:t>
                  </m:r>
                  <m:r>
                    <w:rPr>
                      <w:rFonts w:ascii="Cambria Math" w:hAnsi="Cambria Math" w:cs="Arial"/>
                      <w:sz w:val="18"/>
                      <w:szCs w:val="18"/>
                    </w:rPr>
                    <m:t>γ</m:t>
                  </m:r>
                </m:sup>
              </m:sSup>
              <m:r>
                <w:rPr>
                  <w:rFonts w:ascii="Cambria Math" w:hAnsi="Cambria Math" w:cs="Arial"/>
                  <w:sz w:val="18"/>
                  <w:szCs w:val="18"/>
                </w:rPr>
                <m:t>-1</m:t>
              </m:r>
            </m:num>
            <m:den>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sub>
              </m:sSub>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2</m:t>
                  </m:r>
                </m:sub>
              </m:sSub>
              <m:r>
                <w:rPr>
                  <w:rFonts w:ascii="Cambria Math" w:hAnsi="Cambria Math" w:cs="Arial"/>
                  <w:sz w:val="18"/>
                  <w:szCs w:val="18"/>
                </w:rPr>
                <m:t>-1</m:t>
              </m:r>
            </m:den>
          </m:f>
        </m:oMath>
      </m:oMathPara>
    </w:p>
    <w:p w14:paraId="1C9CCE06" w14:textId="3BF31F45" w:rsidR="007E58CE" w:rsidRPr="007E58CE" w:rsidRDefault="007E58CE" w:rsidP="007E58CE">
      <w:pPr>
        <w:pStyle w:val="font-claude-response-body"/>
        <w:jc w:val="both"/>
        <w:rPr>
          <w:rFonts w:cs="Arial"/>
          <w:sz w:val="18"/>
          <w:szCs w:val="18"/>
        </w:rPr>
      </w:pPr>
      <w:r w:rsidRPr="007E58CE">
        <w:rPr>
          <w:rFonts w:cs="Arial"/>
          <w:sz w:val="18"/>
          <w:szCs w:val="18"/>
        </w:rPr>
        <w:t xml:space="preserve">A value of </w:t>
      </w:r>
      <m:oMath>
        <m:sSub>
          <m:sSubPr>
            <m:ctrlPr>
              <w:rPr>
                <w:rFonts w:ascii="Cambria Math" w:hAnsi="Cambria Math" w:cs="Arial"/>
                <w:sz w:val="18"/>
                <w:szCs w:val="18"/>
              </w:rPr>
            </m:ctrlPr>
          </m:sSubPr>
          <m:e>
            <m:r>
              <w:rPr>
                <w:rFonts w:ascii="Cambria Math" w:hAnsi="Cambria Math" w:cs="Arial"/>
                <w:sz w:val="18"/>
                <w:szCs w:val="18"/>
              </w:rPr>
              <m:t>η</m:t>
            </m:r>
          </m:e>
          <m:sub>
            <m:r>
              <w:rPr>
                <w:rFonts w:ascii="Cambria Math" w:hAnsi="Cambria Math" w:cs="Arial"/>
                <w:sz w:val="18"/>
                <w:szCs w:val="18"/>
              </w:rPr>
              <m:t>c</m:t>
            </m:r>
          </m:sub>
        </m:sSub>
        <m:r>
          <w:rPr>
            <w:rFonts w:ascii="Cambria Math" w:hAnsi="Cambria Math" w:cs="Arial"/>
            <w:sz w:val="18"/>
            <w:szCs w:val="18"/>
          </w:rPr>
          <m:t>=1</m:t>
        </m:r>
      </m:oMath>
      <w:r w:rsidRPr="007E58CE">
        <w:rPr>
          <w:rFonts w:cs="Arial"/>
          <w:sz w:val="18"/>
          <w:szCs w:val="18"/>
        </w:rPr>
        <w:t xml:space="preserve">represents perfect isentropic compression. As blade erosion, tip clearance growth, and fouling accumulate, </w:t>
      </w:r>
      <m:oMath>
        <m:sSub>
          <m:sSubPr>
            <m:ctrlPr>
              <w:rPr>
                <w:rFonts w:ascii="Cambria Math" w:hAnsi="Cambria Math" w:cs="Arial"/>
                <w:sz w:val="18"/>
                <w:szCs w:val="18"/>
              </w:rPr>
            </m:ctrlPr>
          </m:sSubPr>
          <m:e>
            <m:r>
              <w:rPr>
                <w:rFonts w:ascii="Cambria Math" w:hAnsi="Cambria Math" w:cs="Arial"/>
                <w:sz w:val="18"/>
                <w:szCs w:val="18"/>
              </w:rPr>
              <m:t>η</m:t>
            </m:r>
          </m:e>
          <m:sub>
            <m:r>
              <w:rPr>
                <w:rFonts w:ascii="Cambria Math" w:hAnsi="Cambria Math" w:cs="Arial"/>
                <w:sz w:val="18"/>
                <w:szCs w:val="18"/>
              </w:rPr>
              <m:t>c</m:t>
            </m:r>
          </m:sub>
        </m:sSub>
      </m:oMath>
      <w:r w:rsidR="009B23CF">
        <w:rPr>
          <w:rFonts w:cs="Arial"/>
          <w:sz w:val="18"/>
          <w:szCs w:val="18"/>
        </w:rPr>
        <w:t xml:space="preserve"> </w:t>
      </w:r>
      <w:r w:rsidRPr="007E58CE">
        <w:rPr>
          <w:rFonts w:cs="Arial"/>
          <w:sz w:val="18"/>
          <w:szCs w:val="18"/>
        </w:rPr>
        <w:t xml:space="preserve">decreases — more shaft work is required to achieve the same pressure rise, with the excess appearing as additional outlet temperature </w:t>
      </w:r>
      <m:oMath>
        <m:sSub>
          <m:sSubPr>
            <m:ctrlPr>
              <w:rPr>
                <w:rFonts w:ascii="Cambria Math" w:hAnsi="Cambria Math" w:cs="Arial"/>
                <w:sz w:val="18"/>
                <w:szCs w:val="18"/>
              </w:rPr>
            </m:ctrlPr>
          </m:sSubPr>
          <m:e>
            <m:r>
              <w:rPr>
                <w:rFonts w:ascii="Cambria Math" w:hAnsi="Cambria Math" w:cs="Arial"/>
                <w:sz w:val="18"/>
                <w:szCs w:val="18"/>
              </w:rPr>
              <m:t>T</m:t>
            </m:r>
          </m:e>
          <m:sub>
            <m:r>
              <w:rPr>
                <w:rFonts w:ascii="Cambria Math" w:hAnsi="Cambria Math" w:cs="Arial"/>
                <w:sz w:val="18"/>
                <w:szCs w:val="18"/>
              </w:rPr>
              <m:t>30</m:t>
            </m:r>
          </m:sub>
        </m:sSub>
      </m:oMath>
      <w:r w:rsidRPr="007E58CE">
        <w:rPr>
          <w:rFonts w:cs="Arial"/>
          <w:sz w:val="18"/>
          <w:szCs w:val="18"/>
        </w:rPr>
        <w:t>.</w:t>
      </w:r>
    </w:p>
  </w:footnote>
  <w:footnote w:id="11">
    <w:p w14:paraId="38B0C796" w14:textId="7015FF1F" w:rsidR="007E58CE" w:rsidRDefault="007E58CE">
      <w:pPr>
        <w:pStyle w:val="FootnoteText"/>
      </w:pPr>
      <w:r w:rsidRPr="007E58CE">
        <w:rPr>
          <w:rStyle w:val="FootnoteReference"/>
          <w:color w:val="E97132" w:themeColor="accent2"/>
        </w:rPr>
        <w:footnoteRef/>
      </w:r>
      <w:r>
        <w:t xml:space="preserve"> </w:t>
      </w:r>
      <w:r w:rsidRPr="007E58CE">
        <w:rPr>
          <w:sz w:val="18"/>
          <w:szCs w:val="18"/>
        </w:rPr>
        <w:t>A further explanation is given in Appendix A.3</w:t>
      </w:r>
    </w:p>
  </w:footnote>
  <w:footnote w:id="12">
    <w:p w14:paraId="2CE67CB0" w14:textId="4BE06A1E" w:rsidR="008578BC" w:rsidRDefault="008578BC">
      <w:pPr>
        <w:pStyle w:val="FootnoteText"/>
      </w:pPr>
      <w:r w:rsidRPr="00573BDD">
        <w:rPr>
          <w:rStyle w:val="FootnoteReference"/>
          <w:color w:val="E97132" w:themeColor="accent2"/>
        </w:rPr>
        <w:footnoteRef/>
      </w:r>
      <w:r>
        <w:t xml:space="preserve"> </w:t>
      </w:r>
      <w:r w:rsidR="00573BDD" w:rsidRPr="00662D99">
        <w:rPr>
          <w:rFonts w:eastAsia="Times New Roman"/>
          <w:sz w:val="18"/>
          <w:szCs w:val="18"/>
        </w:rPr>
        <w:t>Illustrative cost estimate constructed from assumed fleet parameters and IATA shop visit benchmarking data</w:t>
      </w:r>
      <w:sdt>
        <w:sdtPr>
          <w:rPr>
            <w:rFonts w:eastAsia="Times New Roman"/>
            <w:sz w:val="18"/>
            <w:szCs w:val="18"/>
          </w:rPr>
          <w:id w:val="-1447768994"/>
          <w:citation/>
        </w:sdtPr>
        <w:sdtContent>
          <w:r w:rsidR="00BD4886">
            <w:rPr>
              <w:rFonts w:eastAsia="Times New Roman"/>
              <w:sz w:val="18"/>
              <w:szCs w:val="18"/>
            </w:rPr>
            <w:fldChar w:fldCharType="begin"/>
          </w:r>
          <w:r w:rsidR="00BD4886">
            <w:rPr>
              <w:rFonts w:eastAsia="Times New Roman"/>
              <w:sz w:val="18"/>
              <w:szCs w:val="18"/>
            </w:rPr>
            <w:instrText xml:space="preserve"> CITATION Int22 \l 2057 </w:instrText>
          </w:r>
          <w:r w:rsidR="00BD4886">
            <w:rPr>
              <w:rFonts w:eastAsia="Times New Roman"/>
              <w:sz w:val="18"/>
              <w:szCs w:val="18"/>
            </w:rPr>
            <w:fldChar w:fldCharType="separate"/>
          </w:r>
          <w:r w:rsidR="0074017E">
            <w:rPr>
              <w:rFonts w:eastAsia="Times New Roman"/>
              <w:noProof/>
              <w:sz w:val="18"/>
              <w:szCs w:val="18"/>
            </w:rPr>
            <w:t xml:space="preserve"> </w:t>
          </w:r>
          <w:r w:rsidR="0074017E" w:rsidRPr="0074017E">
            <w:rPr>
              <w:rFonts w:eastAsia="Times New Roman"/>
              <w:noProof/>
              <w:sz w:val="18"/>
              <w:szCs w:val="18"/>
            </w:rPr>
            <w:t>[21]</w:t>
          </w:r>
          <w:r w:rsidR="00BD4886">
            <w:rPr>
              <w:rFonts w:eastAsia="Times New Roman"/>
              <w:sz w:val="18"/>
              <w:szCs w:val="18"/>
            </w:rPr>
            <w:fldChar w:fldCharType="end"/>
          </w:r>
        </w:sdtContent>
      </w:sdt>
      <w:r w:rsidR="00573BDD" w:rsidRPr="00662D99">
        <w:rPr>
          <w:rFonts w:eastAsia="Times New Roman"/>
          <w:sz w:val="18"/>
          <w:szCs w:val="18"/>
        </w:rPr>
        <w:t>. The full derivation with stated assumptions is presented in Appendix A.4. No operational reliance should be placed on this figure without fleet-specific empirical validation.</w:t>
      </w:r>
    </w:p>
  </w:footnote>
  <w:footnote w:id="13">
    <w:p w14:paraId="1722D659" w14:textId="3AB2D00F" w:rsidR="007247DE" w:rsidRDefault="007247DE">
      <w:pPr>
        <w:pStyle w:val="FootnoteText"/>
      </w:pPr>
      <w:r w:rsidRPr="007247DE">
        <w:rPr>
          <w:rStyle w:val="FootnoteReference"/>
          <w:color w:val="E97132" w:themeColor="accent2"/>
        </w:rPr>
        <w:footnoteRef/>
      </w:r>
      <w:r>
        <w:t xml:space="preserve"> </w:t>
      </w:r>
      <w:r w:rsidRPr="00AA3314">
        <w:rPr>
          <w:rFonts w:eastAsia="Times New Roman"/>
          <w:sz w:val="18"/>
          <w:szCs w:val="18"/>
        </w:rPr>
        <w:t>See Appendix A.4 for the full fleet-level cost saving derivation and sensitivity analysis.</w:t>
      </w:r>
    </w:p>
  </w:footnote>
  <w:footnote w:id="14">
    <w:p w14:paraId="04463F11" w14:textId="6220F16C" w:rsidR="00545709" w:rsidRPr="00004DE7" w:rsidRDefault="00545709" w:rsidP="00545709">
      <w:pPr>
        <w:spacing w:before="100" w:beforeAutospacing="1" w:after="100" w:afterAutospacing="1"/>
        <w:jc w:val="both"/>
        <w:rPr>
          <w:rFonts w:cs="Arial"/>
          <w:sz w:val="18"/>
          <w:szCs w:val="18"/>
        </w:rPr>
      </w:pPr>
      <w:r w:rsidRPr="00223F35">
        <w:rPr>
          <w:rStyle w:val="FootnoteReference"/>
          <w:color w:val="E97132" w:themeColor="accent2"/>
        </w:rPr>
        <w:footnoteRef/>
      </w:r>
      <w:r>
        <w:t xml:space="preserve"> </w:t>
      </w:r>
      <w:r w:rsidRPr="00004DE7">
        <w:rPr>
          <w:rFonts w:cs="Arial"/>
          <w:sz w:val="18"/>
          <w:szCs w:val="18"/>
        </w:rPr>
        <w:t>Illustrative estimate only. No operational reliance should be placed on these figures without fleet-specific validation. Assuming 100 narrow-body aircraft, a false alert rate of 20–40 events per annum across the fleet, a 50% reduction in false alert rate from the multivariate health index relative to univariate EGT monitoring, and a direct cost per unnecessary ground stop of USD 8,000–15,000 (consistent with the lower bound of AOG cost estimates in Nowlan &amp; Heap (1978)</w:t>
      </w:r>
      <w:sdt>
        <w:sdtPr>
          <w:rPr>
            <w:rFonts w:cs="Arial"/>
            <w:sz w:val="18"/>
            <w:szCs w:val="18"/>
          </w:rPr>
          <w:id w:val="-103885695"/>
          <w:citation/>
        </w:sdtPr>
        <w:sdtContent>
          <w:r w:rsidR="00223F35">
            <w:rPr>
              <w:rFonts w:cs="Arial"/>
              <w:sz w:val="18"/>
              <w:szCs w:val="18"/>
            </w:rPr>
            <w:fldChar w:fldCharType="begin"/>
          </w:r>
          <w:r w:rsidR="00223F35">
            <w:rPr>
              <w:rFonts w:cs="Arial"/>
              <w:sz w:val="18"/>
              <w:szCs w:val="18"/>
            </w:rPr>
            <w:instrText xml:space="preserve"> CITATION Now78 \l 2057 </w:instrText>
          </w:r>
          <w:r w:rsidR="00223F35">
            <w:rPr>
              <w:rFonts w:cs="Arial"/>
              <w:sz w:val="18"/>
              <w:szCs w:val="18"/>
            </w:rPr>
            <w:fldChar w:fldCharType="separate"/>
          </w:r>
          <w:r w:rsidR="0074017E">
            <w:rPr>
              <w:rFonts w:cs="Arial"/>
              <w:noProof/>
              <w:sz w:val="18"/>
              <w:szCs w:val="18"/>
            </w:rPr>
            <w:t xml:space="preserve"> </w:t>
          </w:r>
          <w:r w:rsidR="0074017E" w:rsidRPr="0074017E">
            <w:rPr>
              <w:rFonts w:cs="Arial"/>
              <w:noProof/>
              <w:sz w:val="18"/>
              <w:szCs w:val="18"/>
            </w:rPr>
            <w:t>[19]</w:t>
          </w:r>
          <w:r w:rsidR="00223F35">
            <w:rPr>
              <w:rFonts w:cs="Arial"/>
              <w:sz w:val="18"/>
              <w:szCs w:val="18"/>
            </w:rPr>
            <w:fldChar w:fldCharType="end"/>
          </w:r>
        </w:sdtContent>
      </w:sdt>
      <w:r w:rsidRPr="00004DE7">
        <w:rPr>
          <w:rFonts w:cs="Arial"/>
          <w:sz w:val="18"/>
          <w:szCs w:val="18"/>
        </w:rPr>
        <w:t xml:space="preserve"> and IATA (2022)</w:t>
      </w:r>
      <w:sdt>
        <w:sdtPr>
          <w:rPr>
            <w:rFonts w:cs="Arial"/>
            <w:sz w:val="18"/>
            <w:szCs w:val="18"/>
          </w:rPr>
          <w:id w:val="-1754116675"/>
          <w:citation/>
        </w:sdtPr>
        <w:sdtContent>
          <w:r w:rsidR="00223F35">
            <w:rPr>
              <w:rFonts w:cs="Arial"/>
              <w:sz w:val="18"/>
              <w:szCs w:val="18"/>
            </w:rPr>
            <w:fldChar w:fldCharType="begin"/>
          </w:r>
          <w:r w:rsidR="00223F35">
            <w:rPr>
              <w:rFonts w:cs="Arial"/>
              <w:sz w:val="18"/>
              <w:szCs w:val="18"/>
            </w:rPr>
            <w:instrText xml:space="preserve"> CITATION Int22 \l 2057 </w:instrText>
          </w:r>
          <w:r w:rsidR="00223F35">
            <w:rPr>
              <w:rFonts w:cs="Arial"/>
              <w:sz w:val="18"/>
              <w:szCs w:val="18"/>
            </w:rPr>
            <w:fldChar w:fldCharType="separate"/>
          </w:r>
          <w:r w:rsidR="0074017E">
            <w:rPr>
              <w:rFonts w:cs="Arial"/>
              <w:noProof/>
              <w:sz w:val="18"/>
              <w:szCs w:val="18"/>
            </w:rPr>
            <w:t xml:space="preserve"> </w:t>
          </w:r>
          <w:r w:rsidR="0074017E" w:rsidRPr="0074017E">
            <w:rPr>
              <w:rFonts w:cs="Arial"/>
              <w:noProof/>
              <w:sz w:val="18"/>
              <w:szCs w:val="18"/>
            </w:rPr>
            <w:t>[21]</w:t>
          </w:r>
          <w:r w:rsidR="00223F35">
            <w:rPr>
              <w:rFonts w:cs="Arial"/>
              <w:sz w:val="18"/>
              <w:szCs w:val="18"/>
            </w:rPr>
            <w:fldChar w:fldCharType="end"/>
          </w:r>
        </w:sdtContent>
      </w:sdt>
      <w:r w:rsidRPr="00004DE7">
        <w:rPr>
          <w:rFonts w:cs="Arial"/>
          <w:sz w:val="18"/>
          <w:szCs w:val="18"/>
        </w:rPr>
        <w:t>, noting that a ground stop for inspection is substantially less costly than a full AOG event):</w:t>
      </w:r>
    </w:p>
    <w:p w14:paraId="15EE18EA" w14:textId="77777777" w:rsidR="00545709" w:rsidRPr="00004DE7" w:rsidRDefault="00545709" w:rsidP="00545709">
      <w:pPr>
        <w:spacing w:before="100" w:beforeAutospacing="1" w:after="100" w:afterAutospacing="1"/>
        <w:jc w:val="both"/>
        <w:rPr>
          <w:rFonts w:cs="Arial"/>
          <w:sz w:val="18"/>
          <w:szCs w:val="18"/>
        </w:rPr>
      </w:pPr>
      <m:oMathPara>
        <m:oMath>
          <m:r>
            <m:rPr>
              <m:nor/>
            </m:rPr>
            <w:rPr>
              <w:rFonts w:ascii="Cambria Math" w:hAnsi="Cambria Math" w:cs="Arial"/>
              <w:sz w:val="18"/>
              <w:szCs w:val="18"/>
            </w:rPr>
            <m:t>Saving</m:t>
          </m:r>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N</m:t>
              </m:r>
            </m:e>
            <m:sub>
              <m:r>
                <m:rPr>
                  <m:nor/>
                </m:rPr>
                <w:rPr>
                  <w:rFonts w:ascii="Cambria Math" w:hAnsi="Cambria Math" w:cs="Arial"/>
                  <w:sz w:val="18"/>
                  <w:szCs w:val="18"/>
                </w:rPr>
                <m:t>alerts</m:t>
              </m:r>
            </m:sub>
          </m:sSub>
          <m:r>
            <m:rPr>
              <m:sty m:val="p"/>
            </m:rP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r</m:t>
              </m:r>
              <m:ctrlPr>
                <w:rPr>
                  <w:rFonts w:ascii="Cambria Math" w:hAnsi="Cambria Math" w:cs="Arial"/>
                  <w:sz w:val="18"/>
                  <w:szCs w:val="18"/>
                </w:rPr>
              </m:ctrlPr>
            </m:e>
            <m:sub>
              <m:r>
                <m:rPr>
                  <m:nor/>
                </m:rPr>
                <w:rPr>
                  <w:rFonts w:ascii="Cambria Math" w:hAnsi="Cambria Math" w:cs="Arial"/>
                  <w:sz w:val="18"/>
                  <w:szCs w:val="18"/>
                </w:rPr>
                <m:t>reduction</m:t>
              </m:r>
            </m:sub>
          </m:sSub>
          <m:r>
            <m:rPr>
              <m:sty m:val="p"/>
            </m:rP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ctrlPr>
                <w:rPr>
                  <w:rFonts w:ascii="Cambria Math" w:hAnsi="Cambria Math" w:cs="Arial"/>
                  <w:sz w:val="18"/>
                  <w:szCs w:val="18"/>
                </w:rPr>
              </m:ctrlPr>
            </m:e>
            <m:sub>
              <m:r>
                <m:rPr>
                  <m:nor/>
                </m:rPr>
                <w:rPr>
                  <w:rFonts w:ascii="Cambria Math" w:hAnsi="Cambria Math" w:cs="Arial"/>
                  <w:sz w:val="18"/>
                  <w:szCs w:val="18"/>
                </w:rPr>
                <m:t>stop</m:t>
              </m:r>
            </m:sub>
          </m:sSub>
          <m:r>
            <w:rPr>
              <w:rFonts w:ascii="Cambria Math" w:hAnsi="Cambria Math" w:cs="Arial"/>
              <w:sz w:val="18"/>
              <w:szCs w:val="18"/>
            </w:rPr>
            <m:t>=</m:t>
          </m:r>
          <m:d>
            <m:dPr>
              <m:begChr m:val="["/>
              <m:endChr m:val="]"/>
              <m:ctrlPr>
                <w:rPr>
                  <w:rFonts w:ascii="Cambria Math" w:hAnsi="Cambria Math" w:cs="Arial"/>
                  <w:i/>
                  <w:sz w:val="18"/>
                  <w:szCs w:val="18"/>
                </w:rPr>
              </m:ctrlPr>
            </m:dPr>
            <m:e>
              <m:r>
                <w:rPr>
                  <w:rFonts w:ascii="Cambria Math" w:hAnsi="Cambria Math" w:cs="Arial"/>
                  <w:sz w:val="18"/>
                  <w:szCs w:val="18"/>
                </w:rPr>
                <m:t>20, 40</m:t>
              </m:r>
            </m:e>
          </m:d>
          <m:r>
            <m:rPr>
              <m:sty m:val="p"/>
            </m:rPr>
            <w:rPr>
              <w:rFonts w:ascii="Cambria Math" w:hAnsi="Cambria Math" w:cs="Arial"/>
              <w:sz w:val="18"/>
              <w:szCs w:val="18"/>
            </w:rPr>
            <m:t>×</m:t>
          </m:r>
          <m:r>
            <w:rPr>
              <w:rFonts w:ascii="Cambria Math" w:hAnsi="Cambria Math" w:cs="Arial"/>
              <w:sz w:val="18"/>
              <w:szCs w:val="18"/>
            </w:rPr>
            <m:t>0.50</m:t>
          </m:r>
          <m:r>
            <m:rPr>
              <m:sty m:val="p"/>
            </m:rPr>
            <w:rPr>
              <w:rFonts w:ascii="Cambria Math" w:hAnsi="Cambria Math" w:cs="Arial"/>
              <w:sz w:val="18"/>
              <w:szCs w:val="18"/>
            </w:rPr>
            <m:t>×</m:t>
          </m:r>
          <m:d>
            <m:dPr>
              <m:begChr m:val="["/>
              <m:endChr m:val="]"/>
              <m:ctrlPr>
                <w:rPr>
                  <w:rFonts w:ascii="Cambria Math" w:hAnsi="Cambria Math" w:cs="Arial"/>
                  <w:i/>
                  <w:sz w:val="18"/>
                  <w:szCs w:val="18"/>
                </w:rPr>
              </m:ctrlPr>
            </m:dPr>
            <m:e>
              <m:r>
                <w:rPr>
                  <w:rFonts w:ascii="Cambria Math" w:hAnsi="Cambria Math" w:cs="Arial"/>
                  <w:sz w:val="18"/>
                  <w:szCs w:val="18"/>
                </w:rPr>
                <m:t>8,000, 15,000</m:t>
              </m:r>
            </m:e>
          </m:d>
          <m:r>
            <w:rPr>
              <w:rFonts w:ascii="Cambria Math" w:hAnsi="Cambria Math" w:cs="Arial"/>
              <w:sz w:val="18"/>
              <w:szCs w:val="18"/>
            </w:rPr>
            <m:t>=</m:t>
          </m:r>
          <m:r>
            <m:rPr>
              <m:nor/>
            </m:rPr>
            <w:rPr>
              <w:rFonts w:ascii="Cambria Math" w:hAnsi="Cambria Math" w:cs="Arial"/>
              <w:sz w:val="18"/>
              <w:szCs w:val="18"/>
            </w:rPr>
            <m:t xml:space="preserve">USD </m:t>
          </m:r>
          <m:r>
            <w:rPr>
              <w:rFonts w:ascii="Cambria Math" w:hAnsi="Cambria Math" w:cs="Arial"/>
              <w:sz w:val="18"/>
              <w:szCs w:val="18"/>
            </w:rPr>
            <m:t>80,000</m:t>
          </m:r>
          <m:r>
            <m:rPr>
              <m:nor/>
            </m:rPr>
            <w:rPr>
              <w:rFonts w:ascii="Cambria Math" w:hAnsi="Cambria Math" w:cs="Arial"/>
              <w:sz w:val="18"/>
              <w:szCs w:val="18"/>
            </w:rPr>
            <m:t xml:space="preserve"> to </m:t>
          </m:r>
          <m:r>
            <w:rPr>
              <w:rFonts w:ascii="Cambria Math" w:hAnsi="Cambria Math" w:cs="Arial"/>
              <w:sz w:val="18"/>
              <w:szCs w:val="18"/>
            </w:rPr>
            <m:t>300,000</m:t>
          </m:r>
          <m:r>
            <m:rPr>
              <m:nor/>
            </m:rPr>
            <w:rPr>
              <w:rFonts w:ascii="Cambria Math" w:hAnsi="Cambria Math" w:cs="Arial"/>
              <w:sz w:val="18"/>
              <w:szCs w:val="18"/>
            </w:rPr>
            <m:t xml:space="preserve"> per annum</m:t>
          </m:r>
        </m:oMath>
      </m:oMathPara>
    </w:p>
    <w:p w14:paraId="63843226" w14:textId="2E513C6D" w:rsidR="00545709" w:rsidRPr="00223F35" w:rsidRDefault="00545709" w:rsidP="00223F35">
      <w:pPr>
        <w:spacing w:before="100" w:beforeAutospacing="1" w:after="100" w:afterAutospacing="1"/>
        <w:jc w:val="both"/>
        <w:rPr>
          <w:rFonts w:cs="Arial"/>
          <w:sz w:val="18"/>
          <w:szCs w:val="18"/>
        </w:rPr>
      </w:pPr>
      <w:r w:rsidRPr="00004DE7">
        <w:rPr>
          <w:rFonts w:cs="Arial"/>
          <w:sz w:val="18"/>
          <w:szCs w:val="18"/>
        </w:rPr>
        <w:t xml:space="preserve">The false alert rate of 20–40 events per annum is a conservative assumption for a 100-aircraft fleet operating univariate EGT threshold monitoring. The 50% reduction factor is not derived from FusionCore </w:t>
      </w:r>
      <m:oMath>
        <m:sSub>
          <m:sSubPr>
            <m:ctrlPr>
              <w:rPr>
                <w:rFonts w:ascii="Cambria Math" w:hAnsi="Cambria Math" w:cs="Arial"/>
                <w:i/>
                <w:sz w:val="18"/>
                <w:szCs w:val="18"/>
              </w:rPr>
            </m:ctrlPr>
          </m:sSubPr>
          <m:e>
            <m:r>
              <w:rPr>
                <w:rFonts w:ascii="Cambria Math" w:hAnsi="Cambria Math" w:cs="Arial"/>
                <w:sz w:val="18"/>
                <w:szCs w:val="18"/>
              </w:rPr>
              <m:t>v</m:t>
            </m:r>
          </m:e>
          <m:sub>
            <m:r>
              <w:rPr>
                <w:rFonts w:ascii="Cambria Math" w:hAnsi="Cambria Math" w:cs="Arial"/>
                <w:sz w:val="18"/>
                <w:szCs w:val="18"/>
              </w:rPr>
              <m:t>0</m:t>
            </m:r>
          </m:sub>
        </m:sSub>
      </m:oMath>
      <w:r w:rsidRPr="00004DE7">
        <w:rPr>
          <w:rFonts w:cs="Arial"/>
          <w:sz w:val="18"/>
          <w:szCs w:val="18"/>
        </w:rPr>
        <w:t xml:space="preserve"> results — it is an assumed improvement consistent with the general literature on multivariate versus univariate health monitoring (Volponi, 2014)</w:t>
      </w:r>
      <w:sdt>
        <w:sdtPr>
          <w:rPr>
            <w:rFonts w:cs="Arial"/>
            <w:sz w:val="18"/>
            <w:szCs w:val="18"/>
          </w:rPr>
          <w:id w:val="-1901968128"/>
          <w:citation/>
        </w:sdtPr>
        <w:sdtContent>
          <w:r w:rsidR="00223F35">
            <w:rPr>
              <w:rFonts w:cs="Arial"/>
              <w:sz w:val="18"/>
              <w:szCs w:val="18"/>
            </w:rPr>
            <w:fldChar w:fldCharType="begin"/>
          </w:r>
          <w:r w:rsidR="00223F35">
            <w:rPr>
              <w:rFonts w:cs="Arial"/>
              <w:sz w:val="18"/>
              <w:szCs w:val="18"/>
            </w:rPr>
            <w:instrText xml:space="preserve"> CITATION Vol14 \l 2057 </w:instrText>
          </w:r>
          <w:r w:rsidR="00223F35">
            <w:rPr>
              <w:rFonts w:cs="Arial"/>
              <w:sz w:val="18"/>
              <w:szCs w:val="18"/>
            </w:rPr>
            <w:fldChar w:fldCharType="separate"/>
          </w:r>
          <w:r w:rsidR="0074017E">
            <w:rPr>
              <w:rFonts w:cs="Arial"/>
              <w:noProof/>
              <w:sz w:val="18"/>
              <w:szCs w:val="18"/>
            </w:rPr>
            <w:t xml:space="preserve"> </w:t>
          </w:r>
          <w:r w:rsidR="0074017E" w:rsidRPr="0074017E">
            <w:rPr>
              <w:rFonts w:cs="Arial"/>
              <w:noProof/>
              <w:sz w:val="18"/>
              <w:szCs w:val="18"/>
            </w:rPr>
            <w:t>[8]</w:t>
          </w:r>
          <w:r w:rsidR="00223F35">
            <w:rPr>
              <w:rFonts w:cs="Arial"/>
              <w:sz w:val="18"/>
              <w:szCs w:val="18"/>
            </w:rPr>
            <w:fldChar w:fldCharType="end"/>
          </w:r>
        </w:sdtContent>
      </w:sdt>
      <w:r w:rsidRPr="00004DE7">
        <w:rPr>
          <w:rFonts w:cs="Arial"/>
          <w:sz w:val="18"/>
          <w:szCs w:val="18"/>
        </w:rPr>
        <w:t>. Actual savings are sensitive to the baseline false alert rate, which is operator- and fleet-specific and not determinable from the C-MAPSS simulation environment.</w:t>
      </w:r>
    </w:p>
  </w:footnote>
  <w:footnote w:id="15">
    <w:p w14:paraId="4073B88D" w14:textId="77777777" w:rsidR="00765CE6" w:rsidRDefault="00765CE6" w:rsidP="00765CE6">
      <w:pPr>
        <w:pStyle w:val="FootnoteText"/>
      </w:pPr>
      <w:r w:rsidRPr="006A3807">
        <w:rPr>
          <w:rStyle w:val="FootnoteReference"/>
          <w:color w:val="E97132" w:themeColor="accent2"/>
        </w:rPr>
        <w:footnoteRef/>
      </w:r>
      <w:r>
        <w:t xml:space="preserve"> </w:t>
      </w:r>
      <w:r w:rsidRPr="006A3807">
        <w:rPr>
          <w:sz w:val="18"/>
          <w:szCs w:val="18"/>
        </w:rPr>
        <w:t>An explanation is covered in Appendix A.5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8238" w14:textId="77777777" w:rsidR="00BB339E" w:rsidRDefault="00BB33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AA94" w14:textId="6094086C" w:rsidR="00A807E4" w:rsidRDefault="00CC253E" w:rsidP="00CC253E">
    <w:pPr>
      <w:pBdr>
        <w:bottom w:val="single" w:sz="4" w:space="4" w:color="1B3A5C"/>
      </w:pBdr>
      <w:tabs>
        <w:tab w:val="right" w:pos="9070"/>
      </w:tabs>
      <w:jc w:val="center"/>
    </w:pPr>
    <w:r w:rsidRPr="0030331D">
      <w:rPr>
        <w:b/>
        <w:bCs/>
        <w:color w:val="1B3A5C"/>
        <w:sz w:val="18"/>
        <w:szCs w:val="18"/>
      </w:rPr>
      <w:t xml:space="preserve">FusionCore </w:t>
    </w:r>
    <m:oMath>
      <m:sSub>
        <m:sSubPr>
          <m:ctrlPr>
            <w:rPr>
              <w:rFonts w:ascii="Cambria Math" w:hAnsi="Cambria Math"/>
              <w:b/>
              <w:bCs/>
              <w:i/>
              <w:color w:val="1B3A5C"/>
              <w:sz w:val="18"/>
              <w:szCs w:val="18"/>
            </w:rPr>
          </m:ctrlPr>
        </m:sSubPr>
        <m:e>
          <m:r>
            <m:rPr>
              <m:sty m:val="bi"/>
            </m:rPr>
            <w:rPr>
              <w:rFonts w:ascii="Cambria Math" w:hAnsi="Cambria Math"/>
              <w:color w:val="1B3A5C"/>
              <w:sz w:val="18"/>
              <w:szCs w:val="18"/>
            </w:rPr>
            <m:t>v</m:t>
          </m:r>
        </m:e>
        <m:sub>
          <m:r>
            <m:rPr>
              <m:sty m:val="bi"/>
            </m:rPr>
            <w:rPr>
              <w:rFonts w:ascii="Cambria Math" w:hAnsi="Cambria Math"/>
              <w:color w:val="1B3A5C"/>
              <w:sz w:val="18"/>
              <w:szCs w:val="18"/>
            </w:rPr>
            <m:t>0</m:t>
          </m:r>
        </m:sub>
      </m:sSub>
    </m:oMath>
    <w:r w:rsidRPr="0030331D">
      <w:rPr>
        <w:b/>
        <w:bCs/>
        <w:color w:val="1B3A5C"/>
        <w:sz w:val="18"/>
        <w:szCs w:val="18"/>
      </w:rPr>
      <w:t xml:space="preserve"> — Technical Analysis Report</w:t>
    </w:r>
    <w:r w:rsidRPr="0030331D">
      <w:rPr>
        <w:color w:val="4A6274"/>
        <w:sz w:val="16"/>
        <w:szCs w:val="16"/>
      </w:rPr>
      <w:t xml:space="preserve"> | </w:t>
    </w:r>
    <w:r>
      <w:rPr>
        <w:color w:val="4A6274"/>
        <w:sz w:val="16"/>
        <w:szCs w:val="16"/>
      </w:rPr>
      <w:t>Phase 3: Physics-Aware Feature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5640" w14:textId="77777777" w:rsidR="00BB339E" w:rsidRDefault="00BB3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996"/>
    <w:multiLevelType w:val="multilevel"/>
    <w:tmpl w:val="EF5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82198"/>
    <w:multiLevelType w:val="hybridMultilevel"/>
    <w:tmpl w:val="D3E0B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806A8D"/>
    <w:multiLevelType w:val="hybridMultilevel"/>
    <w:tmpl w:val="87E00FCA"/>
    <w:lvl w:ilvl="0" w:tplc="1D3832D0">
      <w:start w:val="1"/>
      <w:numFmt w:val="decimal"/>
      <w:lvlText w:val="%1."/>
      <w:lvlJc w:val="left"/>
      <w:pPr>
        <w:ind w:left="720" w:hanging="360"/>
      </w:pPr>
      <w:rPr>
        <w:rFonts w:ascii="Arial" w:hAnsi="Arial" w:cs="Aria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DF3911"/>
    <w:multiLevelType w:val="hybridMultilevel"/>
    <w:tmpl w:val="8AC649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5C5BD4"/>
    <w:multiLevelType w:val="hybridMultilevel"/>
    <w:tmpl w:val="2A5C7E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8D1C04"/>
    <w:multiLevelType w:val="hybridMultilevel"/>
    <w:tmpl w:val="959E74A0"/>
    <w:lvl w:ilvl="0" w:tplc="46D48E9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CC018C"/>
    <w:multiLevelType w:val="hybridMultilevel"/>
    <w:tmpl w:val="2C8E8EBA"/>
    <w:lvl w:ilvl="0" w:tplc="E382A88A">
      <w:start w:val="1"/>
      <w:numFmt w:val="bullet"/>
      <w:lvlText w:val="●"/>
      <w:lvlJc w:val="left"/>
      <w:pPr>
        <w:ind w:left="720" w:hanging="360"/>
      </w:pPr>
    </w:lvl>
    <w:lvl w:ilvl="1" w:tplc="2DA8DF30">
      <w:start w:val="1"/>
      <w:numFmt w:val="bullet"/>
      <w:lvlText w:val="○"/>
      <w:lvlJc w:val="left"/>
      <w:pPr>
        <w:ind w:left="1440" w:hanging="360"/>
      </w:pPr>
    </w:lvl>
    <w:lvl w:ilvl="2" w:tplc="BE1CE678">
      <w:start w:val="1"/>
      <w:numFmt w:val="bullet"/>
      <w:lvlText w:val="■"/>
      <w:lvlJc w:val="left"/>
      <w:pPr>
        <w:ind w:left="2160" w:hanging="360"/>
      </w:pPr>
    </w:lvl>
    <w:lvl w:ilvl="3" w:tplc="2DF6A1BC">
      <w:start w:val="1"/>
      <w:numFmt w:val="bullet"/>
      <w:lvlText w:val="●"/>
      <w:lvlJc w:val="left"/>
      <w:pPr>
        <w:ind w:left="2880" w:hanging="360"/>
      </w:pPr>
    </w:lvl>
    <w:lvl w:ilvl="4" w:tplc="46524AD4">
      <w:start w:val="1"/>
      <w:numFmt w:val="bullet"/>
      <w:lvlText w:val="○"/>
      <w:lvlJc w:val="left"/>
      <w:pPr>
        <w:ind w:left="3600" w:hanging="360"/>
      </w:pPr>
    </w:lvl>
    <w:lvl w:ilvl="5" w:tplc="0DD293A6">
      <w:start w:val="1"/>
      <w:numFmt w:val="bullet"/>
      <w:lvlText w:val="■"/>
      <w:lvlJc w:val="left"/>
      <w:pPr>
        <w:ind w:left="4320" w:hanging="360"/>
      </w:pPr>
    </w:lvl>
    <w:lvl w:ilvl="6" w:tplc="C17A13B8">
      <w:start w:val="1"/>
      <w:numFmt w:val="bullet"/>
      <w:lvlText w:val="●"/>
      <w:lvlJc w:val="left"/>
      <w:pPr>
        <w:ind w:left="5040" w:hanging="360"/>
      </w:pPr>
    </w:lvl>
    <w:lvl w:ilvl="7" w:tplc="BE1841A6">
      <w:start w:val="1"/>
      <w:numFmt w:val="bullet"/>
      <w:lvlText w:val="●"/>
      <w:lvlJc w:val="left"/>
      <w:pPr>
        <w:ind w:left="5760" w:hanging="360"/>
      </w:pPr>
    </w:lvl>
    <w:lvl w:ilvl="8" w:tplc="010ED2A4">
      <w:start w:val="1"/>
      <w:numFmt w:val="bullet"/>
      <w:lvlText w:val="●"/>
      <w:lvlJc w:val="left"/>
      <w:pPr>
        <w:ind w:left="6480" w:hanging="360"/>
      </w:pPr>
    </w:lvl>
  </w:abstractNum>
  <w:abstractNum w:abstractNumId="7" w15:restartNumberingAfterBreak="0">
    <w:nsid w:val="4DA334E4"/>
    <w:multiLevelType w:val="multilevel"/>
    <w:tmpl w:val="923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86D60"/>
    <w:multiLevelType w:val="hybridMultilevel"/>
    <w:tmpl w:val="783C0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CC0090"/>
    <w:multiLevelType w:val="multilevel"/>
    <w:tmpl w:val="60D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D0DD9"/>
    <w:multiLevelType w:val="hybridMultilevel"/>
    <w:tmpl w:val="51F8F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E86646"/>
    <w:multiLevelType w:val="multilevel"/>
    <w:tmpl w:val="9A7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511D8"/>
    <w:multiLevelType w:val="hybridMultilevel"/>
    <w:tmpl w:val="7324AC1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2D4D0F"/>
    <w:multiLevelType w:val="multilevel"/>
    <w:tmpl w:val="122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70E5A"/>
    <w:multiLevelType w:val="hybridMultilevel"/>
    <w:tmpl w:val="845AD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0C2DAE"/>
    <w:multiLevelType w:val="hybridMultilevel"/>
    <w:tmpl w:val="74263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0605695">
    <w:abstractNumId w:val="6"/>
    <w:lvlOverride w:ilvl="0">
      <w:startOverride w:val="1"/>
    </w:lvlOverride>
  </w:num>
  <w:num w:numId="2" w16cid:durableId="1267075936">
    <w:abstractNumId w:val="4"/>
  </w:num>
  <w:num w:numId="3" w16cid:durableId="774401517">
    <w:abstractNumId w:val="15"/>
  </w:num>
  <w:num w:numId="4" w16cid:durableId="1694844946">
    <w:abstractNumId w:val="1"/>
  </w:num>
  <w:num w:numId="5" w16cid:durableId="665788016">
    <w:abstractNumId w:val="14"/>
  </w:num>
  <w:num w:numId="6" w16cid:durableId="11686973">
    <w:abstractNumId w:val="12"/>
  </w:num>
  <w:num w:numId="7" w16cid:durableId="1346059653">
    <w:abstractNumId w:val="13"/>
  </w:num>
  <w:num w:numId="8" w16cid:durableId="1235123525">
    <w:abstractNumId w:val="9"/>
  </w:num>
  <w:num w:numId="9" w16cid:durableId="1654093146">
    <w:abstractNumId w:val="0"/>
  </w:num>
  <w:num w:numId="10" w16cid:durableId="505366810">
    <w:abstractNumId w:val="7"/>
  </w:num>
  <w:num w:numId="11" w16cid:durableId="94330987">
    <w:abstractNumId w:val="3"/>
  </w:num>
  <w:num w:numId="12" w16cid:durableId="46421246">
    <w:abstractNumId w:val="11"/>
  </w:num>
  <w:num w:numId="13" w16cid:durableId="1249264623">
    <w:abstractNumId w:val="10"/>
  </w:num>
  <w:num w:numId="14" w16cid:durableId="693966480">
    <w:abstractNumId w:val="8"/>
  </w:num>
  <w:num w:numId="15" w16cid:durableId="1652247013">
    <w:abstractNumId w:val="2"/>
  </w:num>
  <w:num w:numId="16" w16cid:durableId="992097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7E4"/>
    <w:rsid w:val="000039DA"/>
    <w:rsid w:val="00014649"/>
    <w:rsid w:val="00016383"/>
    <w:rsid w:val="0003435E"/>
    <w:rsid w:val="00046372"/>
    <w:rsid w:val="000479A7"/>
    <w:rsid w:val="00050574"/>
    <w:rsid w:val="00057410"/>
    <w:rsid w:val="000706F9"/>
    <w:rsid w:val="000B66C8"/>
    <w:rsid w:val="000C4627"/>
    <w:rsid w:val="000D62A5"/>
    <w:rsid w:val="000D6D4B"/>
    <w:rsid w:val="000D6E34"/>
    <w:rsid w:val="000E1C63"/>
    <w:rsid w:val="000F5841"/>
    <w:rsid w:val="000F6820"/>
    <w:rsid w:val="00101C0C"/>
    <w:rsid w:val="001065D2"/>
    <w:rsid w:val="00141D41"/>
    <w:rsid w:val="00194912"/>
    <w:rsid w:val="001A13D1"/>
    <w:rsid w:val="001C69AD"/>
    <w:rsid w:val="001D1834"/>
    <w:rsid w:val="001D71E3"/>
    <w:rsid w:val="001F2A18"/>
    <w:rsid w:val="0021343B"/>
    <w:rsid w:val="00223F35"/>
    <w:rsid w:val="00252AD2"/>
    <w:rsid w:val="00265E3A"/>
    <w:rsid w:val="002A3148"/>
    <w:rsid w:val="002E0DD1"/>
    <w:rsid w:val="002F2B03"/>
    <w:rsid w:val="00306256"/>
    <w:rsid w:val="00333F9E"/>
    <w:rsid w:val="00350601"/>
    <w:rsid w:val="003514BA"/>
    <w:rsid w:val="00362D0B"/>
    <w:rsid w:val="00367BAF"/>
    <w:rsid w:val="003A1A29"/>
    <w:rsid w:val="003A1C08"/>
    <w:rsid w:val="003A292C"/>
    <w:rsid w:val="003B4AA5"/>
    <w:rsid w:val="003C16CF"/>
    <w:rsid w:val="003F29BD"/>
    <w:rsid w:val="003F2F9D"/>
    <w:rsid w:val="00402FBC"/>
    <w:rsid w:val="00404950"/>
    <w:rsid w:val="004313AF"/>
    <w:rsid w:val="00444BDF"/>
    <w:rsid w:val="004639A2"/>
    <w:rsid w:val="00482BD0"/>
    <w:rsid w:val="0049331F"/>
    <w:rsid w:val="004B7E70"/>
    <w:rsid w:val="004C002F"/>
    <w:rsid w:val="004C1372"/>
    <w:rsid w:val="004E1AC7"/>
    <w:rsid w:val="004F3239"/>
    <w:rsid w:val="005002FB"/>
    <w:rsid w:val="00517FEF"/>
    <w:rsid w:val="00522852"/>
    <w:rsid w:val="00522906"/>
    <w:rsid w:val="0053337F"/>
    <w:rsid w:val="00545709"/>
    <w:rsid w:val="00555409"/>
    <w:rsid w:val="005643E7"/>
    <w:rsid w:val="00573BDD"/>
    <w:rsid w:val="0058103D"/>
    <w:rsid w:val="005B0FA3"/>
    <w:rsid w:val="005B31E3"/>
    <w:rsid w:val="005F3A3A"/>
    <w:rsid w:val="00607944"/>
    <w:rsid w:val="00623C1B"/>
    <w:rsid w:val="00656B77"/>
    <w:rsid w:val="00666BF8"/>
    <w:rsid w:val="00672B2D"/>
    <w:rsid w:val="00691649"/>
    <w:rsid w:val="006A3807"/>
    <w:rsid w:val="006D1BCE"/>
    <w:rsid w:val="006F3CAF"/>
    <w:rsid w:val="00705890"/>
    <w:rsid w:val="0071243C"/>
    <w:rsid w:val="007247DE"/>
    <w:rsid w:val="00731CB5"/>
    <w:rsid w:val="0074017E"/>
    <w:rsid w:val="007506B5"/>
    <w:rsid w:val="00764131"/>
    <w:rsid w:val="007654D0"/>
    <w:rsid w:val="0076579B"/>
    <w:rsid w:val="00765CE6"/>
    <w:rsid w:val="00773E12"/>
    <w:rsid w:val="00781075"/>
    <w:rsid w:val="007879BD"/>
    <w:rsid w:val="007A5DFA"/>
    <w:rsid w:val="007B5427"/>
    <w:rsid w:val="007E58CE"/>
    <w:rsid w:val="007E6C54"/>
    <w:rsid w:val="007F2129"/>
    <w:rsid w:val="007F5567"/>
    <w:rsid w:val="0081273A"/>
    <w:rsid w:val="0081553B"/>
    <w:rsid w:val="00820DEF"/>
    <w:rsid w:val="00832297"/>
    <w:rsid w:val="0083686F"/>
    <w:rsid w:val="0084775B"/>
    <w:rsid w:val="00856333"/>
    <w:rsid w:val="008578BC"/>
    <w:rsid w:val="0086752C"/>
    <w:rsid w:val="00872F21"/>
    <w:rsid w:val="00891CE5"/>
    <w:rsid w:val="008A738F"/>
    <w:rsid w:val="008C1B62"/>
    <w:rsid w:val="008C4117"/>
    <w:rsid w:val="008E0AEE"/>
    <w:rsid w:val="008F2841"/>
    <w:rsid w:val="009003FD"/>
    <w:rsid w:val="00935E43"/>
    <w:rsid w:val="0094653A"/>
    <w:rsid w:val="00947D46"/>
    <w:rsid w:val="009615A9"/>
    <w:rsid w:val="0096471B"/>
    <w:rsid w:val="00980B59"/>
    <w:rsid w:val="009B23CF"/>
    <w:rsid w:val="009F4F82"/>
    <w:rsid w:val="009F583B"/>
    <w:rsid w:val="00A016D4"/>
    <w:rsid w:val="00A05C02"/>
    <w:rsid w:val="00A31518"/>
    <w:rsid w:val="00A333FC"/>
    <w:rsid w:val="00A34C97"/>
    <w:rsid w:val="00A42DEE"/>
    <w:rsid w:val="00A717CE"/>
    <w:rsid w:val="00A807E4"/>
    <w:rsid w:val="00A92256"/>
    <w:rsid w:val="00A96614"/>
    <w:rsid w:val="00AD0112"/>
    <w:rsid w:val="00AD3CC0"/>
    <w:rsid w:val="00AF5F38"/>
    <w:rsid w:val="00AF7475"/>
    <w:rsid w:val="00B36896"/>
    <w:rsid w:val="00B44491"/>
    <w:rsid w:val="00B45DA7"/>
    <w:rsid w:val="00B45EFC"/>
    <w:rsid w:val="00B47088"/>
    <w:rsid w:val="00B53A9B"/>
    <w:rsid w:val="00B70C04"/>
    <w:rsid w:val="00B80538"/>
    <w:rsid w:val="00B8309D"/>
    <w:rsid w:val="00B93351"/>
    <w:rsid w:val="00B95139"/>
    <w:rsid w:val="00BB339E"/>
    <w:rsid w:val="00BC1A5C"/>
    <w:rsid w:val="00BD4886"/>
    <w:rsid w:val="00BF2439"/>
    <w:rsid w:val="00C05F0A"/>
    <w:rsid w:val="00C22914"/>
    <w:rsid w:val="00C24C4F"/>
    <w:rsid w:val="00C621B6"/>
    <w:rsid w:val="00C754B4"/>
    <w:rsid w:val="00C8282E"/>
    <w:rsid w:val="00C82AD0"/>
    <w:rsid w:val="00C871D5"/>
    <w:rsid w:val="00C8789F"/>
    <w:rsid w:val="00C92D7C"/>
    <w:rsid w:val="00CB0D37"/>
    <w:rsid w:val="00CB3B24"/>
    <w:rsid w:val="00CC22F4"/>
    <w:rsid w:val="00CC253E"/>
    <w:rsid w:val="00CC3D15"/>
    <w:rsid w:val="00CD643C"/>
    <w:rsid w:val="00CE0A59"/>
    <w:rsid w:val="00CE15B2"/>
    <w:rsid w:val="00CF43A3"/>
    <w:rsid w:val="00D0087E"/>
    <w:rsid w:val="00D41C37"/>
    <w:rsid w:val="00D461C5"/>
    <w:rsid w:val="00D8578C"/>
    <w:rsid w:val="00DA3304"/>
    <w:rsid w:val="00DD7397"/>
    <w:rsid w:val="00DE1012"/>
    <w:rsid w:val="00DE255F"/>
    <w:rsid w:val="00DF1020"/>
    <w:rsid w:val="00DF5B6A"/>
    <w:rsid w:val="00E00FB2"/>
    <w:rsid w:val="00E00FC4"/>
    <w:rsid w:val="00E14EDD"/>
    <w:rsid w:val="00E24C8E"/>
    <w:rsid w:val="00E578B7"/>
    <w:rsid w:val="00E90413"/>
    <w:rsid w:val="00E94E18"/>
    <w:rsid w:val="00EC2201"/>
    <w:rsid w:val="00EC5944"/>
    <w:rsid w:val="00EC5E36"/>
    <w:rsid w:val="00F046F8"/>
    <w:rsid w:val="00F24BF5"/>
    <w:rsid w:val="00F35A92"/>
    <w:rsid w:val="00F72C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42C8"/>
  <w15:docId w15:val="{C9586345-A6E7-D84E-A513-0C0DC0C1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4B4"/>
    <w:rPr>
      <w:rFonts w:eastAsia="Times New Roman" w:cs="Times New Roman"/>
      <w:color w:val="auto"/>
      <w:szCs w:val="24"/>
    </w:rPr>
  </w:style>
  <w:style w:type="paragraph" w:styleId="Heading1">
    <w:name w:val="heading 1"/>
    <w:link w:val="Heading1Char"/>
    <w:uiPriority w:val="9"/>
    <w:qFormat/>
    <w:rsid w:val="00CC253E"/>
    <w:pPr>
      <w:spacing w:before="240" w:after="120"/>
      <w:outlineLvl w:val="0"/>
    </w:pPr>
    <w:rPr>
      <w:b/>
      <w:bCs/>
      <w:color w:val="1B3A5C"/>
      <w:sz w:val="32"/>
      <w:szCs w:val="28"/>
    </w:rPr>
  </w:style>
  <w:style w:type="paragraph" w:styleId="Heading2">
    <w:name w:val="heading 2"/>
    <w:uiPriority w:val="9"/>
    <w:unhideWhenUsed/>
    <w:qFormat/>
    <w:rsid w:val="00A717CE"/>
    <w:pPr>
      <w:spacing w:before="200" w:after="80"/>
      <w:outlineLvl w:val="1"/>
    </w:pPr>
    <w:rPr>
      <w:b/>
      <w:bCs/>
      <w:color w:val="1B3A5C"/>
      <w:sz w:val="28"/>
      <w:szCs w:val="24"/>
    </w:rPr>
  </w:style>
  <w:style w:type="paragraph" w:styleId="Heading3">
    <w:name w:val="heading 3"/>
    <w:uiPriority w:val="9"/>
    <w:unhideWhenUsed/>
    <w:qFormat/>
    <w:pPr>
      <w:spacing w:before="160" w:after="60"/>
      <w:outlineLvl w:val="2"/>
    </w:pPr>
    <w:rPr>
      <w:b/>
      <w:bCs/>
      <w:color w:val="4A627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C253E"/>
    <w:pPr>
      <w:tabs>
        <w:tab w:val="center" w:pos="4513"/>
        <w:tab w:val="right" w:pos="9026"/>
      </w:tabs>
    </w:pPr>
    <w:rPr>
      <w:rFonts w:eastAsia="Arial" w:cs="Arial"/>
      <w:color w:val="2D2D2D"/>
      <w:szCs w:val="20"/>
    </w:rPr>
  </w:style>
  <w:style w:type="character" w:customStyle="1" w:styleId="HeaderChar">
    <w:name w:val="Header Char"/>
    <w:basedOn w:val="DefaultParagraphFont"/>
    <w:link w:val="Header"/>
    <w:uiPriority w:val="99"/>
    <w:rsid w:val="00CC253E"/>
  </w:style>
  <w:style w:type="paragraph" w:styleId="Footer">
    <w:name w:val="footer"/>
    <w:basedOn w:val="Normal"/>
    <w:link w:val="FooterChar"/>
    <w:uiPriority w:val="99"/>
    <w:unhideWhenUsed/>
    <w:rsid w:val="00CC253E"/>
    <w:pPr>
      <w:tabs>
        <w:tab w:val="center" w:pos="4513"/>
        <w:tab w:val="right" w:pos="9026"/>
      </w:tabs>
    </w:pPr>
    <w:rPr>
      <w:rFonts w:eastAsia="Arial" w:cs="Arial"/>
      <w:color w:val="2D2D2D"/>
      <w:szCs w:val="20"/>
    </w:rPr>
  </w:style>
  <w:style w:type="character" w:customStyle="1" w:styleId="FooterChar">
    <w:name w:val="Footer Char"/>
    <w:basedOn w:val="DefaultParagraphFont"/>
    <w:link w:val="Footer"/>
    <w:uiPriority w:val="99"/>
    <w:rsid w:val="00CC253E"/>
  </w:style>
  <w:style w:type="character" w:customStyle="1" w:styleId="Heading1Char">
    <w:name w:val="Heading 1 Char"/>
    <w:basedOn w:val="DefaultParagraphFont"/>
    <w:link w:val="Heading1"/>
    <w:uiPriority w:val="9"/>
    <w:rsid w:val="000039DA"/>
    <w:rPr>
      <w:b/>
      <w:bCs/>
      <w:color w:val="1B3A5C"/>
      <w:sz w:val="32"/>
      <w:szCs w:val="28"/>
    </w:rPr>
  </w:style>
  <w:style w:type="paragraph" w:styleId="Bibliography">
    <w:name w:val="Bibliography"/>
    <w:basedOn w:val="Normal"/>
    <w:next w:val="Normal"/>
    <w:uiPriority w:val="37"/>
    <w:unhideWhenUsed/>
    <w:rsid w:val="000039DA"/>
    <w:rPr>
      <w:rFonts w:eastAsia="Arial" w:cs="Arial"/>
      <w:color w:val="2D2D2D"/>
      <w:szCs w:val="20"/>
    </w:rPr>
  </w:style>
  <w:style w:type="paragraph" w:styleId="NormalWeb">
    <w:name w:val="Normal (Web)"/>
    <w:basedOn w:val="Normal"/>
    <w:uiPriority w:val="99"/>
    <w:unhideWhenUsed/>
    <w:rsid w:val="00832297"/>
    <w:pPr>
      <w:spacing w:before="100" w:beforeAutospacing="1" w:after="100" w:afterAutospacing="1"/>
    </w:pPr>
  </w:style>
  <w:style w:type="character" w:styleId="Strong">
    <w:name w:val="Strong"/>
    <w:basedOn w:val="DefaultParagraphFont"/>
    <w:uiPriority w:val="22"/>
    <w:qFormat/>
    <w:rsid w:val="00832297"/>
    <w:rPr>
      <w:b/>
      <w:bCs/>
    </w:rPr>
  </w:style>
  <w:style w:type="paragraph" w:customStyle="1" w:styleId="font-claude-response-body">
    <w:name w:val="font-claude-response-body"/>
    <w:basedOn w:val="Normal"/>
    <w:rsid w:val="001065D2"/>
    <w:pPr>
      <w:spacing w:before="100" w:beforeAutospacing="1" w:after="100" w:afterAutospacing="1"/>
    </w:pPr>
  </w:style>
  <w:style w:type="character" w:styleId="HTMLCode">
    <w:name w:val="HTML Code"/>
    <w:basedOn w:val="DefaultParagraphFont"/>
    <w:uiPriority w:val="99"/>
    <w:semiHidden/>
    <w:unhideWhenUsed/>
    <w:rsid w:val="002E0DD1"/>
    <w:rPr>
      <w:rFonts w:ascii="Courier New" w:eastAsia="Times New Roman" w:hAnsi="Courier New" w:cs="Courier New"/>
      <w:sz w:val="20"/>
      <w:szCs w:val="20"/>
    </w:rPr>
  </w:style>
  <w:style w:type="character" w:customStyle="1" w:styleId="mord">
    <w:name w:val="mord"/>
    <w:basedOn w:val="DefaultParagraphFont"/>
    <w:rsid w:val="00AD0112"/>
  </w:style>
  <w:style w:type="character" w:customStyle="1" w:styleId="vlist-s">
    <w:name w:val="vlist-s"/>
    <w:basedOn w:val="DefaultParagraphFont"/>
    <w:rsid w:val="00AD0112"/>
  </w:style>
  <w:style w:type="character" w:customStyle="1" w:styleId="mrel">
    <w:name w:val="mrel"/>
    <w:basedOn w:val="DefaultParagraphFont"/>
    <w:rsid w:val="00AD0112"/>
  </w:style>
  <w:style w:type="character" w:customStyle="1" w:styleId="mpunct">
    <w:name w:val="mpunct"/>
    <w:basedOn w:val="DefaultParagraphFont"/>
    <w:rsid w:val="00AD0112"/>
  </w:style>
  <w:style w:type="character" w:styleId="Emphasis">
    <w:name w:val="Emphasis"/>
    <w:basedOn w:val="DefaultParagraphFont"/>
    <w:uiPriority w:val="20"/>
    <w:qFormat/>
    <w:rsid w:val="00DF5B6A"/>
    <w:rPr>
      <w:i/>
      <w:iCs/>
    </w:rPr>
  </w:style>
  <w:style w:type="character" w:styleId="PlaceholderText">
    <w:name w:val="Placeholder Text"/>
    <w:basedOn w:val="DefaultParagraphFont"/>
    <w:uiPriority w:val="99"/>
    <w:semiHidden/>
    <w:rsid w:val="001D71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95">
      <w:bodyDiv w:val="1"/>
      <w:marLeft w:val="0"/>
      <w:marRight w:val="0"/>
      <w:marTop w:val="0"/>
      <w:marBottom w:val="0"/>
      <w:divBdr>
        <w:top w:val="none" w:sz="0" w:space="0" w:color="auto"/>
        <w:left w:val="none" w:sz="0" w:space="0" w:color="auto"/>
        <w:bottom w:val="none" w:sz="0" w:space="0" w:color="auto"/>
        <w:right w:val="none" w:sz="0" w:space="0" w:color="auto"/>
      </w:divBdr>
    </w:div>
    <w:div w:id="8652888">
      <w:bodyDiv w:val="1"/>
      <w:marLeft w:val="0"/>
      <w:marRight w:val="0"/>
      <w:marTop w:val="0"/>
      <w:marBottom w:val="0"/>
      <w:divBdr>
        <w:top w:val="none" w:sz="0" w:space="0" w:color="auto"/>
        <w:left w:val="none" w:sz="0" w:space="0" w:color="auto"/>
        <w:bottom w:val="none" w:sz="0" w:space="0" w:color="auto"/>
        <w:right w:val="none" w:sz="0" w:space="0" w:color="auto"/>
      </w:divBdr>
    </w:div>
    <w:div w:id="13574899">
      <w:bodyDiv w:val="1"/>
      <w:marLeft w:val="0"/>
      <w:marRight w:val="0"/>
      <w:marTop w:val="0"/>
      <w:marBottom w:val="0"/>
      <w:divBdr>
        <w:top w:val="none" w:sz="0" w:space="0" w:color="auto"/>
        <w:left w:val="none" w:sz="0" w:space="0" w:color="auto"/>
        <w:bottom w:val="none" w:sz="0" w:space="0" w:color="auto"/>
        <w:right w:val="none" w:sz="0" w:space="0" w:color="auto"/>
      </w:divBdr>
    </w:div>
    <w:div w:id="17781090">
      <w:bodyDiv w:val="1"/>
      <w:marLeft w:val="0"/>
      <w:marRight w:val="0"/>
      <w:marTop w:val="0"/>
      <w:marBottom w:val="0"/>
      <w:divBdr>
        <w:top w:val="none" w:sz="0" w:space="0" w:color="auto"/>
        <w:left w:val="none" w:sz="0" w:space="0" w:color="auto"/>
        <w:bottom w:val="none" w:sz="0" w:space="0" w:color="auto"/>
        <w:right w:val="none" w:sz="0" w:space="0" w:color="auto"/>
      </w:divBdr>
    </w:div>
    <w:div w:id="18438919">
      <w:bodyDiv w:val="1"/>
      <w:marLeft w:val="0"/>
      <w:marRight w:val="0"/>
      <w:marTop w:val="0"/>
      <w:marBottom w:val="0"/>
      <w:divBdr>
        <w:top w:val="none" w:sz="0" w:space="0" w:color="auto"/>
        <w:left w:val="none" w:sz="0" w:space="0" w:color="auto"/>
        <w:bottom w:val="none" w:sz="0" w:space="0" w:color="auto"/>
        <w:right w:val="none" w:sz="0" w:space="0" w:color="auto"/>
      </w:divBdr>
    </w:div>
    <w:div w:id="21444480">
      <w:bodyDiv w:val="1"/>
      <w:marLeft w:val="0"/>
      <w:marRight w:val="0"/>
      <w:marTop w:val="0"/>
      <w:marBottom w:val="0"/>
      <w:divBdr>
        <w:top w:val="none" w:sz="0" w:space="0" w:color="auto"/>
        <w:left w:val="none" w:sz="0" w:space="0" w:color="auto"/>
        <w:bottom w:val="none" w:sz="0" w:space="0" w:color="auto"/>
        <w:right w:val="none" w:sz="0" w:space="0" w:color="auto"/>
      </w:divBdr>
    </w:div>
    <w:div w:id="26028401">
      <w:bodyDiv w:val="1"/>
      <w:marLeft w:val="0"/>
      <w:marRight w:val="0"/>
      <w:marTop w:val="0"/>
      <w:marBottom w:val="0"/>
      <w:divBdr>
        <w:top w:val="none" w:sz="0" w:space="0" w:color="auto"/>
        <w:left w:val="none" w:sz="0" w:space="0" w:color="auto"/>
        <w:bottom w:val="none" w:sz="0" w:space="0" w:color="auto"/>
        <w:right w:val="none" w:sz="0" w:space="0" w:color="auto"/>
      </w:divBdr>
    </w:div>
    <w:div w:id="27876795">
      <w:bodyDiv w:val="1"/>
      <w:marLeft w:val="0"/>
      <w:marRight w:val="0"/>
      <w:marTop w:val="0"/>
      <w:marBottom w:val="0"/>
      <w:divBdr>
        <w:top w:val="none" w:sz="0" w:space="0" w:color="auto"/>
        <w:left w:val="none" w:sz="0" w:space="0" w:color="auto"/>
        <w:bottom w:val="none" w:sz="0" w:space="0" w:color="auto"/>
        <w:right w:val="none" w:sz="0" w:space="0" w:color="auto"/>
      </w:divBdr>
    </w:div>
    <w:div w:id="33773225">
      <w:bodyDiv w:val="1"/>
      <w:marLeft w:val="0"/>
      <w:marRight w:val="0"/>
      <w:marTop w:val="0"/>
      <w:marBottom w:val="0"/>
      <w:divBdr>
        <w:top w:val="none" w:sz="0" w:space="0" w:color="auto"/>
        <w:left w:val="none" w:sz="0" w:space="0" w:color="auto"/>
        <w:bottom w:val="none" w:sz="0" w:space="0" w:color="auto"/>
        <w:right w:val="none" w:sz="0" w:space="0" w:color="auto"/>
      </w:divBdr>
    </w:div>
    <w:div w:id="36272842">
      <w:bodyDiv w:val="1"/>
      <w:marLeft w:val="0"/>
      <w:marRight w:val="0"/>
      <w:marTop w:val="0"/>
      <w:marBottom w:val="0"/>
      <w:divBdr>
        <w:top w:val="none" w:sz="0" w:space="0" w:color="auto"/>
        <w:left w:val="none" w:sz="0" w:space="0" w:color="auto"/>
        <w:bottom w:val="none" w:sz="0" w:space="0" w:color="auto"/>
        <w:right w:val="none" w:sz="0" w:space="0" w:color="auto"/>
      </w:divBdr>
    </w:div>
    <w:div w:id="38021374">
      <w:bodyDiv w:val="1"/>
      <w:marLeft w:val="0"/>
      <w:marRight w:val="0"/>
      <w:marTop w:val="0"/>
      <w:marBottom w:val="0"/>
      <w:divBdr>
        <w:top w:val="none" w:sz="0" w:space="0" w:color="auto"/>
        <w:left w:val="none" w:sz="0" w:space="0" w:color="auto"/>
        <w:bottom w:val="none" w:sz="0" w:space="0" w:color="auto"/>
        <w:right w:val="none" w:sz="0" w:space="0" w:color="auto"/>
      </w:divBdr>
    </w:div>
    <w:div w:id="42563827">
      <w:bodyDiv w:val="1"/>
      <w:marLeft w:val="0"/>
      <w:marRight w:val="0"/>
      <w:marTop w:val="0"/>
      <w:marBottom w:val="0"/>
      <w:divBdr>
        <w:top w:val="none" w:sz="0" w:space="0" w:color="auto"/>
        <w:left w:val="none" w:sz="0" w:space="0" w:color="auto"/>
        <w:bottom w:val="none" w:sz="0" w:space="0" w:color="auto"/>
        <w:right w:val="none" w:sz="0" w:space="0" w:color="auto"/>
      </w:divBdr>
    </w:div>
    <w:div w:id="63459568">
      <w:bodyDiv w:val="1"/>
      <w:marLeft w:val="0"/>
      <w:marRight w:val="0"/>
      <w:marTop w:val="0"/>
      <w:marBottom w:val="0"/>
      <w:divBdr>
        <w:top w:val="none" w:sz="0" w:space="0" w:color="auto"/>
        <w:left w:val="none" w:sz="0" w:space="0" w:color="auto"/>
        <w:bottom w:val="none" w:sz="0" w:space="0" w:color="auto"/>
        <w:right w:val="none" w:sz="0" w:space="0" w:color="auto"/>
      </w:divBdr>
    </w:div>
    <w:div w:id="66388692">
      <w:bodyDiv w:val="1"/>
      <w:marLeft w:val="0"/>
      <w:marRight w:val="0"/>
      <w:marTop w:val="0"/>
      <w:marBottom w:val="0"/>
      <w:divBdr>
        <w:top w:val="none" w:sz="0" w:space="0" w:color="auto"/>
        <w:left w:val="none" w:sz="0" w:space="0" w:color="auto"/>
        <w:bottom w:val="none" w:sz="0" w:space="0" w:color="auto"/>
        <w:right w:val="none" w:sz="0" w:space="0" w:color="auto"/>
      </w:divBdr>
    </w:div>
    <w:div w:id="68499059">
      <w:bodyDiv w:val="1"/>
      <w:marLeft w:val="0"/>
      <w:marRight w:val="0"/>
      <w:marTop w:val="0"/>
      <w:marBottom w:val="0"/>
      <w:divBdr>
        <w:top w:val="none" w:sz="0" w:space="0" w:color="auto"/>
        <w:left w:val="none" w:sz="0" w:space="0" w:color="auto"/>
        <w:bottom w:val="none" w:sz="0" w:space="0" w:color="auto"/>
        <w:right w:val="none" w:sz="0" w:space="0" w:color="auto"/>
      </w:divBdr>
    </w:div>
    <w:div w:id="76101740">
      <w:bodyDiv w:val="1"/>
      <w:marLeft w:val="0"/>
      <w:marRight w:val="0"/>
      <w:marTop w:val="0"/>
      <w:marBottom w:val="0"/>
      <w:divBdr>
        <w:top w:val="none" w:sz="0" w:space="0" w:color="auto"/>
        <w:left w:val="none" w:sz="0" w:space="0" w:color="auto"/>
        <w:bottom w:val="none" w:sz="0" w:space="0" w:color="auto"/>
        <w:right w:val="none" w:sz="0" w:space="0" w:color="auto"/>
      </w:divBdr>
    </w:div>
    <w:div w:id="83233314">
      <w:bodyDiv w:val="1"/>
      <w:marLeft w:val="0"/>
      <w:marRight w:val="0"/>
      <w:marTop w:val="0"/>
      <w:marBottom w:val="0"/>
      <w:divBdr>
        <w:top w:val="none" w:sz="0" w:space="0" w:color="auto"/>
        <w:left w:val="none" w:sz="0" w:space="0" w:color="auto"/>
        <w:bottom w:val="none" w:sz="0" w:space="0" w:color="auto"/>
        <w:right w:val="none" w:sz="0" w:space="0" w:color="auto"/>
      </w:divBdr>
    </w:div>
    <w:div w:id="99884775">
      <w:bodyDiv w:val="1"/>
      <w:marLeft w:val="0"/>
      <w:marRight w:val="0"/>
      <w:marTop w:val="0"/>
      <w:marBottom w:val="0"/>
      <w:divBdr>
        <w:top w:val="none" w:sz="0" w:space="0" w:color="auto"/>
        <w:left w:val="none" w:sz="0" w:space="0" w:color="auto"/>
        <w:bottom w:val="none" w:sz="0" w:space="0" w:color="auto"/>
        <w:right w:val="none" w:sz="0" w:space="0" w:color="auto"/>
      </w:divBdr>
    </w:div>
    <w:div w:id="105849305">
      <w:bodyDiv w:val="1"/>
      <w:marLeft w:val="0"/>
      <w:marRight w:val="0"/>
      <w:marTop w:val="0"/>
      <w:marBottom w:val="0"/>
      <w:divBdr>
        <w:top w:val="none" w:sz="0" w:space="0" w:color="auto"/>
        <w:left w:val="none" w:sz="0" w:space="0" w:color="auto"/>
        <w:bottom w:val="none" w:sz="0" w:space="0" w:color="auto"/>
        <w:right w:val="none" w:sz="0" w:space="0" w:color="auto"/>
      </w:divBdr>
    </w:div>
    <w:div w:id="117064741">
      <w:bodyDiv w:val="1"/>
      <w:marLeft w:val="0"/>
      <w:marRight w:val="0"/>
      <w:marTop w:val="0"/>
      <w:marBottom w:val="0"/>
      <w:divBdr>
        <w:top w:val="none" w:sz="0" w:space="0" w:color="auto"/>
        <w:left w:val="none" w:sz="0" w:space="0" w:color="auto"/>
        <w:bottom w:val="none" w:sz="0" w:space="0" w:color="auto"/>
        <w:right w:val="none" w:sz="0" w:space="0" w:color="auto"/>
      </w:divBdr>
    </w:div>
    <w:div w:id="118492984">
      <w:bodyDiv w:val="1"/>
      <w:marLeft w:val="0"/>
      <w:marRight w:val="0"/>
      <w:marTop w:val="0"/>
      <w:marBottom w:val="0"/>
      <w:divBdr>
        <w:top w:val="none" w:sz="0" w:space="0" w:color="auto"/>
        <w:left w:val="none" w:sz="0" w:space="0" w:color="auto"/>
        <w:bottom w:val="none" w:sz="0" w:space="0" w:color="auto"/>
        <w:right w:val="none" w:sz="0" w:space="0" w:color="auto"/>
      </w:divBdr>
    </w:div>
    <w:div w:id="120269119">
      <w:bodyDiv w:val="1"/>
      <w:marLeft w:val="0"/>
      <w:marRight w:val="0"/>
      <w:marTop w:val="0"/>
      <w:marBottom w:val="0"/>
      <w:divBdr>
        <w:top w:val="none" w:sz="0" w:space="0" w:color="auto"/>
        <w:left w:val="none" w:sz="0" w:space="0" w:color="auto"/>
        <w:bottom w:val="none" w:sz="0" w:space="0" w:color="auto"/>
        <w:right w:val="none" w:sz="0" w:space="0" w:color="auto"/>
      </w:divBdr>
    </w:div>
    <w:div w:id="120341566">
      <w:bodyDiv w:val="1"/>
      <w:marLeft w:val="0"/>
      <w:marRight w:val="0"/>
      <w:marTop w:val="0"/>
      <w:marBottom w:val="0"/>
      <w:divBdr>
        <w:top w:val="none" w:sz="0" w:space="0" w:color="auto"/>
        <w:left w:val="none" w:sz="0" w:space="0" w:color="auto"/>
        <w:bottom w:val="none" w:sz="0" w:space="0" w:color="auto"/>
        <w:right w:val="none" w:sz="0" w:space="0" w:color="auto"/>
      </w:divBdr>
    </w:div>
    <w:div w:id="137571895">
      <w:bodyDiv w:val="1"/>
      <w:marLeft w:val="0"/>
      <w:marRight w:val="0"/>
      <w:marTop w:val="0"/>
      <w:marBottom w:val="0"/>
      <w:divBdr>
        <w:top w:val="none" w:sz="0" w:space="0" w:color="auto"/>
        <w:left w:val="none" w:sz="0" w:space="0" w:color="auto"/>
        <w:bottom w:val="none" w:sz="0" w:space="0" w:color="auto"/>
        <w:right w:val="none" w:sz="0" w:space="0" w:color="auto"/>
      </w:divBdr>
    </w:div>
    <w:div w:id="141389360">
      <w:bodyDiv w:val="1"/>
      <w:marLeft w:val="0"/>
      <w:marRight w:val="0"/>
      <w:marTop w:val="0"/>
      <w:marBottom w:val="0"/>
      <w:divBdr>
        <w:top w:val="none" w:sz="0" w:space="0" w:color="auto"/>
        <w:left w:val="none" w:sz="0" w:space="0" w:color="auto"/>
        <w:bottom w:val="none" w:sz="0" w:space="0" w:color="auto"/>
        <w:right w:val="none" w:sz="0" w:space="0" w:color="auto"/>
      </w:divBdr>
    </w:div>
    <w:div w:id="143934455">
      <w:bodyDiv w:val="1"/>
      <w:marLeft w:val="0"/>
      <w:marRight w:val="0"/>
      <w:marTop w:val="0"/>
      <w:marBottom w:val="0"/>
      <w:divBdr>
        <w:top w:val="none" w:sz="0" w:space="0" w:color="auto"/>
        <w:left w:val="none" w:sz="0" w:space="0" w:color="auto"/>
        <w:bottom w:val="none" w:sz="0" w:space="0" w:color="auto"/>
        <w:right w:val="none" w:sz="0" w:space="0" w:color="auto"/>
      </w:divBdr>
    </w:div>
    <w:div w:id="145168252">
      <w:bodyDiv w:val="1"/>
      <w:marLeft w:val="0"/>
      <w:marRight w:val="0"/>
      <w:marTop w:val="0"/>
      <w:marBottom w:val="0"/>
      <w:divBdr>
        <w:top w:val="none" w:sz="0" w:space="0" w:color="auto"/>
        <w:left w:val="none" w:sz="0" w:space="0" w:color="auto"/>
        <w:bottom w:val="none" w:sz="0" w:space="0" w:color="auto"/>
        <w:right w:val="none" w:sz="0" w:space="0" w:color="auto"/>
      </w:divBdr>
    </w:div>
    <w:div w:id="148719338">
      <w:bodyDiv w:val="1"/>
      <w:marLeft w:val="0"/>
      <w:marRight w:val="0"/>
      <w:marTop w:val="0"/>
      <w:marBottom w:val="0"/>
      <w:divBdr>
        <w:top w:val="none" w:sz="0" w:space="0" w:color="auto"/>
        <w:left w:val="none" w:sz="0" w:space="0" w:color="auto"/>
        <w:bottom w:val="none" w:sz="0" w:space="0" w:color="auto"/>
        <w:right w:val="none" w:sz="0" w:space="0" w:color="auto"/>
      </w:divBdr>
    </w:div>
    <w:div w:id="152381591">
      <w:bodyDiv w:val="1"/>
      <w:marLeft w:val="0"/>
      <w:marRight w:val="0"/>
      <w:marTop w:val="0"/>
      <w:marBottom w:val="0"/>
      <w:divBdr>
        <w:top w:val="none" w:sz="0" w:space="0" w:color="auto"/>
        <w:left w:val="none" w:sz="0" w:space="0" w:color="auto"/>
        <w:bottom w:val="none" w:sz="0" w:space="0" w:color="auto"/>
        <w:right w:val="none" w:sz="0" w:space="0" w:color="auto"/>
      </w:divBdr>
    </w:div>
    <w:div w:id="154614523">
      <w:bodyDiv w:val="1"/>
      <w:marLeft w:val="0"/>
      <w:marRight w:val="0"/>
      <w:marTop w:val="0"/>
      <w:marBottom w:val="0"/>
      <w:divBdr>
        <w:top w:val="none" w:sz="0" w:space="0" w:color="auto"/>
        <w:left w:val="none" w:sz="0" w:space="0" w:color="auto"/>
        <w:bottom w:val="none" w:sz="0" w:space="0" w:color="auto"/>
        <w:right w:val="none" w:sz="0" w:space="0" w:color="auto"/>
      </w:divBdr>
    </w:div>
    <w:div w:id="159464284">
      <w:bodyDiv w:val="1"/>
      <w:marLeft w:val="0"/>
      <w:marRight w:val="0"/>
      <w:marTop w:val="0"/>
      <w:marBottom w:val="0"/>
      <w:divBdr>
        <w:top w:val="none" w:sz="0" w:space="0" w:color="auto"/>
        <w:left w:val="none" w:sz="0" w:space="0" w:color="auto"/>
        <w:bottom w:val="none" w:sz="0" w:space="0" w:color="auto"/>
        <w:right w:val="none" w:sz="0" w:space="0" w:color="auto"/>
      </w:divBdr>
    </w:div>
    <w:div w:id="170606995">
      <w:bodyDiv w:val="1"/>
      <w:marLeft w:val="0"/>
      <w:marRight w:val="0"/>
      <w:marTop w:val="0"/>
      <w:marBottom w:val="0"/>
      <w:divBdr>
        <w:top w:val="none" w:sz="0" w:space="0" w:color="auto"/>
        <w:left w:val="none" w:sz="0" w:space="0" w:color="auto"/>
        <w:bottom w:val="none" w:sz="0" w:space="0" w:color="auto"/>
        <w:right w:val="none" w:sz="0" w:space="0" w:color="auto"/>
      </w:divBdr>
    </w:div>
    <w:div w:id="196698900">
      <w:bodyDiv w:val="1"/>
      <w:marLeft w:val="0"/>
      <w:marRight w:val="0"/>
      <w:marTop w:val="0"/>
      <w:marBottom w:val="0"/>
      <w:divBdr>
        <w:top w:val="none" w:sz="0" w:space="0" w:color="auto"/>
        <w:left w:val="none" w:sz="0" w:space="0" w:color="auto"/>
        <w:bottom w:val="none" w:sz="0" w:space="0" w:color="auto"/>
        <w:right w:val="none" w:sz="0" w:space="0" w:color="auto"/>
      </w:divBdr>
    </w:div>
    <w:div w:id="198208900">
      <w:bodyDiv w:val="1"/>
      <w:marLeft w:val="0"/>
      <w:marRight w:val="0"/>
      <w:marTop w:val="0"/>
      <w:marBottom w:val="0"/>
      <w:divBdr>
        <w:top w:val="none" w:sz="0" w:space="0" w:color="auto"/>
        <w:left w:val="none" w:sz="0" w:space="0" w:color="auto"/>
        <w:bottom w:val="none" w:sz="0" w:space="0" w:color="auto"/>
        <w:right w:val="none" w:sz="0" w:space="0" w:color="auto"/>
      </w:divBdr>
    </w:div>
    <w:div w:id="199706405">
      <w:bodyDiv w:val="1"/>
      <w:marLeft w:val="0"/>
      <w:marRight w:val="0"/>
      <w:marTop w:val="0"/>
      <w:marBottom w:val="0"/>
      <w:divBdr>
        <w:top w:val="none" w:sz="0" w:space="0" w:color="auto"/>
        <w:left w:val="none" w:sz="0" w:space="0" w:color="auto"/>
        <w:bottom w:val="none" w:sz="0" w:space="0" w:color="auto"/>
        <w:right w:val="none" w:sz="0" w:space="0" w:color="auto"/>
      </w:divBdr>
    </w:div>
    <w:div w:id="202838095">
      <w:bodyDiv w:val="1"/>
      <w:marLeft w:val="0"/>
      <w:marRight w:val="0"/>
      <w:marTop w:val="0"/>
      <w:marBottom w:val="0"/>
      <w:divBdr>
        <w:top w:val="none" w:sz="0" w:space="0" w:color="auto"/>
        <w:left w:val="none" w:sz="0" w:space="0" w:color="auto"/>
        <w:bottom w:val="none" w:sz="0" w:space="0" w:color="auto"/>
        <w:right w:val="none" w:sz="0" w:space="0" w:color="auto"/>
      </w:divBdr>
    </w:div>
    <w:div w:id="204876955">
      <w:bodyDiv w:val="1"/>
      <w:marLeft w:val="0"/>
      <w:marRight w:val="0"/>
      <w:marTop w:val="0"/>
      <w:marBottom w:val="0"/>
      <w:divBdr>
        <w:top w:val="none" w:sz="0" w:space="0" w:color="auto"/>
        <w:left w:val="none" w:sz="0" w:space="0" w:color="auto"/>
        <w:bottom w:val="none" w:sz="0" w:space="0" w:color="auto"/>
        <w:right w:val="none" w:sz="0" w:space="0" w:color="auto"/>
      </w:divBdr>
    </w:div>
    <w:div w:id="211692867">
      <w:bodyDiv w:val="1"/>
      <w:marLeft w:val="0"/>
      <w:marRight w:val="0"/>
      <w:marTop w:val="0"/>
      <w:marBottom w:val="0"/>
      <w:divBdr>
        <w:top w:val="none" w:sz="0" w:space="0" w:color="auto"/>
        <w:left w:val="none" w:sz="0" w:space="0" w:color="auto"/>
        <w:bottom w:val="none" w:sz="0" w:space="0" w:color="auto"/>
        <w:right w:val="none" w:sz="0" w:space="0" w:color="auto"/>
      </w:divBdr>
    </w:div>
    <w:div w:id="216943258">
      <w:bodyDiv w:val="1"/>
      <w:marLeft w:val="0"/>
      <w:marRight w:val="0"/>
      <w:marTop w:val="0"/>
      <w:marBottom w:val="0"/>
      <w:divBdr>
        <w:top w:val="none" w:sz="0" w:space="0" w:color="auto"/>
        <w:left w:val="none" w:sz="0" w:space="0" w:color="auto"/>
        <w:bottom w:val="none" w:sz="0" w:space="0" w:color="auto"/>
        <w:right w:val="none" w:sz="0" w:space="0" w:color="auto"/>
      </w:divBdr>
    </w:div>
    <w:div w:id="249120695">
      <w:bodyDiv w:val="1"/>
      <w:marLeft w:val="0"/>
      <w:marRight w:val="0"/>
      <w:marTop w:val="0"/>
      <w:marBottom w:val="0"/>
      <w:divBdr>
        <w:top w:val="none" w:sz="0" w:space="0" w:color="auto"/>
        <w:left w:val="none" w:sz="0" w:space="0" w:color="auto"/>
        <w:bottom w:val="none" w:sz="0" w:space="0" w:color="auto"/>
        <w:right w:val="none" w:sz="0" w:space="0" w:color="auto"/>
      </w:divBdr>
    </w:div>
    <w:div w:id="250160789">
      <w:bodyDiv w:val="1"/>
      <w:marLeft w:val="0"/>
      <w:marRight w:val="0"/>
      <w:marTop w:val="0"/>
      <w:marBottom w:val="0"/>
      <w:divBdr>
        <w:top w:val="none" w:sz="0" w:space="0" w:color="auto"/>
        <w:left w:val="none" w:sz="0" w:space="0" w:color="auto"/>
        <w:bottom w:val="none" w:sz="0" w:space="0" w:color="auto"/>
        <w:right w:val="none" w:sz="0" w:space="0" w:color="auto"/>
      </w:divBdr>
    </w:div>
    <w:div w:id="256988517">
      <w:bodyDiv w:val="1"/>
      <w:marLeft w:val="0"/>
      <w:marRight w:val="0"/>
      <w:marTop w:val="0"/>
      <w:marBottom w:val="0"/>
      <w:divBdr>
        <w:top w:val="none" w:sz="0" w:space="0" w:color="auto"/>
        <w:left w:val="none" w:sz="0" w:space="0" w:color="auto"/>
        <w:bottom w:val="none" w:sz="0" w:space="0" w:color="auto"/>
        <w:right w:val="none" w:sz="0" w:space="0" w:color="auto"/>
      </w:divBdr>
    </w:div>
    <w:div w:id="259335948">
      <w:bodyDiv w:val="1"/>
      <w:marLeft w:val="0"/>
      <w:marRight w:val="0"/>
      <w:marTop w:val="0"/>
      <w:marBottom w:val="0"/>
      <w:divBdr>
        <w:top w:val="none" w:sz="0" w:space="0" w:color="auto"/>
        <w:left w:val="none" w:sz="0" w:space="0" w:color="auto"/>
        <w:bottom w:val="none" w:sz="0" w:space="0" w:color="auto"/>
        <w:right w:val="none" w:sz="0" w:space="0" w:color="auto"/>
      </w:divBdr>
    </w:div>
    <w:div w:id="265112590">
      <w:bodyDiv w:val="1"/>
      <w:marLeft w:val="0"/>
      <w:marRight w:val="0"/>
      <w:marTop w:val="0"/>
      <w:marBottom w:val="0"/>
      <w:divBdr>
        <w:top w:val="none" w:sz="0" w:space="0" w:color="auto"/>
        <w:left w:val="none" w:sz="0" w:space="0" w:color="auto"/>
        <w:bottom w:val="none" w:sz="0" w:space="0" w:color="auto"/>
        <w:right w:val="none" w:sz="0" w:space="0" w:color="auto"/>
      </w:divBdr>
    </w:div>
    <w:div w:id="265120732">
      <w:bodyDiv w:val="1"/>
      <w:marLeft w:val="0"/>
      <w:marRight w:val="0"/>
      <w:marTop w:val="0"/>
      <w:marBottom w:val="0"/>
      <w:divBdr>
        <w:top w:val="none" w:sz="0" w:space="0" w:color="auto"/>
        <w:left w:val="none" w:sz="0" w:space="0" w:color="auto"/>
        <w:bottom w:val="none" w:sz="0" w:space="0" w:color="auto"/>
        <w:right w:val="none" w:sz="0" w:space="0" w:color="auto"/>
      </w:divBdr>
    </w:div>
    <w:div w:id="268271105">
      <w:bodyDiv w:val="1"/>
      <w:marLeft w:val="0"/>
      <w:marRight w:val="0"/>
      <w:marTop w:val="0"/>
      <w:marBottom w:val="0"/>
      <w:divBdr>
        <w:top w:val="none" w:sz="0" w:space="0" w:color="auto"/>
        <w:left w:val="none" w:sz="0" w:space="0" w:color="auto"/>
        <w:bottom w:val="none" w:sz="0" w:space="0" w:color="auto"/>
        <w:right w:val="none" w:sz="0" w:space="0" w:color="auto"/>
      </w:divBdr>
    </w:div>
    <w:div w:id="273023922">
      <w:bodyDiv w:val="1"/>
      <w:marLeft w:val="0"/>
      <w:marRight w:val="0"/>
      <w:marTop w:val="0"/>
      <w:marBottom w:val="0"/>
      <w:divBdr>
        <w:top w:val="none" w:sz="0" w:space="0" w:color="auto"/>
        <w:left w:val="none" w:sz="0" w:space="0" w:color="auto"/>
        <w:bottom w:val="none" w:sz="0" w:space="0" w:color="auto"/>
        <w:right w:val="none" w:sz="0" w:space="0" w:color="auto"/>
      </w:divBdr>
    </w:div>
    <w:div w:id="279192997">
      <w:bodyDiv w:val="1"/>
      <w:marLeft w:val="0"/>
      <w:marRight w:val="0"/>
      <w:marTop w:val="0"/>
      <w:marBottom w:val="0"/>
      <w:divBdr>
        <w:top w:val="none" w:sz="0" w:space="0" w:color="auto"/>
        <w:left w:val="none" w:sz="0" w:space="0" w:color="auto"/>
        <w:bottom w:val="none" w:sz="0" w:space="0" w:color="auto"/>
        <w:right w:val="none" w:sz="0" w:space="0" w:color="auto"/>
      </w:divBdr>
    </w:div>
    <w:div w:id="279579355">
      <w:bodyDiv w:val="1"/>
      <w:marLeft w:val="0"/>
      <w:marRight w:val="0"/>
      <w:marTop w:val="0"/>
      <w:marBottom w:val="0"/>
      <w:divBdr>
        <w:top w:val="none" w:sz="0" w:space="0" w:color="auto"/>
        <w:left w:val="none" w:sz="0" w:space="0" w:color="auto"/>
        <w:bottom w:val="none" w:sz="0" w:space="0" w:color="auto"/>
        <w:right w:val="none" w:sz="0" w:space="0" w:color="auto"/>
      </w:divBdr>
    </w:div>
    <w:div w:id="289556145">
      <w:bodyDiv w:val="1"/>
      <w:marLeft w:val="0"/>
      <w:marRight w:val="0"/>
      <w:marTop w:val="0"/>
      <w:marBottom w:val="0"/>
      <w:divBdr>
        <w:top w:val="none" w:sz="0" w:space="0" w:color="auto"/>
        <w:left w:val="none" w:sz="0" w:space="0" w:color="auto"/>
        <w:bottom w:val="none" w:sz="0" w:space="0" w:color="auto"/>
        <w:right w:val="none" w:sz="0" w:space="0" w:color="auto"/>
      </w:divBdr>
    </w:div>
    <w:div w:id="292952421">
      <w:bodyDiv w:val="1"/>
      <w:marLeft w:val="0"/>
      <w:marRight w:val="0"/>
      <w:marTop w:val="0"/>
      <w:marBottom w:val="0"/>
      <w:divBdr>
        <w:top w:val="none" w:sz="0" w:space="0" w:color="auto"/>
        <w:left w:val="none" w:sz="0" w:space="0" w:color="auto"/>
        <w:bottom w:val="none" w:sz="0" w:space="0" w:color="auto"/>
        <w:right w:val="none" w:sz="0" w:space="0" w:color="auto"/>
      </w:divBdr>
    </w:div>
    <w:div w:id="294481545">
      <w:bodyDiv w:val="1"/>
      <w:marLeft w:val="0"/>
      <w:marRight w:val="0"/>
      <w:marTop w:val="0"/>
      <w:marBottom w:val="0"/>
      <w:divBdr>
        <w:top w:val="none" w:sz="0" w:space="0" w:color="auto"/>
        <w:left w:val="none" w:sz="0" w:space="0" w:color="auto"/>
        <w:bottom w:val="none" w:sz="0" w:space="0" w:color="auto"/>
        <w:right w:val="none" w:sz="0" w:space="0" w:color="auto"/>
      </w:divBdr>
    </w:div>
    <w:div w:id="298414707">
      <w:bodyDiv w:val="1"/>
      <w:marLeft w:val="0"/>
      <w:marRight w:val="0"/>
      <w:marTop w:val="0"/>
      <w:marBottom w:val="0"/>
      <w:divBdr>
        <w:top w:val="none" w:sz="0" w:space="0" w:color="auto"/>
        <w:left w:val="none" w:sz="0" w:space="0" w:color="auto"/>
        <w:bottom w:val="none" w:sz="0" w:space="0" w:color="auto"/>
        <w:right w:val="none" w:sz="0" w:space="0" w:color="auto"/>
      </w:divBdr>
    </w:div>
    <w:div w:id="304286106">
      <w:bodyDiv w:val="1"/>
      <w:marLeft w:val="0"/>
      <w:marRight w:val="0"/>
      <w:marTop w:val="0"/>
      <w:marBottom w:val="0"/>
      <w:divBdr>
        <w:top w:val="none" w:sz="0" w:space="0" w:color="auto"/>
        <w:left w:val="none" w:sz="0" w:space="0" w:color="auto"/>
        <w:bottom w:val="none" w:sz="0" w:space="0" w:color="auto"/>
        <w:right w:val="none" w:sz="0" w:space="0" w:color="auto"/>
      </w:divBdr>
    </w:div>
    <w:div w:id="309796800">
      <w:bodyDiv w:val="1"/>
      <w:marLeft w:val="0"/>
      <w:marRight w:val="0"/>
      <w:marTop w:val="0"/>
      <w:marBottom w:val="0"/>
      <w:divBdr>
        <w:top w:val="none" w:sz="0" w:space="0" w:color="auto"/>
        <w:left w:val="none" w:sz="0" w:space="0" w:color="auto"/>
        <w:bottom w:val="none" w:sz="0" w:space="0" w:color="auto"/>
        <w:right w:val="none" w:sz="0" w:space="0" w:color="auto"/>
      </w:divBdr>
    </w:div>
    <w:div w:id="314451661">
      <w:bodyDiv w:val="1"/>
      <w:marLeft w:val="0"/>
      <w:marRight w:val="0"/>
      <w:marTop w:val="0"/>
      <w:marBottom w:val="0"/>
      <w:divBdr>
        <w:top w:val="none" w:sz="0" w:space="0" w:color="auto"/>
        <w:left w:val="none" w:sz="0" w:space="0" w:color="auto"/>
        <w:bottom w:val="none" w:sz="0" w:space="0" w:color="auto"/>
        <w:right w:val="none" w:sz="0" w:space="0" w:color="auto"/>
      </w:divBdr>
    </w:div>
    <w:div w:id="319312589">
      <w:bodyDiv w:val="1"/>
      <w:marLeft w:val="0"/>
      <w:marRight w:val="0"/>
      <w:marTop w:val="0"/>
      <w:marBottom w:val="0"/>
      <w:divBdr>
        <w:top w:val="none" w:sz="0" w:space="0" w:color="auto"/>
        <w:left w:val="none" w:sz="0" w:space="0" w:color="auto"/>
        <w:bottom w:val="none" w:sz="0" w:space="0" w:color="auto"/>
        <w:right w:val="none" w:sz="0" w:space="0" w:color="auto"/>
      </w:divBdr>
    </w:div>
    <w:div w:id="322394000">
      <w:bodyDiv w:val="1"/>
      <w:marLeft w:val="0"/>
      <w:marRight w:val="0"/>
      <w:marTop w:val="0"/>
      <w:marBottom w:val="0"/>
      <w:divBdr>
        <w:top w:val="none" w:sz="0" w:space="0" w:color="auto"/>
        <w:left w:val="none" w:sz="0" w:space="0" w:color="auto"/>
        <w:bottom w:val="none" w:sz="0" w:space="0" w:color="auto"/>
        <w:right w:val="none" w:sz="0" w:space="0" w:color="auto"/>
      </w:divBdr>
    </w:div>
    <w:div w:id="323166415">
      <w:bodyDiv w:val="1"/>
      <w:marLeft w:val="0"/>
      <w:marRight w:val="0"/>
      <w:marTop w:val="0"/>
      <w:marBottom w:val="0"/>
      <w:divBdr>
        <w:top w:val="none" w:sz="0" w:space="0" w:color="auto"/>
        <w:left w:val="none" w:sz="0" w:space="0" w:color="auto"/>
        <w:bottom w:val="none" w:sz="0" w:space="0" w:color="auto"/>
        <w:right w:val="none" w:sz="0" w:space="0" w:color="auto"/>
      </w:divBdr>
    </w:div>
    <w:div w:id="330375816">
      <w:bodyDiv w:val="1"/>
      <w:marLeft w:val="0"/>
      <w:marRight w:val="0"/>
      <w:marTop w:val="0"/>
      <w:marBottom w:val="0"/>
      <w:divBdr>
        <w:top w:val="none" w:sz="0" w:space="0" w:color="auto"/>
        <w:left w:val="none" w:sz="0" w:space="0" w:color="auto"/>
        <w:bottom w:val="none" w:sz="0" w:space="0" w:color="auto"/>
        <w:right w:val="none" w:sz="0" w:space="0" w:color="auto"/>
      </w:divBdr>
    </w:div>
    <w:div w:id="333578703">
      <w:bodyDiv w:val="1"/>
      <w:marLeft w:val="0"/>
      <w:marRight w:val="0"/>
      <w:marTop w:val="0"/>
      <w:marBottom w:val="0"/>
      <w:divBdr>
        <w:top w:val="none" w:sz="0" w:space="0" w:color="auto"/>
        <w:left w:val="none" w:sz="0" w:space="0" w:color="auto"/>
        <w:bottom w:val="none" w:sz="0" w:space="0" w:color="auto"/>
        <w:right w:val="none" w:sz="0" w:space="0" w:color="auto"/>
      </w:divBdr>
    </w:div>
    <w:div w:id="334889272">
      <w:bodyDiv w:val="1"/>
      <w:marLeft w:val="0"/>
      <w:marRight w:val="0"/>
      <w:marTop w:val="0"/>
      <w:marBottom w:val="0"/>
      <w:divBdr>
        <w:top w:val="none" w:sz="0" w:space="0" w:color="auto"/>
        <w:left w:val="none" w:sz="0" w:space="0" w:color="auto"/>
        <w:bottom w:val="none" w:sz="0" w:space="0" w:color="auto"/>
        <w:right w:val="none" w:sz="0" w:space="0" w:color="auto"/>
      </w:divBdr>
    </w:div>
    <w:div w:id="336273775">
      <w:bodyDiv w:val="1"/>
      <w:marLeft w:val="0"/>
      <w:marRight w:val="0"/>
      <w:marTop w:val="0"/>
      <w:marBottom w:val="0"/>
      <w:divBdr>
        <w:top w:val="none" w:sz="0" w:space="0" w:color="auto"/>
        <w:left w:val="none" w:sz="0" w:space="0" w:color="auto"/>
        <w:bottom w:val="none" w:sz="0" w:space="0" w:color="auto"/>
        <w:right w:val="none" w:sz="0" w:space="0" w:color="auto"/>
      </w:divBdr>
    </w:div>
    <w:div w:id="350768553">
      <w:bodyDiv w:val="1"/>
      <w:marLeft w:val="0"/>
      <w:marRight w:val="0"/>
      <w:marTop w:val="0"/>
      <w:marBottom w:val="0"/>
      <w:divBdr>
        <w:top w:val="none" w:sz="0" w:space="0" w:color="auto"/>
        <w:left w:val="none" w:sz="0" w:space="0" w:color="auto"/>
        <w:bottom w:val="none" w:sz="0" w:space="0" w:color="auto"/>
        <w:right w:val="none" w:sz="0" w:space="0" w:color="auto"/>
      </w:divBdr>
    </w:div>
    <w:div w:id="350953626">
      <w:bodyDiv w:val="1"/>
      <w:marLeft w:val="0"/>
      <w:marRight w:val="0"/>
      <w:marTop w:val="0"/>
      <w:marBottom w:val="0"/>
      <w:divBdr>
        <w:top w:val="none" w:sz="0" w:space="0" w:color="auto"/>
        <w:left w:val="none" w:sz="0" w:space="0" w:color="auto"/>
        <w:bottom w:val="none" w:sz="0" w:space="0" w:color="auto"/>
        <w:right w:val="none" w:sz="0" w:space="0" w:color="auto"/>
      </w:divBdr>
    </w:div>
    <w:div w:id="352851155">
      <w:bodyDiv w:val="1"/>
      <w:marLeft w:val="0"/>
      <w:marRight w:val="0"/>
      <w:marTop w:val="0"/>
      <w:marBottom w:val="0"/>
      <w:divBdr>
        <w:top w:val="none" w:sz="0" w:space="0" w:color="auto"/>
        <w:left w:val="none" w:sz="0" w:space="0" w:color="auto"/>
        <w:bottom w:val="none" w:sz="0" w:space="0" w:color="auto"/>
        <w:right w:val="none" w:sz="0" w:space="0" w:color="auto"/>
      </w:divBdr>
    </w:div>
    <w:div w:id="353070022">
      <w:bodyDiv w:val="1"/>
      <w:marLeft w:val="0"/>
      <w:marRight w:val="0"/>
      <w:marTop w:val="0"/>
      <w:marBottom w:val="0"/>
      <w:divBdr>
        <w:top w:val="none" w:sz="0" w:space="0" w:color="auto"/>
        <w:left w:val="none" w:sz="0" w:space="0" w:color="auto"/>
        <w:bottom w:val="none" w:sz="0" w:space="0" w:color="auto"/>
        <w:right w:val="none" w:sz="0" w:space="0" w:color="auto"/>
      </w:divBdr>
    </w:div>
    <w:div w:id="362905544">
      <w:bodyDiv w:val="1"/>
      <w:marLeft w:val="0"/>
      <w:marRight w:val="0"/>
      <w:marTop w:val="0"/>
      <w:marBottom w:val="0"/>
      <w:divBdr>
        <w:top w:val="none" w:sz="0" w:space="0" w:color="auto"/>
        <w:left w:val="none" w:sz="0" w:space="0" w:color="auto"/>
        <w:bottom w:val="none" w:sz="0" w:space="0" w:color="auto"/>
        <w:right w:val="none" w:sz="0" w:space="0" w:color="auto"/>
      </w:divBdr>
    </w:div>
    <w:div w:id="364643756">
      <w:bodyDiv w:val="1"/>
      <w:marLeft w:val="0"/>
      <w:marRight w:val="0"/>
      <w:marTop w:val="0"/>
      <w:marBottom w:val="0"/>
      <w:divBdr>
        <w:top w:val="none" w:sz="0" w:space="0" w:color="auto"/>
        <w:left w:val="none" w:sz="0" w:space="0" w:color="auto"/>
        <w:bottom w:val="none" w:sz="0" w:space="0" w:color="auto"/>
        <w:right w:val="none" w:sz="0" w:space="0" w:color="auto"/>
      </w:divBdr>
    </w:div>
    <w:div w:id="371151002">
      <w:bodyDiv w:val="1"/>
      <w:marLeft w:val="0"/>
      <w:marRight w:val="0"/>
      <w:marTop w:val="0"/>
      <w:marBottom w:val="0"/>
      <w:divBdr>
        <w:top w:val="none" w:sz="0" w:space="0" w:color="auto"/>
        <w:left w:val="none" w:sz="0" w:space="0" w:color="auto"/>
        <w:bottom w:val="none" w:sz="0" w:space="0" w:color="auto"/>
        <w:right w:val="none" w:sz="0" w:space="0" w:color="auto"/>
      </w:divBdr>
    </w:div>
    <w:div w:id="372073165">
      <w:bodyDiv w:val="1"/>
      <w:marLeft w:val="0"/>
      <w:marRight w:val="0"/>
      <w:marTop w:val="0"/>
      <w:marBottom w:val="0"/>
      <w:divBdr>
        <w:top w:val="none" w:sz="0" w:space="0" w:color="auto"/>
        <w:left w:val="none" w:sz="0" w:space="0" w:color="auto"/>
        <w:bottom w:val="none" w:sz="0" w:space="0" w:color="auto"/>
        <w:right w:val="none" w:sz="0" w:space="0" w:color="auto"/>
      </w:divBdr>
    </w:div>
    <w:div w:id="372847756">
      <w:bodyDiv w:val="1"/>
      <w:marLeft w:val="0"/>
      <w:marRight w:val="0"/>
      <w:marTop w:val="0"/>
      <w:marBottom w:val="0"/>
      <w:divBdr>
        <w:top w:val="none" w:sz="0" w:space="0" w:color="auto"/>
        <w:left w:val="none" w:sz="0" w:space="0" w:color="auto"/>
        <w:bottom w:val="none" w:sz="0" w:space="0" w:color="auto"/>
        <w:right w:val="none" w:sz="0" w:space="0" w:color="auto"/>
      </w:divBdr>
    </w:div>
    <w:div w:id="374428512">
      <w:bodyDiv w:val="1"/>
      <w:marLeft w:val="0"/>
      <w:marRight w:val="0"/>
      <w:marTop w:val="0"/>
      <w:marBottom w:val="0"/>
      <w:divBdr>
        <w:top w:val="none" w:sz="0" w:space="0" w:color="auto"/>
        <w:left w:val="none" w:sz="0" w:space="0" w:color="auto"/>
        <w:bottom w:val="none" w:sz="0" w:space="0" w:color="auto"/>
        <w:right w:val="none" w:sz="0" w:space="0" w:color="auto"/>
      </w:divBdr>
    </w:div>
    <w:div w:id="379061349">
      <w:bodyDiv w:val="1"/>
      <w:marLeft w:val="0"/>
      <w:marRight w:val="0"/>
      <w:marTop w:val="0"/>
      <w:marBottom w:val="0"/>
      <w:divBdr>
        <w:top w:val="none" w:sz="0" w:space="0" w:color="auto"/>
        <w:left w:val="none" w:sz="0" w:space="0" w:color="auto"/>
        <w:bottom w:val="none" w:sz="0" w:space="0" w:color="auto"/>
        <w:right w:val="none" w:sz="0" w:space="0" w:color="auto"/>
      </w:divBdr>
    </w:div>
    <w:div w:id="381713272">
      <w:bodyDiv w:val="1"/>
      <w:marLeft w:val="0"/>
      <w:marRight w:val="0"/>
      <w:marTop w:val="0"/>
      <w:marBottom w:val="0"/>
      <w:divBdr>
        <w:top w:val="none" w:sz="0" w:space="0" w:color="auto"/>
        <w:left w:val="none" w:sz="0" w:space="0" w:color="auto"/>
        <w:bottom w:val="none" w:sz="0" w:space="0" w:color="auto"/>
        <w:right w:val="none" w:sz="0" w:space="0" w:color="auto"/>
      </w:divBdr>
    </w:div>
    <w:div w:id="385493745">
      <w:bodyDiv w:val="1"/>
      <w:marLeft w:val="0"/>
      <w:marRight w:val="0"/>
      <w:marTop w:val="0"/>
      <w:marBottom w:val="0"/>
      <w:divBdr>
        <w:top w:val="none" w:sz="0" w:space="0" w:color="auto"/>
        <w:left w:val="none" w:sz="0" w:space="0" w:color="auto"/>
        <w:bottom w:val="none" w:sz="0" w:space="0" w:color="auto"/>
        <w:right w:val="none" w:sz="0" w:space="0" w:color="auto"/>
      </w:divBdr>
    </w:div>
    <w:div w:id="388841097">
      <w:bodyDiv w:val="1"/>
      <w:marLeft w:val="0"/>
      <w:marRight w:val="0"/>
      <w:marTop w:val="0"/>
      <w:marBottom w:val="0"/>
      <w:divBdr>
        <w:top w:val="none" w:sz="0" w:space="0" w:color="auto"/>
        <w:left w:val="none" w:sz="0" w:space="0" w:color="auto"/>
        <w:bottom w:val="none" w:sz="0" w:space="0" w:color="auto"/>
        <w:right w:val="none" w:sz="0" w:space="0" w:color="auto"/>
      </w:divBdr>
    </w:div>
    <w:div w:id="392511729">
      <w:bodyDiv w:val="1"/>
      <w:marLeft w:val="0"/>
      <w:marRight w:val="0"/>
      <w:marTop w:val="0"/>
      <w:marBottom w:val="0"/>
      <w:divBdr>
        <w:top w:val="none" w:sz="0" w:space="0" w:color="auto"/>
        <w:left w:val="none" w:sz="0" w:space="0" w:color="auto"/>
        <w:bottom w:val="none" w:sz="0" w:space="0" w:color="auto"/>
        <w:right w:val="none" w:sz="0" w:space="0" w:color="auto"/>
      </w:divBdr>
    </w:div>
    <w:div w:id="399526570">
      <w:bodyDiv w:val="1"/>
      <w:marLeft w:val="0"/>
      <w:marRight w:val="0"/>
      <w:marTop w:val="0"/>
      <w:marBottom w:val="0"/>
      <w:divBdr>
        <w:top w:val="none" w:sz="0" w:space="0" w:color="auto"/>
        <w:left w:val="none" w:sz="0" w:space="0" w:color="auto"/>
        <w:bottom w:val="none" w:sz="0" w:space="0" w:color="auto"/>
        <w:right w:val="none" w:sz="0" w:space="0" w:color="auto"/>
      </w:divBdr>
    </w:div>
    <w:div w:id="399908330">
      <w:bodyDiv w:val="1"/>
      <w:marLeft w:val="0"/>
      <w:marRight w:val="0"/>
      <w:marTop w:val="0"/>
      <w:marBottom w:val="0"/>
      <w:divBdr>
        <w:top w:val="none" w:sz="0" w:space="0" w:color="auto"/>
        <w:left w:val="none" w:sz="0" w:space="0" w:color="auto"/>
        <w:bottom w:val="none" w:sz="0" w:space="0" w:color="auto"/>
        <w:right w:val="none" w:sz="0" w:space="0" w:color="auto"/>
      </w:divBdr>
    </w:div>
    <w:div w:id="401946838">
      <w:bodyDiv w:val="1"/>
      <w:marLeft w:val="0"/>
      <w:marRight w:val="0"/>
      <w:marTop w:val="0"/>
      <w:marBottom w:val="0"/>
      <w:divBdr>
        <w:top w:val="none" w:sz="0" w:space="0" w:color="auto"/>
        <w:left w:val="none" w:sz="0" w:space="0" w:color="auto"/>
        <w:bottom w:val="none" w:sz="0" w:space="0" w:color="auto"/>
        <w:right w:val="none" w:sz="0" w:space="0" w:color="auto"/>
      </w:divBdr>
    </w:div>
    <w:div w:id="402683132">
      <w:bodyDiv w:val="1"/>
      <w:marLeft w:val="0"/>
      <w:marRight w:val="0"/>
      <w:marTop w:val="0"/>
      <w:marBottom w:val="0"/>
      <w:divBdr>
        <w:top w:val="none" w:sz="0" w:space="0" w:color="auto"/>
        <w:left w:val="none" w:sz="0" w:space="0" w:color="auto"/>
        <w:bottom w:val="none" w:sz="0" w:space="0" w:color="auto"/>
        <w:right w:val="none" w:sz="0" w:space="0" w:color="auto"/>
      </w:divBdr>
    </w:div>
    <w:div w:id="412164240">
      <w:bodyDiv w:val="1"/>
      <w:marLeft w:val="0"/>
      <w:marRight w:val="0"/>
      <w:marTop w:val="0"/>
      <w:marBottom w:val="0"/>
      <w:divBdr>
        <w:top w:val="none" w:sz="0" w:space="0" w:color="auto"/>
        <w:left w:val="none" w:sz="0" w:space="0" w:color="auto"/>
        <w:bottom w:val="none" w:sz="0" w:space="0" w:color="auto"/>
        <w:right w:val="none" w:sz="0" w:space="0" w:color="auto"/>
      </w:divBdr>
    </w:div>
    <w:div w:id="419907999">
      <w:bodyDiv w:val="1"/>
      <w:marLeft w:val="0"/>
      <w:marRight w:val="0"/>
      <w:marTop w:val="0"/>
      <w:marBottom w:val="0"/>
      <w:divBdr>
        <w:top w:val="none" w:sz="0" w:space="0" w:color="auto"/>
        <w:left w:val="none" w:sz="0" w:space="0" w:color="auto"/>
        <w:bottom w:val="none" w:sz="0" w:space="0" w:color="auto"/>
        <w:right w:val="none" w:sz="0" w:space="0" w:color="auto"/>
      </w:divBdr>
    </w:div>
    <w:div w:id="420371576">
      <w:bodyDiv w:val="1"/>
      <w:marLeft w:val="0"/>
      <w:marRight w:val="0"/>
      <w:marTop w:val="0"/>
      <w:marBottom w:val="0"/>
      <w:divBdr>
        <w:top w:val="none" w:sz="0" w:space="0" w:color="auto"/>
        <w:left w:val="none" w:sz="0" w:space="0" w:color="auto"/>
        <w:bottom w:val="none" w:sz="0" w:space="0" w:color="auto"/>
        <w:right w:val="none" w:sz="0" w:space="0" w:color="auto"/>
      </w:divBdr>
    </w:div>
    <w:div w:id="420874023">
      <w:bodyDiv w:val="1"/>
      <w:marLeft w:val="0"/>
      <w:marRight w:val="0"/>
      <w:marTop w:val="0"/>
      <w:marBottom w:val="0"/>
      <w:divBdr>
        <w:top w:val="none" w:sz="0" w:space="0" w:color="auto"/>
        <w:left w:val="none" w:sz="0" w:space="0" w:color="auto"/>
        <w:bottom w:val="none" w:sz="0" w:space="0" w:color="auto"/>
        <w:right w:val="none" w:sz="0" w:space="0" w:color="auto"/>
      </w:divBdr>
    </w:div>
    <w:div w:id="422412075">
      <w:bodyDiv w:val="1"/>
      <w:marLeft w:val="0"/>
      <w:marRight w:val="0"/>
      <w:marTop w:val="0"/>
      <w:marBottom w:val="0"/>
      <w:divBdr>
        <w:top w:val="none" w:sz="0" w:space="0" w:color="auto"/>
        <w:left w:val="none" w:sz="0" w:space="0" w:color="auto"/>
        <w:bottom w:val="none" w:sz="0" w:space="0" w:color="auto"/>
        <w:right w:val="none" w:sz="0" w:space="0" w:color="auto"/>
      </w:divBdr>
    </w:div>
    <w:div w:id="423722100">
      <w:bodyDiv w:val="1"/>
      <w:marLeft w:val="0"/>
      <w:marRight w:val="0"/>
      <w:marTop w:val="0"/>
      <w:marBottom w:val="0"/>
      <w:divBdr>
        <w:top w:val="none" w:sz="0" w:space="0" w:color="auto"/>
        <w:left w:val="none" w:sz="0" w:space="0" w:color="auto"/>
        <w:bottom w:val="none" w:sz="0" w:space="0" w:color="auto"/>
        <w:right w:val="none" w:sz="0" w:space="0" w:color="auto"/>
      </w:divBdr>
    </w:div>
    <w:div w:id="427115991">
      <w:bodyDiv w:val="1"/>
      <w:marLeft w:val="0"/>
      <w:marRight w:val="0"/>
      <w:marTop w:val="0"/>
      <w:marBottom w:val="0"/>
      <w:divBdr>
        <w:top w:val="none" w:sz="0" w:space="0" w:color="auto"/>
        <w:left w:val="none" w:sz="0" w:space="0" w:color="auto"/>
        <w:bottom w:val="none" w:sz="0" w:space="0" w:color="auto"/>
        <w:right w:val="none" w:sz="0" w:space="0" w:color="auto"/>
      </w:divBdr>
    </w:div>
    <w:div w:id="429858446">
      <w:bodyDiv w:val="1"/>
      <w:marLeft w:val="0"/>
      <w:marRight w:val="0"/>
      <w:marTop w:val="0"/>
      <w:marBottom w:val="0"/>
      <w:divBdr>
        <w:top w:val="none" w:sz="0" w:space="0" w:color="auto"/>
        <w:left w:val="none" w:sz="0" w:space="0" w:color="auto"/>
        <w:bottom w:val="none" w:sz="0" w:space="0" w:color="auto"/>
        <w:right w:val="none" w:sz="0" w:space="0" w:color="auto"/>
      </w:divBdr>
    </w:div>
    <w:div w:id="431052836">
      <w:bodyDiv w:val="1"/>
      <w:marLeft w:val="0"/>
      <w:marRight w:val="0"/>
      <w:marTop w:val="0"/>
      <w:marBottom w:val="0"/>
      <w:divBdr>
        <w:top w:val="none" w:sz="0" w:space="0" w:color="auto"/>
        <w:left w:val="none" w:sz="0" w:space="0" w:color="auto"/>
        <w:bottom w:val="none" w:sz="0" w:space="0" w:color="auto"/>
        <w:right w:val="none" w:sz="0" w:space="0" w:color="auto"/>
      </w:divBdr>
    </w:div>
    <w:div w:id="436101620">
      <w:bodyDiv w:val="1"/>
      <w:marLeft w:val="0"/>
      <w:marRight w:val="0"/>
      <w:marTop w:val="0"/>
      <w:marBottom w:val="0"/>
      <w:divBdr>
        <w:top w:val="none" w:sz="0" w:space="0" w:color="auto"/>
        <w:left w:val="none" w:sz="0" w:space="0" w:color="auto"/>
        <w:bottom w:val="none" w:sz="0" w:space="0" w:color="auto"/>
        <w:right w:val="none" w:sz="0" w:space="0" w:color="auto"/>
      </w:divBdr>
    </w:div>
    <w:div w:id="436758226">
      <w:bodyDiv w:val="1"/>
      <w:marLeft w:val="0"/>
      <w:marRight w:val="0"/>
      <w:marTop w:val="0"/>
      <w:marBottom w:val="0"/>
      <w:divBdr>
        <w:top w:val="none" w:sz="0" w:space="0" w:color="auto"/>
        <w:left w:val="none" w:sz="0" w:space="0" w:color="auto"/>
        <w:bottom w:val="none" w:sz="0" w:space="0" w:color="auto"/>
        <w:right w:val="none" w:sz="0" w:space="0" w:color="auto"/>
      </w:divBdr>
    </w:div>
    <w:div w:id="443771047">
      <w:bodyDiv w:val="1"/>
      <w:marLeft w:val="0"/>
      <w:marRight w:val="0"/>
      <w:marTop w:val="0"/>
      <w:marBottom w:val="0"/>
      <w:divBdr>
        <w:top w:val="none" w:sz="0" w:space="0" w:color="auto"/>
        <w:left w:val="none" w:sz="0" w:space="0" w:color="auto"/>
        <w:bottom w:val="none" w:sz="0" w:space="0" w:color="auto"/>
        <w:right w:val="none" w:sz="0" w:space="0" w:color="auto"/>
      </w:divBdr>
    </w:div>
    <w:div w:id="452213705">
      <w:bodyDiv w:val="1"/>
      <w:marLeft w:val="0"/>
      <w:marRight w:val="0"/>
      <w:marTop w:val="0"/>
      <w:marBottom w:val="0"/>
      <w:divBdr>
        <w:top w:val="none" w:sz="0" w:space="0" w:color="auto"/>
        <w:left w:val="none" w:sz="0" w:space="0" w:color="auto"/>
        <w:bottom w:val="none" w:sz="0" w:space="0" w:color="auto"/>
        <w:right w:val="none" w:sz="0" w:space="0" w:color="auto"/>
      </w:divBdr>
    </w:div>
    <w:div w:id="455299520">
      <w:bodyDiv w:val="1"/>
      <w:marLeft w:val="0"/>
      <w:marRight w:val="0"/>
      <w:marTop w:val="0"/>
      <w:marBottom w:val="0"/>
      <w:divBdr>
        <w:top w:val="none" w:sz="0" w:space="0" w:color="auto"/>
        <w:left w:val="none" w:sz="0" w:space="0" w:color="auto"/>
        <w:bottom w:val="none" w:sz="0" w:space="0" w:color="auto"/>
        <w:right w:val="none" w:sz="0" w:space="0" w:color="auto"/>
      </w:divBdr>
    </w:div>
    <w:div w:id="457843251">
      <w:bodyDiv w:val="1"/>
      <w:marLeft w:val="0"/>
      <w:marRight w:val="0"/>
      <w:marTop w:val="0"/>
      <w:marBottom w:val="0"/>
      <w:divBdr>
        <w:top w:val="none" w:sz="0" w:space="0" w:color="auto"/>
        <w:left w:val="none" w:sz="0" w:space="0" w:color="auto"/>
        <w:bottom w:val="none" w:sz="0" w:space="0" w:color="auto"/>
        <w:right w:val="none" w:sz="0" w:space="0" w:color="auto"/>
      </w:divBdr>
    </w:div>
    <w:div w:id="459230612">
      <w:bodyDiv w:val="1"/>
      <w:marLeft w:val="0"/>
      <w:marRight w:val="0"/>
      <w:marTop w:val="0"/>
      <w:marBottom w:val="0"/>
      <w:divBdr>
        <w:top w:val="none" w:sz="0" w:space="0" w:color="auto"/>
        <w:left w:val="none" w:sz="0" w:space="0" w:color="auto"/>
        <w:bottom w:val="none" w:sz="0" w:space="0" w:color="auto"/>
        <w:right w:val="none" w:sz="0" w:space="0" w:color="auto"/>
      </w:divBdr>
    </w:div>
    <w:div w:id="460265219">
      <w:bodyDiv w:val="1"/>
      <w:marLeft w:val="0"/>
      <w:marRight w:val="0"/>
      <w:marTop w:val="0"/>
      <w:marBottom w:val="0"/>
      <w:divBdr>
        <w:top w:val="none" w:sz="0" w:space="0" w:color="auto"/>
        <w:left w:val="none" w:sz="0" w:space="0" w:color="auto"/>
        <w:bottom w:val="none" w:sz="0" w:space="0" w:color="auto"/>
        <w:right w:val="none" w:sz="0" w:space="0" w:color="auto"/>
      </w:divBdr>
    </w:div>
    <w:div w:id="461849642">
      <w:bodyDiv w:val="1"/>
      <w:marLeft w:val="0"/>
      <w:marRight w:val="0"/>
      <w:marTop w:val="0"/>
      <w:marBottom w:val="0"/>
      <w:divBdr>
        <w:top w:val="none" w:sz="0" w:space="0" w:color="auto"/>
        <w:left w:val="none" w:sz="0" w:space="0" w:color="auto"/>
        <w:bottom w:val="none" w:sz="0" w:space="0" w:color="auto"/>
        <w:right w:val="none" w:sz="0" w:space="0" w:color="auto"/>
      </w:divBdr>
    </w:div>
    <w:div w:id="465004776">
      <w:bodyDiv w:val="1"/>
      <w:marLeft w:val="0"/>
      <w:marRight w:val="0"/>
      <w:marTop w:val="0"/>
      <w:marBottom w:val="0"/>
      <w:divBdr>
        <w:top w:val="none" w:sz="0" w:space="0" w:color="auto"/>
        <w:left w:val="none" w:sz="0" w:space="0" w:color="auto"/>
        <w:bottom w:val="none" w:sz="0" w:space="0" w:color="auto"/>
        <w:right w:val="none" w:sz="0" w:space="0" w:color="auto"/>
      </w:divBdr>
    </w:div>
    <w:div w:id="465244981">
      <w:bodyDiv w:val="1"/>
      <w:marLeft w:val="0"/>
      <w:marRight w:val="0"/>
      <w:marTop w:val="0"/>
      <w:marBottom w:val="0"/>
      <w:divBdr>
        <w:top w:val="none" w:sz="0" w:space="0" w:color="auto"/>
        <w:left w:val="none" w:sz="0" w:space="0" w:color="auto"/>
        <w:bottom w:val="none" w:sz="0" w:space="0" w:color="auto"/>
        <w:right w:val="none" w:sz="0" w:space="0" w:color="auto"/>
      </w:divBdr>
    </w:div>
    <w:div w:id="473303277">
      <w:bodyDiv w:val="1"/>
      <w:marLeft w:val="0"/>
      <w:marRight w:val="0"/>
      <w:marTop w:val="0"/>
      <w:marBottom w:val="0"/>
      <w:divBdr>
        <w:top w:val="none" w:sz="0" w:space="0" w:color="auto"/>
        <w:left w:val="none" w:sz="0" w:space="0" w:color="auto"/>
        <w:bottom w:val="none" w:sz="0" w:space="0" w:color="auto"/>
        <w:right w:val="none" w:sz="0" w:space="0" w:color="auto"/>
      </w:divBdr>
    </w:div>
    <w:div w:id="474881917">
      <w:bodyDiv w:val="1"/>
      <w:marLeft w:val="0"/>
      <w:marRight w:val="0"/>
      <w:marTop w:val="0"/>
      <w:marBottom w:val="0"/>
      <w:divBdr>
        <w:top w:val="none" w:sz="0" w:space="0" w:color="auto"/>
        <w:left w:val="none" w:sz="0" w:space="0" w:color="auto"/>
        <w:bottom w:val="none" w:sz="0" w:space="0" w:color="auto"/>
        <w:right w:val="none" w:sz="0" w:space="0" w:color="auto"/>
      </w:divBdr>
    </w:div>
    <w:div w:id="479155774">
      <w:bodyDiv w:val="1"/>
      <w:marLeft w:val="0"/>
      <w:marRight w:val="0"/>
      <w:marTop w:val="0"/>
      <w:marBottom w:val="0"/>
      <w:divBdr>
        <w:top w:val="none" w:sz="0" w:space="0" w:color="auto"/>
        <w:left w:val="none" w:sz="0" w:space="0" w:color="auto"/>
        <w:bottom w:val="none" w:sz="0" w:space="0" w:color="auto"/>
        <w:right w:val="none" w:sz="0" w:space="0" w:color="auto"/>
      </w:divBdr>
    </w:div>
    <w:div w:id="483084912">
      <w:bodyDiv w:val="1"/>
      <w:marLeft w:val="0"/>
      <w:marRight w:val="0"/>
      <w:marTop w:val="0"/>
      <w:marBottom w:val="0"/>
      <w:divBdr>
        <w:top w:val="none" w:sz="0" w:space="0" w:color="auto"/>
        <w:left w:val="none" w:sz="0" w:space="0" w:color="auto"/>
        <w:bottom w:val="none" w:sz="0" w:space="0" w:color="auto"/>
        <w:right w:val="none" w:sz="0" w:space="0" w:color="auto"/>
      </w:divBdr>
    </w:div>
    <w:div w:id="483546639">
      <w:bodyDiv w:val="1"/>
      <w:marLeft w:val="0"/>
      <w:marRight w:val="0"/>
      <w:marTop w:val="0"/>
      <w:marBottom w:val="0"/>
      <w:divBdr>
        <w:top w:val="none" w:sz="0" w:space="0" w:color="auto"/>
        <w:left w:val="none" w:sz="0" w:space="0" w:color="auto"/>
        <w:bottom w:val="none" w:sz="0" w:space="0" w:color="auto"/>
        <w:right w:val="none" w:sz="0" w:space="0" w:color="auto"/>
      </w:divBdr>
    </w:div>
    <w:div w:id="483549332">
      <w:bodyDiv w:val="1"/>
      <w:marLeft w:val="0"/>
      <w:marRight w:val="0"/>
      <w:marTop w:val="0"/>
      <w:marBottom w:val="0"/>
      <w:divBdr>
        <w:top w:val="none" w:sz="0" w:space="0" w:color="auto"/>
        <w:left w:val="none" w:sz="0" w:space="0" w:color="auto"/>
        <w:bottom w:val="none" w:sz="0" w:space="0" w:color="auto"/>
        <w:right w:val="none" w:sz="0" w:space="0" w:color="auto"/>
      </w:divBdr>
    </w:div>
    <w:div w:id="493570521">
      <w:bodyDiv w:val="1"/>
      <w:marLeft w:val="0"/>
      <w:marRight w:val="0"/>
      <w:marTop w:val="0"/>
      <w:marBottom w:val="0"/>
      <w:divBdr>
        <w:top w:val="none" w:sz="0" w:space="0" w:color="auto"/>
        <w:left w:val="none" w:sz="0" w:space="0" w:color="auto"/>
        <w:bottom w:val="none" w:sz="0" w:space="0" w:color="auto"/>
        <w:right w:val="none" w:sz="0" w:space="0" w:color="auto"/>
      </w:divBdr>
    </w:div>
    <w:div w:id="498741383">
      <w:bodyDiv w:val="1"/>
      <w:marLeft w:val="0"/>
      <w:marRight w:val="0"/>
      <w:marTop w:val="0"/>
      <w:marBottom w:val="0"/>
      <w:divBdr>
        <w:top w:val="none" w:sz="0" w:space="0" w:color="auto"/>
        <w:left w:val="none" w:sz="0" w:space="0" w:color="auto"/>
        <w:bottom w:val="none" w:sz="0" w:space="0" w:color="auto"/>
        <w:right w:val="none" w:sz="0" w:space="0" w:color="auto"/>
      </w:divBdr>
    </w:div>
    <w:div w:id="502937101">
      <w:bodyDiv w:val="1"/>
      <w:marLeft w:val="0"/>
      <w:marRight w:val="0"/>
      <w:marTop w:val="0"/>
      <w:marBottom w:val="0"/>
      <w:divBdr>
        <w:top w:val="none" w:sz="0" w:space="0" w:color="auto"/>
        <w:left w:val="none" w:sz="0" w:space="0" w:color="auto"/>
        <w:bottom w:val="none" w:sz="0" w:space="0" w:color="auto"/>
        <w:right w:val="none" w:sz="0" w:space="0" w:color="auto"/>
      </w:divBdr>
    </w:div>
    <w:div w:id="510333984">
      <w:bodyDiv w:val="1"/>
      <w:marLeft w:val="0"/>
      <w:marRight w:val="0"/>
      <w:marTop w:val="0"/>
      <w:marBottom w:val="0"/>
      <w:divBdr>
        <w:top w:val="none" w:sz="0" w:space="0" w:color="auto"/>
        <w:left w:val="none" w:sz="0" w:space="0" w:color="auto"/>
        <w:bottom w:val="none" w:sz="0" w:space="0" w:color="auto"/>
        <w:right w:val="none" w:sz="0" w:space="0" w:color="auto"/>
      </w:divBdr>
    </w:div>
    <w:div w:id="512495659">
      <w:bodyDiv w:val="1"/>
      <w:marLeft w:val="0"/>
      <w:marRight w:val="0"/>
      <w:marTop w:val="0"/>
      <w:marBottom w:val="0"/>
      <w:divBdr>
        <w:top w:val="none" w:sz="0" w:space="0" w:color="auto"/>
        <w:left w:val="none" w:sz="0" w:space="0" w:color="auto"/>
        <w:bottom w:val="none" w:sz="0" w:space="0" w:color="auto"/>
        <w:right w:val="none" w:sz="0" w:space="0" w:color="auto"/>
      </w:divBdr>
    </w:div>
    <w:div w:id="512843897">
      <w:bodyDiv w:val="1"/>
      <w:marLeft w:val="0"/>
      <w:marRight w:val="0"/>
      <w:marTop w:val="0"/>
      <w:marBottom w:val="0"/>
      <w:divBdr>
        <w:top w:val="none" w:sz="0" w:space="0" w:color="auto"/>
        <w:left w:val="none" w:sz="0" w:space="0" w:color="auto"/>
        <w:bottom w:val="none" w:sz="0" w:space="0" w:color="auto"/>
        <w:right w:val="none" w:sz="0" w:space="0" w:color="auto"/>
      </w:divBdr>
    </w:div>
    <w:div w:id="532033870">
      <w:bodyDiv w:val="1"/>
      <w:marLeft w:val="0"/>
      <w:marRight w:val="0"/>
      <w:marTop w:val="0"/>
      <w:marBottom w:val="0"/>
      <w:divBdr>
        <w:top w:val="none" w:sz="0" w:space="0" w:color="auto"/>
        <w:left w:val="none" w:sz="0" w:space="0" w:color="auto"/>
        <w:bottom w:val="none" w:sz="0" w:space="0" w:color="auto"/>
        <w:right w:val="none" w:sz="0" w:space="0" w:color="auto"/>
      </w:divBdr>
    </w:div>
    <w:div w:id="535585966">
      <w:bodyDiv w:val="1"/>
      <w:marLeft w:val="0"/>
      <w:marRight w:val="0"/>
      <w:marTop w:val="0"/>
      <w:marBottom w:val="0"/>
      <w:divBdr>
        <w:top w:val="none" w:sz="0" w:space="0" w:color="auto"/>
        <w:left w:val="none" w:sz="0" w:space="0" w:color="auto"/>
        <w:bottom w:val="none" w:sz="0" w:space="0" w:color="auto"/>
        <w:right w:val="none" w:sz="0" w:space="0" w:color="auto"/>
      </w:divBdr>
    </w:div>
    <w:div w:id="542207962">
      <w:bodyDiv w:val="1"/>
      <w:marLeft w:val="0"/>
      <w:marRight w:val="0"/>
      <w:marTop w:val="0"/>
      <w:marBottom w:val="0"/>
      <w:divBdr>
        <w:top w:val="none" w:sz="0" w:space="0" w:color="auto"/>
        <w:left w:val="none" w:sz="0" w:space="0" w:color="auto"/>
        <w:bottom w:val="none" w:sz="0" w:space="0" w:color="auto"/>
        <w:right w:val="none" w:sz="0" w:space="0" w:color="auto"/>
      </w:divBdr>
    </w:div>
    <w:div w:id="542793346">
      <w:bodyDiv w:val="1"/>
      <w:marLeft w:val="0"/>
      <w:marRight w:val="0"/>
      <w:marTop w:val="0"/>
      <w:marBottom w:val="0"/>
      <w:divBdr>
        <w:top w:val="none" w:sz="0" w:space="0" w:color="auto"/>
        <w:left w:val="none" w:sz="0" w:space="0" w:color="auto"/>
        <w:bottom w:val="none" w:sz="0" w:space="0" w:color="auto"/>
        <w:right w:val="none" w:sz="0" w:space="0" w:color="auto"/>
      </w:divBdr>
    </w:div>
    <w:div w:id="548806281">
      <w:bodyDiv w:val="1"/>
      <w:marLeft w:val="0"/>
      <w:marRight w:val="0"/>
      <w:marTop w:val="0"/>
      <w:marBottom w:val="0"/>
      <w:divBdr>
        <w:top w:val="none" w:sz="0" w:space="0" w:color="auto"/>
        <w:left w:val="none" w:sz="0" w:space="0" w:color="auto"/>
        <w:bottom w:val="none" w:sz="0" w:space="0" w:color="auto"/>
        <w:right w:val="none" w:sz="0" w:space="0" w:color="auto"/>
      </w:divBdr>
    </w:div>
    <w:div w:id="557666669">
      <w:bodyDiv w:val="1"/>
      <w:marLeft w:val="0"/>
      <w:marRight w:val="0"/>
      <w:marTop w:val="0"/>
      <w:marBottom w:val="0"/>
      <w:divBdr>
        <w:top w:val="none" w:sz="0" w:space="0" w:color="auto"/>
        <w:left w:val="none" w:sz="0" w:space="0" w:color="auto"/>
        <w:bottom w:val="none" w:sz="0" w:space="0" w:color="auto"/>
        <w:right w:val="none" w:sz="0" w:space="0" w:color="auto"/>
      </w:divBdr>
    </w:div>
    <w:div w:id="564100164">
      <w:bodyDiv w:val="1"/>
      <w:marLeft w:val="0"/>
      <w:marRight w:val="0"/>
      <w:marTop w:val="0"/>
      <w:marBottom w:val="0"/>
      <w:divBdr>
        <w:top w:val="none" w:sz="0" w:space="0" w:color="auto"/>
        <w:left w:val="none" w:sz="0" w:space="0" w:color="auto"/>
        <w:bottom w:val="none" w:sz="0" w:space="0" w:color="auto"/>
        <w:right w:val="none" w:sz="0" w:space="0" w:color="auto"/>
      </w:divBdr>
    </w:div>
    <w:div w:id="568687501">
      <w:bodyDiv w:val="1"/>
      <w:marLeft w:val="0"/>
      <w:marRight w:val="0"/>
      <w:marTop w:val="0"/>
      <w:marBottom w:val="0"/>
      <w:divBdr>
        <w:top w:val="none" w:sz="0" w:space="0" w:color="auto"/>
        <w:left w:val="none" w:sz="0" w:space="0" w:color="auto"/>
        <w:bottom w:val="none" w:sz="0" w:space="0" w:color="auto"/>
        <w:right w:val="none" w:sz="0" w:space="0" w:color="auto"/>
      </w:divBdr>
    </w:div>
    <w:div w:id="571699323">
      <w:bodyDiv w:val="1"/>
      <w:marLeft w:val="0"/>
      <w:marRight w:val="0"/>
      <w:marTop w:val="0"/>
      <w:marBottom w:val="0"/>
      <w:divBdr>
        <w:top w:val="none" w:sz="0" w:space="0" w:color="auto"/>
        <w:left w:val="none" w:sz="0" w:space="0" w:color="auto"/>
        <w:bottom w:val="none" w:sz="0" w:space="0" w:color="auto"/>
        <w:right w:val="none" w:sz="0" w:space="0" w:color="auto"/>
      </w:divBdr>
    </w:div>
    <w:div w:id="577861105">
      <w:bodyDiv w:val="1"/>
      <w:marLeft w:val="0"/>
      <w:marRight w:val="0"/>
      <w:marTop w:val="0"/>
      <w:marBottom w:val="0"/>
      <w:divBdr>
        <w:top w:val="none" w:sz="0" w:space="0" w:color="auto"/>
        <w:left w:val="none" w:sz="0" w:space="0" w:color="auto"/>
        <w:bottom w:val="none" w:sz="0" w:space="0" w:color="auto"/>
        <w:right w:val="none" w:sz="0" w:space="0" w:color="auto"/>
      </w:divBdr>
    </w:div>
    <w:div w:id="609047453">
      <w:bodyDiv w:val="1"/>
      <w:marLeft w:val="0"/>
      <w:marRight w:val="0"/>
      <w:marTop w:val="0"/>
      <w:marBottom w:val="0"/>
      <w:divBdr>
        <w:top w:val="none" w:sz="0" w:space="0" w:color="auto"/>
        <w:left w:val="none" w:sz="0" w:space="0" w:color="auto"/>
        <w:bottom w:val="none" w:sz="0" w:space="0" w:color="auto"/>
        <w:right w:val="none" w:sz="0" w:space="0" w:color="auto"/>
      </w:divBdr>
    </w:div>
    <w:div w:id="613681686">
      <w:bodyDiv w:val="1"/>
      <w:marLeft w:val="0"/>
      <w:marRight w:val="0"/>
      <w:marTop w:val="0"/>
      <w:marBottom w:val="0"/>
      <w:divBdr>
        <w:top w:val="none" w:sz="0" w:space="0" w:color="auto"/>
        <w:left w:val="none" w:sz="0" w:space="0" w:color="auto"/>
        <w:bottom w:val="none" w:sz="0" w:space="0" w:color="auto"/>
        <w:right w:val="none" w:sz="0" w:space="0" w:color="auto"/>
      </w:divBdr>
    </w:div>
    <w:div w:id="614944074">
      <w:bodyDiv w:val="1"/>
      <w:marLeft w:val="0"/>
      <w:marRight w:val="0"/>
      <w:marTop w:val="0"/>
      <w:marBottom w:val="0"/>
      <w:divBdr>
        <w:top w:val="none" w:sz="0" w:space="0" w:color="auto"/>
        <w:left w:val="none" w:sz="0" w:space="0" w:color="auto"/>
        <w:bottom w:val="none" w:sz="0" w:space="0" w:color="auto"/>
        <w:right w:val="none" w:sz="0" w:space="0" w:color="auto"/>
      </w:divBdr>
    </w:div>
    <w:div w:id="616063384">
      <w:bodyDiv w:val="1"/>
      <w:marLeft w:val="0"/>
      <w:marRight w:val="0"/>
      <w:marTop w:val="0"/>
      <w:marBottom w:val="0"/>
      <w:divBdr>
        <w:top w:val="none" w:sz="0" w:space="0" w:color="auto"/>
        <w:left w:val="none" w:sz="0" w:space="0" w:color="auto"/>
        <w:bottom w:val="none" w:sz="0" w:space="0" w:color="auto"/>
        <w:right w:val="none" w:sz="0" w:space="0" w:color="auto"/>
      </w:divBdr>
    </w:div>
    <w:div w:id="616107499">
      <w:bodyDiv w:val="1"/>
      <w:marLeft w:val="0"/>
      <w:marRight w:val="0"/>
      <w:marTop w:val="0"/>
      <w:marBottom w:val="0"/>
      <w:divBdr>
        <w:top w:val="none" w:sz="0" w:space="0" w:color="auto"/>
        <w:left w:val="none" w:sz="0" w:space="0" w:color="auto"/>
        <w:bottom w:val="none" w:sz="0" w:space="0" w:color="auto"/>
        <w:right w:val="none" w:sz="0" w:space="0" w:color="auto"/>
      </w:divBdr>
    </w:div>
    <w:div w:id="616720528">
      <w:bodyDiv w:val="1"/>
      <w:marLeft w:val="0"/>
      <w:marRight w:val="0"/>
      <w:marTop w:val="0"/>
      <w:marBottom w:val="0"/>
      <w:divBdr>
        <w:top w:val="none" w:sz="0" w:space="0" w:color="auto"/>
        <w:left w:val="none" w:sz="0" w:space="0" w:color="auto"/>
        <w:bottom w:val="none" w:sz="0" w:space="0" w:color="auto"/>
        <w:right w:val="none" w:sz="0" w:space="0" w:color="auto"/>
      </w:divBdr>
    </w:div>
    <w:div w:id="619646438">
      <w:bodyDiv w:val="1"/>
      <w:marLeft w:val="0"/>
      <w:marRight w:val="0"/>
      <w:marTop w:val="0"/>
      <w:marBottom w:val="0"/>
      <w:divBdr>
        <w:top w:val="none" w:sz="0" w:space="0" w:color="auto"/>
        <w:left w:val="none" w:sz="0" w:space="0" w:color="auto"/>
        <w:bottom w:val="none" w:sz="0" w:space="0" w:color="auto"/>
        <w:right w:val="none" w:sz="0" w:space="0" w:color="auto"/>
      </w:divBdr>
    </w:div>
    <w:div w:id="620186032">
      <w:bodyDiv w:val="1"/>
      <w:marLeft w:val="0"/>
      <w:marRight w:val="0"/>
      <w:marTop w:val="0"/>
      <w:marBottom w:val="0"/>
      <w:divBdr>
        <w:top w:val="none" w:sz="0" w:space="0" w:color="auto"/>
        <w:left w:val="none" w:sz="0" w:space="0" w:color="auto"/>
        <w:bottom w:val="none" w:sz="0" w:space="0" w:color="auto"/>
        <w:right w:val="none" w:sz="0" w:space="0" w:color="auto"/>
      </w:divBdr>
    </w:div>
    <w:div w:id="627470156">
      <w:bodyDiv w:val="1"/>
      <w:marLeft w:val="0"/>
      <w:marRight w:val="0"/>
      <w:marTop w:val="0"/>
      <w:marBottom w:val="0"/>
      <w:divBdr>
        <w:top w:val="none" w:sz="0" w:space="0" w:color="auto"/>
        <w:left w:val="none" w:sz="0" w:space="0" w:color="auto"/>
        <w:bottom w:val="none" w:sz="0" w:space="0" w:color="auto"/>
        <w:right w:val="none" w:sz="0" w:space="0" w:color="auto"/>
      </w:divBdr>
    </w:div>
    <w:div w:id="628706606">
      <w:bodyDiv w:val="1"/>
      <w:marLeft w:val="0"/>
      <w:marRight w:val="0"/>
      <w:marTop w:val="0"/>
      <w:marBottom w:val="0"/>
      <w:divBdr>
        <w:top w:val="none" w:sz="0" w:space="0" w:color="auto"/>
        <w:left w:val="none" w:sz="0" w:space="0" w:color="auto"/>
        <w:bottom w:val="none" w:sz="0" w:space="0" w:color="auto"/>
        <w:right w:val="none" w:sz="0" w:space="0" w:color="auto"/>
      </w:divBdr>
    </w:div>
    <w:div w:id="639501880">
      <w:bodyDiv w:val="1"/>
      <w:marLeft w:val="0"/>
      <w:marRight w:val="0"/>
      <w:marTop w:val="0"/>
      <w:marBottom w:val="0"/>
      <w:divBdr>
        <w:top w:val="none" w:sz="0" w:space="0" w:color="auto"/>
        <w:left w:val="none" w:sz="0" w:space="0" w:color="auto"/>
        <w:bottom w:val="none" w:sz="0" w:space="0" w:color="auto"/>
        <w:right w:val="none" w:sz="0" w:space="0" w:color="auto"/>
      </w:divBdr>
    </w:div>
    <w:div w:id="645089528">
      <w:bodyDiv w:val="1"/>
      <w:marLeft w:val="0"/>
      <w:marRight w:val="0"/>
      <w:marTop w:val="0"/>
      <w:marBottom w:val="0"/>
      <w:divBdr>
        <w:top w:val="none" w:sz="0" w:space="0" w:color="auto"/>
        <w:left w:val="none" w:sz="0" w:space="0" w:color="auto"/>
        <w:bottom w:val="none" w:sz="0" w:space="0" w:color="auto"/>
        <w:right w:val="none" w:sz="0" w:space="0" w:color="auto"/>
      </w:divBdr>
    </w:div>
    <w:div w:id="647902104">
      <w:bodyDiv w:val="1"/>
      <w:marLeft w:val="0"/>
      <w:marRight w:val="0"/>
      <w:marTop w:val="0"/>
      <w:marBottom w:val="0"/>
      <w:divBdr>
        <w:top w:val="none" w:sz="0" w:space="0" w:color="auto"/>
        <w:left w:val="none" w:sz="0" w:space="0" w:color="auto"/>
        <w:bottom w:val="none" w:sz="0" w:space="0" w:color="auto"/>
        <w:right w:val="none" w:sz="0" w:space="0" w:color="auto"/>
      </w:divBdr>
    </w:div>
    <w:div w:id="651980484">
      <w:bodyDiv w:val="1"/>
      <w:marLeft w:val="0"/>
      <w:marRight w:val="0"/>
      <w:marTop w:val="0"/>
      <w:marBottom w:val="0"/>
      <w:divBdr>
        <w:top w:val="none" w:sz="0" w:space="0" w:color="auto"/>
        <w:left w:val="none" w:sz="0" w:space="0" w:color="auto"/>
        <w:bottom w:val="none" w:sz="0" w:space="0" w:color="auto"/>
        <w:right w:val="none" w:sz="0" w:space="0" w:color="auto"/>
      </w:divBdr>
    </w:div>
    <w:div w:id="652880008">
      <w:bodyDiv w:val="1"/>
      <w:marLeft w:val="0"/>
      <w:marRight w:val="0"/>
      <w:marTop w:val="0"/>
      <w:marBottom w:val="0"/>
      <w:divBdr>
        <w:top w:val="none" w:sz="0" w:space="0" w:color="auto"/>
        <w:left w:val="none" w:sz="0" w:space="0" w:color="auto"/>
        <w:bottom w:val="none" w:sz="0" w:space="0" w:color="auto"/>
        <w:right w:val="none" w:sz="0" w:space="0" w:color="auto"/>
      </w:divBdr>
    </w:div>
    <w:div w:id="654794799">
      <w:bodyDiv w:val="1"/>
      <w:marLeft w:val="0"/>
      <w:marRight w:val="0"/>
      <w:marTop w:val="0"/>
      <w:marBottom w:val="0"/>
      <w:divBdr>
        <w:top w:val="none" w:sz="0" w:space="0" w:color="auto"/>
        <w:left w:val="none" w:sz="0" w:space="0" w:color="auto"/>
        <w:bottom w:val="none" w:sz="0" w:space="0" w:color="auto"/>
        <w:right w:val="none" w:sz="0" w:space="0" w:color="auto"/>
      </w:divBdr>
    </w:div>
    <w:div w:id="656811020">
      <w:bodyDiv w:val="1"/>
      <w:marLeft w:val="0"/>
      <w:marRight w:val="0"/>
      <w:marTop w:val="0"/>
      <w:marBottom w:val="0"/>
      <w:divBdr>
        <w:top w:val="none" w:sz="0" w:space="0" w:color="auto"/>
        <w:left w:val="none" w:sz="0" w:space="0" w:color="auto"/>
        <w:bottom w:val="none" w:sz="0" w:space="0" w:color="auto"/>
        <w:right w:val="none" w:sz="0" w:space="0" w:color="auto"/>
      </w:divBdr>
    </w:div>
    <w:div w:id="662928621">
      <w:bodyDiv w:val="1"/>
      <w:marLeft w:val="0"/>
      <w:marRight w:val="0"/>
      <w:marTop w:val="0"/>
      <w:marBottom w:val="0"/>
      <w:divBdr>
        <w:top w:val="none" w:sz="0" w:space="0" w:color="auto"/>
        <w:left w:val="none" w:sz="0" w:space="0" w:color="auto"/>
        <w:bottom w:val="none" w:sz="0" w:space="0" w:color="auto"/>
        <w:right w:val="none" w:sz="0" w:space="0" w:color="auto"/>
      </w:divBdr>
    </w:div>
    <w:div w:id="664479820">
      <w:bodyDiv w:val="1"/>
      <w:marLeft w:val="0"/>
      <w:marRight w:val="0"/>
      <w:marTop w:val="0"/>
      <w:marBottom w:val="0"/>
      <w:divBdr>
        <w:top w:val="none" w:sz="0" w:space="0" w:color="auto"/>
        <w:left w:val="none" w:sz="0" w:space="0" w:color="auto"/>
        <w:bottom w:val="none" w:sz="0" w:space="0" w:color="auto"/>
        <w:right w:val="none" w:sz="0" w:space="0" w:color="auto"/>
      </w:divBdr>
    </w:div>
    <w:div w:id="668101275">
      <w:bodyDiv w:val="1"/>
      <w:marLeft w:val="0"/>
      <w:marRight w:val="0"/>
      <w:marTop w:val="0"/>
      <w:marBottom w:val="0"/>
      <w:divBdr>
        <w:top w:val="none" w:sz="0" w:space="0" w:color="auto"/>
        <w:left w:val="none" w:sz="0" w:space="0" w:color="auto"/>
        <w:bottom w:val="none" w:sz="0" w:space="0" w:color="auto"/>
        <w:right w:val="none" w:sz="0" w:space="0" w:color="auto"/>
      </w:divBdr>
    </w:div>
    <w:div w:id="670445786">
      <w:bodyDiv w:val="1"/>
      <w:marLeft w:val="0"/>
      <w:marRight w:val="0"/>
      <w:marTop w:val="0"/>
      <w:marBottom w:val="0"/>
      <w:divBdr>
        <w:top w:val="none" w:sz="0" w:space="0" w:color="auto"/>
        <w:left w:val="none" w:sz="0" w:space="0" w:color="auto"/>
        <w:bottom w:val="none" w:sz="0" w:space="0" w:color="auto"/>
        <w:right w:val="none" w:sz="0" w:space="0" w:color="auto"/>
      </w:divBdr>
    </w:div>
    <w:div w:id="671765023">
      <w:bodyDiv w:val="1"/>
      <w:marLeft w:val="0"/>
      <w:marRight w:val="0"/>
      <w:marTop w:val="0"/>
      <w:marBottom w:val="0"/>
      <w:divBdr>
        <w:top w:val="none" w:sz="0" w:space="0" w:color="auto"/>
        <w:left w:val="none" w:sz="0" w:space="0" w:color="auto"/>
        <w:bottom w:val="none" w:sz="0" w:space="0" w:color="auto"/>
        <w:right w:val="none" w:sz="0" w:space="0" w:color="auto"/>
      </w:divBdr>
    </w:div>
    <w:div w:id="673151076">
      <w:bodyDiv w:val="1"/>
      <w:marLeft w:val="0"/>
      <w:marRight w:val="0"/>
      <w:marTop w:val="0"/>
      <w:marBottom w:val="0"/>
      <w:divBdr>
        <w:top w:val="none" w:sz="0" w:space="0" w:color="auto"/>
        <w:left w:val="none" w:sz="0" w:space="0" w:color="auto"/>
        <w:bottom w:val="none" w:sz="0" w:space="0" w:color="auto"/>
        <w:right w:val="none" w:sz="0" w:space="0" w:color="auto"/>
      </w:divBdr>
    </w:div>
    <w:div w:id="676469866">
      <w:bodyDiv w:val="1"/>
      <w:marLeft w:val="0"/>
      <w:marRight w:val="0"/>
      <w:marTop w:val="0"/>
      <w:marBottom w:val="0"/>
      <w:divBdr>
        <w:top w:val="none" w:sz="0" w:space="0" w:color="auto"/>
        <w:left w:val="none" w:sz="0" w:space="0" w:color="auto"/>
        <w:bottom w:val="none" w:sz="0" w:space="0" w:color="auto"/>
        <w:right w:val="none" w:sz="0" w:space="0" w:color="auto"/>
      </w:divBdr>
    </w:div>
    <w:div w:id="677658812">
      <w:bodyDiv w:val="1"/>
      <w:marLeft w:val="0"/>
      <w:marRight w:val="0"/>
      <w:marTop w:val="0"/>
      <w:marBottom w:val="0"/>
      <w:divBdr>
        <w:top w:val="none" w:sz="0" w:space="0" w:color="auto"/>
        <w:left w:val="none" w:sz="0" w:space="0" w:color="auto"/>
        <w:bottom w:val="none" w:sz="0" w:space="0" w:color="auto"/>
        <w:right w:val="none" w:sz="0" w:space="0" w:color="auto"/>
      </w:divBdr>
    </w:div>
    <w:div w:id="678890813">
      <w:bodyDiv w:val="1"/>
      <w:marLeft w:val="0"/>
      <w:marRight w:val="0"/>
      <w:marTop w:val="0"/>
      <w:marBottom w:val="0"/>
      <w:divBdr>
        <w:top w:val="none" w:sz="0" w:space="0" w:color="auto"/>
        <w:left w:val="none" w:sz="0" w:space="0" w:color="auto"/>
        <w:bottom w:val="none" w:sz="0" w:space="0" w:color="auto"/>
        <w:right w:val="none" w:sz="0" w:space="0" w:color="auto"/>
      </w:divBdr>
    </w:div>
    <w:div w:id="685791948">
      <w:bodyDiv w:val="1"/>
      <w:marLeft w:val="0"/>
      <w:marRight w:val="0"/>
      <w:marTop w:val="0"/>
      <w:marBottom w:val="0"/>
      <w:divBdr>
        <w:top w:val="none" w:sz="0" w:space="0" w:color="auto"/>
        <w:left w:val="none" w:sz="0" w:space="0" w:color="auto"/>
        <w:bottom w:val="none" w:sz="0" w:space="0" w:color="auto"/>
        <w:right w:val="none" w:sz="0" w:space="0" w:color="auto"/>
      </w:divBdr>
    </w:div>
    <w:div w:id="695155274">
      <w:bodyDiv w:val="1"/>
      <w:marLeft w:val="0"/>
      <w:marRight w:val="0"/>
      <w:marTop w:val="0"/>
      <w:marBottom w:val="0"/>
      <w:divBdr>
        <w:top w:val="none" w:sz="0" w:space="0" w:color="auto"/>
        <w:left w:val="none" w:sz="0" w:space="0" w:color="auto"/>
        <w:bottom w:val="none" w:sz="0" w:space="0" w:color="auto"/>
        <w:right w:val="none" w:sz="0" w:space="0" w:color="auto"/>
      </w:divBdr>
    </w:div>
    <w:div w:id="701974433">
      <w:bodyDiv w:val="1"/>
      <w:marLeft w:val="0"/>
      <w:marRight w:val="0"/>
      <w:marTop w:val="0"/>
      <w:marBottom w:val="0"/>
      <w:divBdr>
        <w:top w:val="none" w:sz="0" w:space="0" w:color="auto"/>
        <w:left w:val="none" w:sz="0" w:space="0" w:color="auto"/>
        <w:bottom w:val="none" w:sz="0" w:space="0" w:color="auto"/>
        <w:right w:val="none" w:sz="0" w:space="0" w:color="auto"/>
      </w:divBdr>
    </w:div>
    <w:div w:id="706486949">
      <w:bodyDiv w:val="1"/>
      <w:marLeft w:val="0"/>
      <w:marRight w:val="0"/>
      <w:marTop w:val="0"/>
      <w:marBottom w:val="0"/>
      <w:divBdr>
        <w:top w:val="none" w:sz="0" w:space="0" w:color="auto"/>
        <w:left w:val="none" w:sz="0" w:space="0" w:color="auto"/>
        <w:bottom w:val="none" w:sz="0" w:space="0" w:color="auto"/>
        <w:right w:val="none" w:sz="0" w:space="0" w:color="auto"/>
      </w:divBdr>
    </w:div>
    <w:div w:id="714039622">
      <w:bodyDiv w:val="1"/>
      <w:marLeft w:val="0"/>
      <w:marRight w:val="0"/>
      <w:marTop w:val="0"/>
      <w:marBottom w:val="0"/>
      <w:divBdr>
        <w:top w:val="none" w:sz="0" w:space="0" w:color="auto"/>
        <w:left w:val="none" w:sz="0" w:space="0" w:color="auto"/>
        <w:bottom w:val="none" w:sz="0" w:space="0" w:color="auto"/>
        <w:right w:val="none" w:sz="0" w:space="0" w:color="auto"/>
      </w:divBdr>
    </w:div>
    <w:div w:id="714280200">
      <w:bodyDiv w:val="1"/>
      <w:marLeft w:val="0"/>
      <w:marRight w:val="0"/>
      <w:marTop w:val="0"/>
      <w:marBottom w:val="0"/>
      <w:divBdr>
        <w:top w:val="none" w:sz="0" w:space="0" w:color="auto"/>
        <w:left w:val="none" w:sz="0" w:space="0" w:color="auto"/>
        <w:bottom w:val="none" w:sz="0" w:space="0" w:color="auto"/>
        <w:right w:val="none" w:sz="0" w:space="0" w:color="auto"/>
      </w:divBdr>
    </w:div>
    <w:div w:id="714932541">
      <w:bodyDiv w:val="1"/>
      <w:marLeft w:val="0"/>
      <w:marRight w:val="0"/>
      <w:marTop w:val="0"/>
      <w:marBottom w:val="0"/>
      <w:divBdr>
        <w:top w:val="none" w:sz="0" w:space="0" w:color="auto"/>
        <w:left w:val="none" w:sz="0" w:space="0" w:color="auto"/>
        <w:bottom w:val="none" w:sz="0" w:space="0" w:color="auto"/>
        <w:right w:val="none" w:sz="0" w:space="0" w:color="auto"/>
      </w:divBdr>
    </w:div>
    <w:div w:id="718167478">
      <w:bodyDiv w:val="1"/>
      <w:marLeft w:val="0"/>
      <w:marRight w:val="0"/>
      <w:marTop w:val="0"/>
      <w:marBottom w:val="0"/>
      <w:divBdr>
        <w:top w:val="none" w:sz="0" w:space="0" w:color="auto"/>
        <w:left w:val="none" w:sz="0" w:space="0" w:color="auto"/>
        <w:bottom w:val="none" w:sz="0" w:space="0" w:color="auto"/>
        <w:right w:val="none" w:sz="0" w:space="0" w:color="auto"/>
      </w:divBdr>
    </w:div>
    <w:div w:id="726800807">
      <w:bodyDiv w:val="1"/>
      <w:marLeft w:val="0"/>
      <w:marRight w:val="0"/>
      <w:marTop w:val="0"/>
      <w:marBottom w:val="0"/>
      <w:divBdr>
        <w:top w:val="none" w:sz="0" w:space="0" w:color="auto"/>
        <w:left w:val="none" w:sz="0" w:space="0" w:color="auto"/>
        <w:bottom w:val="none" w:sz="0" w:space="0" w:color="auto"/>
        <w:right w:val="none" w:sz="0" w:space="0" w:color="auto"/>
      </w:divBdr>
    </w:div>
    <w:div w:id="728304780">
      <w:bodyDiv w:val="1"/>
      <w:marLeft w:val="0"/>
      <w:marRight w:val="0"/>
      <w:marTop w:val="0"/>
      <w:marBottom w:val="0"/>
      <w:divBdr>
        <w:top w:val="none" w:sz="0" w:space="0" w:color="auto"/>
        <w:left w:val="none" w:sz="0" w:space="0" w:color="auto"/>
        <w:bottom w:val="none" w:sz="0" w:space="0" w:color="auto"/>
        <w:right w:val="none" w:sz="0" w:space="0" w:color="auto"/>
      </w:divBdr>
    </w:div>
    <w:div w:id="728959423">
      <w:bodyDiv w:val="1"/>
      <w:marLeft w:val="0"/>
      <w:marRight w:val="0"/>
      <w:marTop w:val="0"/>
      <w:marBottom w:val="0"/>
      <w:divBdr>
        <w:top w:val="none" w:sz="0" w:space="0" w:color="auto"/>
        <w:left w:val="none" w:sz="0" w:space="0" w:color="auto"/>
        <w:bottom w:val="none" w:sz="0" w:space="0" w:color="auto"/>
        <w:right w:val="none" w:sz="0" w:space="0" w:color="auto"/>
      </w:divBdr>
    </w:div>
    <w:div w:id="733310929">
      <w:bodyDiv w:val="1"/>
      <w:marLeft w:val="0"/>
      <w:marRight w:val="0"/>
      <w:marTop w:val="0"/>
      <w:marBottom w:val="0"/>
      <w:divBdr>
        <w:top w:val="none" w:sz="0" w:space="0" w:color="auto"/>
        <w:left w:val="none" w:sz="0" w:space="0" w:color="auto"/>
        <w:bottom w:val="none" w:sz="0" w:space="0" w:color="auto"/>
        <w:right w:val="none" w:sz="0" w:space="0" w:color="auto"/>
      </w:divBdr>
    </w:div>
    <w:div w:id="740297724">
      <w:bodyDiv w:val="1"/>
      <w:marLeft w:val="0"/>
      <w:marRight w:val="0"/>
      <w:marTop w:val="0"/>
      <w:marBottom w:val="0"/>
      <w:divBdr>
        <w:top w:val="none" w:sz="0" w:space="0" w:color="auto"/>
        <w:left w:val="none" w:sz="0" w:space="0" w:color="auto"/>
        <w:bottom w:val="none" w:sz="0" w:space="0" w:color="auto"/>
        <w:right w:val="none" w:sz="0" w:space="0" w:color="auto"/>
      </w:divBdr>
    </w:div>
    <w:div w:id="743265035">
      <w:bodyDiv w:val="1"/>
      <w:marLeft w:val="0"/>
      <w:marRight w:val="0"/>
      <w:marTop w:val="0"/>
      <w:marBottom w:val="0"/>
      <w:divBdr>
        <w:top w:val="none" w:sz="0" w:space="0" w:color="auto"/>
        <w:left w:val="none" w:sz="0" w:space="0" w:color="auto"/>
        <w:bottom w:val="none" w:sz="0" w:space="0" w:color="auto"/>
        <w:right w:val="none" w:sz="0" w:space="0" w:color="auto"/>
      </w:divBdr>
    </w:div>
    <w:div w:id="747073037">
      <w:bodyDiv w:val="1"/>
      <w:marLeft w:val="0"/>
      <w:marRight w:val="0"/>
      <w:marTop w:val="0"/>
      <w:marBottom w:val="0"/>
      <w:divBdr>
        <w:top w:val="none" w:sz="0" w:space="0" w:color="auto"/>
        <w:left w:val="none" w:sz="0" w:space="0" w:color="auto"/>
        <w:bottom w:val="none" w:sz="0" w:space="0" w:color="auto"/>
        <w:right w:val="none" w:sz="0" w:space="0" w:color="auto"/>
      </w:divBdr>
    </w:div>
    <w:div w:id="748967619">
      <w:bodyDiv w:val="1"/>
      <w:marLeft w:val="0"/>
      <w:marRight w:val="0"/>
      <w:marTop w:val="0"/>
      <w:marBottom w:val="0"/>
      <w:divBdr>
        <w:top w:val="none" w:sz="0" w:space="0" w:color="auto"/>
        <w:left w:val="none" w:sz="0" w:space="0" w:color="auto"/>
        <w:bottom w:val="none" w:sz="0" w:space="0" w:color="auto"/>
        <w:right w:val="none" w:sz="0" w:space="0" w:color="auto"/>
      </w:divBdr>
    </w:div>
    <w:div w:id="750656932">
      <w:bodyDiv w:val="1"/>
      <w:marLeft w:val="0"/>
      <w:marRight w:val="0"/>
      <w:marTop w:val="0"/>
      <w:marBottom w:val="0"/>
      <w:divBdr>
        <w:top w:val="none" w:sz="0" w:space="0" w:color="auto"/>
        <w:left w:val="none" w:sz="0" w:space="0" w:color="auto"/>
        <w:bottom w:val="none" w:sz="0" w:space="0" w:color="auto"/>
        <w:right w:val="none" w:sz="0" w:space="0" w:color="auto"/>
      </w:divBdr>
    </w:div>
    <w:div w:id="753867110">
      <w:bodyDiv w:val="1"/>
      <w:marLeft w:val="0"/>
      <w:marRight w:val="0"/>
      <w:marTop w:val="0"/>
      <w:marBottom w:val="0"/>
      <w:divBdr>
        <w:top w:val="none" w:sz="0" w:space="0" w:color="auto"/>
        <w:left w:val="none" w:sz="0" w:space="0" w:color="auto"/>
        <w:bottom w:val="none" w:sz="0" w:space="0" w:color="auto"/>
        <w:right w:val="none" w:sz="0" w:space="0" w:color="auto"/>
      </w:divBdr>
    </w:div>
    <w:div w:id="754085464">
      <w:bodyDiv w:val="1"/>
      <w:marLeft w:val="0"/>
      <w:marRight w:val="0"/>
      <w:marTop w:val="0"/>
      <w:marBottom w:val="0"/>
      <w:divBdr>
        <w:top w:val="none" w:sz="0" w:space="0" w:color="auto"/>
        <w:left w:val="none" w:sz="0" w:space="0" w:color="auto"/>
        <w:bottom w:val="none" w:sz="0" w:space="0" w:color="auto"/>
        <w:right w:val="none" w:sz="0" w:space="0" w:color="auto"/>
      </w:divBdr>
    </w:div>
    <w:div w:id="757601820">
      <w:bodyDiv w:val="1"/>
      <w:marLeft w:val="0"/>
      <w:marRight w:val="0"/>
      <w:marTop w:val="0"/>
      <w:marBottom w:val="0"/>
      <w:divBdr>
        <w:top w:val="none" w:sz="0" w:space="0" w:color="auto"/>
        <w:left w:val="none" w:sz="0" w:space="0" w:color="auto"/>
        <w:bottom w:val="none" w:sz="0" w:space="0" w:color="auto"/>
        <w:right w:val="none" w:sz="0" w:space="0" w:color="auto"/>
      </w:divBdr>
    </w:div>
    <w:div w:id="758405519">
      <w:bodyDiv w:val="1"/>
      <w:marLeft w:val="0"/>
      <w:marRight w:val="0"/>
      <w:marTop w:val="0"/>
      <w:marBottom w:val="0"/>
      <w:divBdr>
        <w:top w:val="none" w:sz="0" w:space="0" w:color="auto"/>
        <w:left w:val="none" w:sz="0" w:space="0" w:color="auto"/>
        <w:bottom w:val="none" w:sz="0" w:space="0" w:color="auto"/>
        <w:right w:val="none" w:sz="0" w:space="0" w:color="auto"/>
      </w:divBdr>
    </w:div>
    <w:div w:id="789934526">
      <w:bodyDiv w:val="1"/>
      <w:marLeft w:val="0"/>
      <w:marRight w:val="0"/>
      <w:marTop w:val="0"/>
      <w:marBottom w:val="0"/>
      <w:divBdr>
        <w:top w:val="none" w:sz="0" w:space="0" w:color="auto"/>
        <w:left w:val="none" w:sz="0" w:space="0" w:color="auto"/>
        <w:bottom w:val="none" w:sz="0" w:space="0" w:color="auto"/>
        <w:right w:val="none" w:sz="0" w:space="0" w:color="auto"/>
      </w:divBdr>
    </w:div>
    <w:div w:id="791897376">
      <w:bodyDiv w:val="1"/>
      <w:marLeft w:val="0"/>
      <w:marRight w:val="0"/>
      <w:marTop w:val="0"/>
      <w:marBottom w:val="0"/>
      <w:divBdr>
        <w:top w:val="none" w:sz="0" w:space="0" w:color="auto"/>
        <w:left w:val="none" w:sz="0" w:space="0" w:color="auto"/>
        <w:bottom w:val="none" w:sz="0" w:space="0" w:color="auto"/>
        <w:right w:val="none" w:sz="0" w:space="0" w:color="auto"/>
      </w:divBdr>
    </w:div>
    <w:div w:id="793214934">
      <w:bodyDiv w:val="1"/>
      <w:marLeft w:val="0"/>
      <w:marRight w:val="0"/>
      <w:marTop w:val="0"/>
      <w:marBottom w:val="0"/>
      <w:divBdr>
        <w:top w:val="none" w:sz="0" w:space="0" w:color="auto"/>
        <w:left w:val="none" w:sz="0" w:space="0" w:color="auto"/>
        <w:bottom w:val="none" w:sz="0" w:space="0" w:color="auto"/>
        <w:right w:val="none" w:sz="0" w:space="0" w:color="auto"/>
      </w:divBdr>
    </w:div>
    <w:div w:id="793671336">
      <w:bodyDiv w:val="1"/>
      <w:marLeft w:val="0"/>
      <w:marRight w:val="0"/>
      <w:marTop w:val="0"/>
      <w:marBottom w:val="0"/>
      <w:divBdr>
        <w:top w:val="none" w:sz="0" w:space="0" w:color="auto"/>
        <w:left w:val="none" w:sz="0" w:space="0" w:color="auto"/>
        <w:bottom w:val="none" w:sz="0" w:space="0" w:color="auto"/>
        <w:right w:val="none" w:sz="0" w:space="0" w:color="auto"/>
      </w:divBdr>
    </w:div>
    <w:div w:id="793712290">
      <w:bodyDiv w:val="1"/>
      <w:marLeft w:val="0"/>
      <w:marRight w:val="0"/>
      <w:marTop w:val="0"/>
      <w:marBottom w:val="0"/>
      <w:divBdr>
        <w:top w:val="none" w:sz="0" w:space="0" w:color="auto"/>
        <w:left w:val="none" w:sz="0" w:space="0" w:color="auto"/>
        <w:bottom w:val="none" w:sz="0" w:space="0" w:color="auto"/>
        <w:right w:val="none" w:sz="0" w:space="0" w:color="auto"/>
      </w:divBdr>
    </w:div>
    <w:div w:id="795148880">
      <w:bodyDiv w:val="1"/>
      <w:marLeft w:val="0"/>
      <w:marRight w:val="0"/>
      <w:marTop w:val="0"/>
      <w:marBottom w:val="0"/>
      <w:divBdr>
        <w:top w:val="none" w:sz="0" w:space="0" w:color="auto"/>
        <w:left w:val="none" w:sz="0" w:space="0" w:color="auto"/>
        <w:bottom w:val="none" w:sz="0" w:space="0" w:color="auto"/>
        <w:right w:val="none" w:sz="0" w:space="0" w:color="auto"/>
      </w:divBdr>
    </w:div>
    <w:div w:id="795759676">
      <w:bodyDiv w:val="1"/>
      <w:marLeft w:val="0"/>
      <w:marRight w:val="0"/>
      <w:marTop w:val="0"/>
      <w:marBottom w:val="0"/>
      <w:divBdr>
        <w:top w:val="none" w:sz="0" w:space="0" w:color="auto"/>
        <w:left w:val="none" w:sz="0" w:space="0" w:color="auto"/>
        <w:bottom w:val="none" w:sz="0" w:space="0" w:color="auto"/>
        <w:right w:val="none" w:sz="0" w:space="0" w:color="auto"/>
      </w:divBdr>
    </w:div>
    <w:div w:id="802698878">
      <w:bodyDiv w:val="1"/>
      <w:marLeft w:val="0"/>
      <w:marRight w:val="0"/>
      <w:marTop w:val="0"/>
      <w:marBottom w:val="0"/>
      <w:divBdr>
        <w:top w:val="none" w:sz="0" w:space="0" w:color="auto"/>
        <w:left w:val="none" w:sz="0" w:space="0" w:color="auto"/>
        <w:bottom w:val="none" w:sz="0" w:space="0" w:color="auto"/>
        <w:right w:val="none" w:sz="0" w:space="0" w:color="auto"/>
      </w:divBdr>
    </w:div>
    <w:div w:id="804933431">
      <w:bodyDiv w:val="1"/>
      <w:marLeft w:val="0"/>
      <w:marRight w:val="0"/>
      <w:marTop w:val="0"/>
      <w:marBottom w:val="0"/>
      <w:divBdr>
        <w:top w:val="none" w:sz="0" w:space="0" w:color="auto"/>
        <w:left w:val="none" w:sz="0" w:space="0" w:color="auto"/>
        <w:bottom w:val="none" w:sz="0" w:space="0" w:color="auto"/>
        <w:right w:val="none" w:sz="0" w:space="0" w:color="auto"/>
      </w:divBdr>
    </w:div>
    <w:div w:id="808280016">
      <w:bodyDiv w:val="1"/>
      <w:marLeft w:val="0"/>
      <w:marRight w:val="0"/>
      <w:marTop w:val="0"/>
      <w:marBottom w:val="0"/>
      <w:divBdr>
        <w:top w:val="none" w:sz="0" w:space="0" w:color="auto"/>
        <w:left w:val="none" w:sz="0" w:space="0" w:color="auto"/>
        <w:bottom w:val="none" w:sz="0" w:space="0" w:color="auto"/>
        <w:right w:val="none" w:sz="0" w:space="0" w:color="auto"/>
      </w:divBdr>
    </w:div>
    <w:div w:id="814024934">
      <w:bodyDiv w:val="1"/>
      <w:marLeft w:val="0"/>
      <w:marRight w:val="0"/>
      <w:marTop w:val="0"/>
      <w:marBottom w:val="0"/>
      <w:divBdr>
        <w:top w:val="none" w:sz="0" w:space="0" w:color="auto"/>
        <w:left w:val="none" w:sz="0" w:space="0" w:color="auto"/>
        <w:bottom w:val="none" w:sz="0" w:space="0" w:color="auto"/>
        <w:right w:val="none" w:sz="0" w:space="0" w:color="auto"/>
      </w:divBdr>
    </w:div>
    <w:div w:id="821116730">
      <w:bodyDiv w:val="1"/>
      <w:marLeft w:val="0"/>
      <w:marRight w:val="0"/>
      <w:marTop w:val="0"/>
      <w:marBottom w:val="0"/>
      <w:divBdr>
        <w:top w:val="none" w:sz="0" w:space="0" w:color="auto"/>
        <w:left w:val="none" w:sz="0" w:space="0" w:color="auto"/>
        <w:bottom w:val="none" w:sz="0" w:space="0" w:color="auto"/>
        <w:right w:val="none" w:sz="0" w:space="0" w:color="auto"/>
      </w:divBdr>
    </w:div>
    <w:div w:id="821964731">
      <w:bodyDiv w:val="1"/>
      <w:marLeft w:val="0"/>
      <w:marRight w:val="0"/>
      <w:marTop w:val="0"/>
      <w:marBottom w:val="0"/>
      <w:divBdr>
        <w:top w:val="none" w:sz="0" w:space="0" w:color="auto"/>
        <w:left w:val="none" w:sz="0" w:space="0" w:color="auto"/>
        <w:bottom w:val="none" w:sz="0" w:space="0" w:color="auto"/>
        <w:right w:val="none" w:sz="0" w:space="0" w:color="auto"/>
      </w:divBdr>
    </w:div>
    <w:div w:id="826283801">
      <w:bodyDiv w:val="1"/>
      <w:marLeft w:val="0"/>
      <w:marRight w:val="0"/>
      <w:marTop w:val="0"/>
      <w:marBottom w:val="0"/>
      <w:divBdr>
        <w:top w:val="none" w:sz="0" w:space="0" w:color="auto"/>
        <w:left w:val="none" w:sz="0" w:space="0" w:color="auto"/>
        <w:bottom w:val="none" w:sz="0" w:space="0" w:color="auto"/>
        <w:right w:val="none" w:sz="0" w:space="0" w:color="auto"/>
      </w:divBdr>
    </w:div>
    <w:div w:id="827983846">
      <w:bodyDiv w:val="1"/>
      <w:marLeft w:val="0"/>
      <w:marRight w:val="0"/>
      <w:marTop w:val="0"/>
      <w:marBottom w:val="0"/>
      <w:divBdr>
        <w:top w:val="none" w:sz="0" w:space="0" w:color="auto"/>
        <w:left w:val="none" w:sz="0" w:space="0" w:color="auto"/>
        <w:bottom w:val="none" w:sz="0" w:space="0" w:color="auto"/>
        <w:right w:val="none" w:sz="0" w:space="0" w:color="auto"/>
      </w:divBdr>
    </w:div>
    <w:div w:id="828179671">
      <w:bodyDiv w:val="1"/>
      <w:marLeft w:val="0"/>
      <w:marRight w:val="0"/>
      <w:marTop w:val="0"/>
      <w:marBottom w:val="0"/>
      <w:divBdr>
        <w:top w:val="none" w:sz="0" w:space="0" w:color="auto"/>
        <w:left w:val="none" w:sz="0" w:space="0" w:color="auto"/>
        <w:bottom w:val="none" w:sz="0" w:space="0" w:color="auto"/>
        <w:right w:val="none" w:sz="0" w:space="0" w:color="auto"/>
      </w:divBdr>
    </w:div>
    <w:div w:id="837960481">
      <w:bodyDiv w:val="1"/>
      <w:marLeft w:val="0"/>
      <w:marRight w:val="0"/>
      <w:marTop w:val="0"/>
      <w:marBottom w:val="0"/>
      <w:divBdr>
        <w:top w:val="none" w:sz="0" w:space="0" w:color="auto"/>
        <w:left w:val="none" w:sz="0" w:space="0" w:color="auto"/>
        <w:bottom w:val="none" w:sz="0" w:space="0" w:color="auto"/>
        <w:right w:val="none" w:sz="0" w:space="0" w:color="auto"/>
      </w:divBdr>
    </w:div>
    <w:div w:id="839731143">
      <w:bodyDiv w:val="1"/>
      <w:marLeft w:val="0"/>
      <w:marRight w:val="0"/>
      <w:marTop w:val="0"/>
      <w:marBottom w:val="0"/>
      <w:divBdr>
        <w:top w:val="none" w:sz="0" w:space="0" w:color="auto"/>
        <w:left w:val="none" w:sz="0" w:space="0" w:color="auto"/>
        <w:bottom w:val="none" w:sz="0" w:space="0" w:color="auto"/>
        <w:right w:val="none" w:sz="0" w:space="0" w:color="auto"/>
      </w:divBdr>
    </w:div>
    <w:div w:id="840701586">
      <w:bodyDiv w:val="1"/>
      <w:marLeft w:val="0"/>
      <w:marRight w:val="0"/>
      <w:marTop w:val="0"/>
      <w:marBottom w:val="0"/>
      <w:divBdr>
        <w:top w:val="none" w:sz="0" w:space="0" w:color="auto"/>
        <w:left w:val="none" w:sz="0" w:space="0" w:color="auto"/>
        <w:bottom w:val="none" w:sz="0" w:space="0" w:color="auto"/>
        <w:right w:val="none" w:sz="0" w:space="0" w:color="auto"/>
      </w:divBdr>
    </w:div>
    <w:div w:id="849754268">
      <w:bodyDiv w:val="1"/>
      <w:marLeft w:val="0"/>
      <w:marRight w:val="0"/>
      <w:marTop w:val="0"/>
      <w:marBottom w:val="0"/>
      <w:divBdr>
        <w:top w:val="none" w:sz="0" w:space="0" w:color="auto"/>
        <w:left w:val="none" w:sz="0" w:space="0" w:color="auto"/>
        <w:bottom w:val="none" w:sz="0" w:space="0" w:color="auto"/>
        <w:right w:val="none" w:sz="0" w:space="0" w:color="auto"/>
      </w:divBdr>
    </w:div>
    <w:div w:id="865748482">
      <w:bodyDiv w:val="1"/>
      <w:marLeft w:val="0"/>
      <w:marRight w:val="0"/>
      <w:marTop w:val="0"/>
      <w:marBottom w:val="0"/>
      <w:divBdr>
        <w:top w:val="none" w:sz="0" w:space="0" w:color="auto"/>
        <w:left w:val="none" w:sz="0" w:space="0" w:color="auto"/>
        <w:bottom w:val="none" w:sz="0" w:space="0" w:color="auto"/>
        <w:right w:val="none" w:sz="0" w:space="0" w:color="auto"/>
      </w:divBdr>
    </w:div>
    <w:div w:id="871302570">
      <w:bodyDiv w:val="1"/>
      <w:marLeft w:val="0"/>
      <w:marRight w:val="0"/>
      <w:marTop w:val="0"/>
      <w:marBottom w:val="0"/>
      <w:divBdr>
        <w:top w:val="none" w:sz="0" w:space="0" w:color="auto"/>
        <w:left w:val="none" w:sz="0" w:space="0" w:color="auto"/>
        <w:bottom w:val="none" w:sz="0" w:space="0" w:color="auto"/>
        <w:right w:val="none" w:sz="0" w:space="0" w:color="auto"/>
      </w:divBdr>
    </w:div>
    <w:div w:id="886798023">
      <w:bodyDiv w:val="1"/>
      <w:marLeft w:val="0"/>
      <w:marRight w:val="0"/>
      <w:marTop w:val="0"/>
      <w:marBottom w:val="0"/>
      <w:divBdr>
        <w:top w:val="none" w:sz="0" w:space="0" w:color="auto"/>
        <w:left w:val="none" w:sz="0" w:space="0" w:color="auto"/>
        <w:bottom w:val="none" w:sz="0" w:space="0" w:color="auto"/>
        <w:right w:val="none" w:sz="0" w:space="0" w:color="auto"/>
      </w:divBdr>
    </w:div>
    <w:div w:id="892038674">
      <w:bodyDiv w:val="1"/>
      <w:marLeft w:val="0"/>
      <w:marRight w:val="0"/>
      <w:marTop w:val="0"/>
      <w:marBottom w:val="0"/>
      <w:divBdr>
        <w:top w:val="none" w:sz="0" w:space="0" w:color="auto"/>
        <w:left w:val="none" w:sz="0" w:space="0" w:color="auto"/>
        <w:bottom w:val="none" w:sz="0" w:space="0" w:color="auto"/>
        <w:right w:val="none" w:sz="0" w:space="0" w:color="auto"/>
      </w:divBdr>
    </w:div>
    <w:div w:id="910189665">
      <w:bodyDiv w:val="1"/>
      <w:marLeft w:val="0"/>
      <w:marRight w:val="0"/>
      <w:marTop w:val="0"/>
      <w:marBottom w:val="0"/>
      <w:divBdr>
        <w:top w:val="none" w:sz="0" w:space="0" w:color="auto"/>
        <w:left w:val="none" w:sz="0" w:space="0" w:color="auto"/>
        <w:bottom w:val="none" w:sz="0" w:space="0" w:color="auto"/>
        <w:right w:val="none" w:sz="0" w:space="0" w:color="auto"/>
      </w:divBdr>
    </w:div>
    <w:div w:id="910432860">
      <w:bodyDiv w:val="1"/>
      <w:marLeft w:val="0"/>
      <w:marRight w:val="0"/>
      <w:marTop w:val="0"/>
      <w:marBottom w:val="0"/>
      <w:divBdr>
        <w:top w:val="none" w:sz="0" w:space="0" w:color="auto"/>
        <w:left w:val="none" w:sz="0" w:space="0" w:color="auto"/>
        <w:bottom w:val="none" w:sz="0" w:space="0" w:color="auto"/>
        <w:right w:val="none" w:sz="0" w:space="0" w:color="auto"/>
      </w:divBdr>
    </w:div>
    <w:div w:id="911693031">
      <w:bodyDiv w:val="1"/>
      <w:marLeft w:val="0"/>
      <w:marRight w:val="0"/>
      <w:marTop w:val="0"/>
      <w:marBottom w:val="0"/>
      <w:divBdr>
        <w:top w:val="none" w:sz="0" w:space="0" w:color="auto"/>
        <w:left w:val="none" w:sz="0" w:space="0" w:color="auto"/>
        <w:bottom w:val="none" w:sz="0" w:space="0" w:color="auto"/>
        <w:right w:val="none" w:sz="0" w:space="0" w:color="auto"/>
      </w:divBdr>
    </w:div>
    <w:div w:id="921528302">
      <w:bodyDiv w:val="1"/>
      <w:marLeft w:val="0"/>
      <w:marRight w:val="0"/>
      <w:marTop w:val="0"/>
      <w:marBottom w:val="0"/>
      <w:divBdr>
        <w:top w:val="none" w:sz="0" w:space="0" w:color="auto"/>
        <w:left w:val="none" w:sz="0" w:space="0" w:color="auto"/>
        <w:bottom w:val="none" w:sz="0" w:space="0" w:color="auto"/>
        <w:right w:val="none" w:sz="0" w:space="0" w:color="auto"/>
      </w:divBdr>
    </w:div>
    <w:div w:id="928123543">
      <w:bodyDiv w:val="1"/>
      <w:marLeft w:val="0"/>
      <w:marRight w:val="0"/>
      <w:marTop w:val="0"/>
      <w:marBottom w:val="0"/>
      <w:divBdr>
        <w:top w:val="none" w:sz="0" w:space="0" w:color="auto"/>
        <w:left w:val="none" w:sz="0" w:space="0" w:color="auto"/>
        <w:bottom w:val="none" w:sz="0" w:space="0" w:color="auto"/>
        <w:right w:val="none" w:sz="0" w:space="0" w:color="auto"/>
      </w:divBdr>
    </w:div>
    <w:div w:id="931817967">
      <w:bodyDiv w:val="1"/>
      <w:marLeft w:val="0"/>
      <w:marRight w:val="0"/>
      <w:marTop w:val="0"/>
      <w:marBottom w:val="0"/>
      <w:divBdr>
        <w:top w:val="none" w:sz="0" w:space="0" w:color="auto"/>
        <w:left w:val="none" w:sz="0" w:space="0" w:color="auto"/>
        <w:bottom w:val="none" w:sz="0" w:space="0" w:color="auto"/>
        <w:right w:val="none" w:sz="0" w:space="0" w:color="auto"/>
      </w:divBdr>
    </w:div>
    <w:div w:id="931931704">
      <w:bodyDiv w:val="1"/>
      <w:marLeft w:val="0"/>
      <w:marRight w:val="0"/>
      <w:marTop w:val="0"/>
      <w:marBottom w:val="0"/>
      <w:divBdr>
        <w:top w:val="none" w:sz="0" w:space="0" w:color="auto"/>
        <w:left w:val="none" w:sz="0" w:space="0" w:color="auto"/>
        <w:bottom w:val="none" w:sz="0" w:space="0" w:color="auto"/>
        <w:right w:val="none" w:sz="0" w:space="0" w:color="auto"/>
      </w:divBdr>
    </w:div>
    <w:div w:id="936987133">
      <w:bodyDiv w:val="1"/>
      <w:marLeft w:val="0"/>
      <w:marRight w:val="0"/>
      <w:marTop w:val="0"/>
      <w:marBottom w:val="0"/>
      <w:divBdr>
        <w:top w:val="none" w:sz="0" w:space="0" w:color="auto"/>
        <w:left w:val="none" w:sz="0" w:space="0" w:color="auto"/>
        <w:bottom w:val="none" w:sz="0" w:space="0" w:color="auto"/>
        <w:right w:val="none" w:sz="0" w:space="0" w:color="auto"/>
      </w:divBdr>
    </w:div>
    <w:div w:id="937758433">
      <w:bodyDiv w:val="1"/>
      <w:marLeft w:val="0"/>
      <w:marRight w:val="0"/>
      <w:marTop w:val="0"/>
      <w:marBottom w:val="0"/>
      <w:divBdr>
        <w:top w:val="none" w:sz="0" w:space="0" w:color="auto"/>
        <w:left w:val="none" w:sz="0" w:space="0" w:color="auto"/>
        <w:bottom w:val="none" w:sz="0" w:space="0" w:color="auto"/>
        <w:right w:val="none" w:sz="0" w:space="0" w:color="auto"/>
      </w:divBdr>
    </w:div>
    <w:div w:id="939606651">
      <w:bodyDiv w:val="1"/>
      <w:marLeft w:val="0"/>
      <w:marRight w:val="0"/>
      <w:marTop w:val="0"/>
      <w:marBottom w:val="0"/>
      <w:divBdr>
        <w:top w:val="none" w:sz="0" w:space="0" w:color="auto"/>
        <w:left w:val="none" w:sz="0" w:space="0" w:color="auto"/>
        <w:bottom w:val="none" w:sz="0" w:space="0" w:color="auto"/>
        <w:right w:val="none" w:sz="0" w:space="0" w:color="auto"/>
      </w:divBdr>
    </w:div>
    <w:div w:id="939949609">
      <w:bodyDiv w:val="1"/>
      <w:marLeft w:val="0"/>
      <w:marRight w:val="0"/>
      <w:marTop w:val="0"/>
      <w:marBottom w:val="0"/>
      <w:divBdr>
        <w:top w:val="none" w:sz="0" w:space="0" w:color="auto"/>
        <w:left w:val="none" w:sz="0" w:space="0" w:color="auto"/>
        <w:bottom w:val="none" w:sz="0" w:space="0" w:color="auto"/>
        <w:right w:val="none" w:sz="0" w:space="0" w:color="auto"/>
      </w:divBdr>
    </w:div>
    <w:div w:id="945894090">
      <w:bodyDiv w:val="1"/>
      <w:marLeft w:val="0"/>
      <w:marRight w:val="0"/>
      <w:marTop w:val="0"/>
      <w:marBottom w:val="0"/>
      <w:divBdr>
        <w:top w:val="none" w:sz="0" w:space="0" w:color="auto"/>
        <w:left w:val="none" w:sz="0" w:space="0" w:color="auto"/>
        <w:bottom w:val="none" w:sz="0" w:space="0" w:color="auto"/>
        <w:right w:val="none" w:sz="0" w:space="0" w:color="auto"/>
      </w:divBdr>
    </w:div>
    <w:div w:id="946815699">
      <w:bodyDiv w:val="1"/>
      <w:marLeft w:val="0"/>
      <w:marRight w:val="0"/>
      <w:marTop w:val="0"/>
      <w:marBottom w:val="0"/>
      <w:divBdr>
        <w:top w:val="none" w:sz="0" w:space="0" w:color="auto"/>
        <w:left w:val="none" w:sz="0" w:space="0" w:color="auto"/>
        <w:bottom w:val="none" w:sz="0" w:space="0" w:color="auto"/>
        <w:right w:val="none" w:sz="0" w:space="0" w:color="auto"/>
      </w:divBdr>
    </w:div>
    <w:div w:id="949431802">
      <w:bodyDiv w:val="1"/>
      <w:marLeft w:val="0"/>
      <w:marRight w:val="0"/>
      <w:marTop w:val="0"/>
      <w:marBottom w:val="0"/>
      <w:divBdr>
        <w:top w:val="none" w:sz="0" w:space="0" w:color="auto"/>
        <w:left w:val="none" w:sz="0" w:space="0" w:color="auto"/>
        <w:bottom w:val="none" w:sz="0" w:space="0" w:color="auto"/>
        <w:right w:val="none" w:sz="0" w:space="0" w:color="auto"/>
      </w:divBdr>
    </w:div>
    <w:div w:id="951861640">
      <w:bodyDiv w:val="1"/>
      <w:marLeft w:val="0"/>
      <w:marRight w:val="0"/>
      <w:marTop w:val="0"/>
      <w:marBottom w:val="0"/>
      <w:divBdr>
        <w:top w:val="none" w:sz="0" w:space="0" w:color="auto"/>
        <w:left w:val="none" w:sz="0" w:space="0" w:color="auto"/>
        <w:bottom w:val="none" w:sz="0" w:space="0" w:color="auto"/>
        <w:right w:val="none" w:sz="0" w:space="0" w:color="auto"/>
      </w:divBdr>
    </w:div>
    <w:div w:id="951976160">
      <w:bodyDiv w:val="1"/>
      <w:marLeft w:val="0"/>
      <w:marRight w:val="0"/>
      <w:marTop w:val="0"/>
      <w:marBottom w:val="0"/>
      <w:divBdr>
        <w:top w:val="none" w:sz="0" w:space="0" w:color="auto"/>
        <w:left w:val="none" w:sz="0" w:space="0" w:color="auto"/>
        <w:bottom w:val="none" w:sz="0" w:space="0" w:color="auto"/>
        <w:right w:val="none" w:sz="0" w:space="0" w:color="auto"/>
      </w:divBdr>
    </w:div>
    <w:div w:id="957761374">
      <w:bodyDiv w:val="1"/>
      <w:marLeft w:val="0"/>
      <w:marRight w:val="0"/>
      <w:marTop w:val="0"/>
      <w:marBottom w:val="0"/>
      <w:divBdr>
        <w:top w:val="none" w:sz="0" w:space="0" w:color="auto"/>
        <w:left w:val="none" w:sz="0" w:space="0" w:color="auto"/>
        <w:bottom w:val="none" w:sz="0" w:space="0" w:color="auto"/>
        <w:right w:val="none" w:sz="0" w:space="0" w:color="auto"/>
      </w:divBdr>
    </w:div>
    <w:div w:id="963775547">
      <w:bodyDiv w:val="1"/>
      <w:marLeft w:val="0"/>
      <w:marRight w:val="0"/>
      <w:marTop w:val="0"/>
      <w:marBottom w:val="0"/>
      <w:divBdr>
        <w:top w:val="none" w:sz="0" w:space="0" w:color="auto"/>
        <w:left w:val="none" w:sz="0" w:space="0" w:color="auto"/>
        <w:bottom w:val="none" w:sz="0" w:space="0" w:color="auto"/>
        <w:right w:val="none" w:sz="0" w:space="0" w:color="auto"/>
      </w:divBdr>
    </w:div>
    <w:div w:id="980773567">
      <w:bodyDiv w:val="1"/>
      <w:marLeft w:val="0"/>
      <w:marRight w:val="0"/>
      <w:marTop w:val="0"/>
      <w:marBottom w:val="0"/>
      <w:divBdr>
        <w:top w:val="none" w:sz="0" w:space="0" w:color="auto"/>
        <w:left w:val="none" w:sz="0" w:space="0" w:color="auto"/>
        <w:bottom w:val="none" w:sz="0" w:space="0" w:color="auto"/>
        <w:right w:val="none" w:sz="0" w:space="0" w:color="auto"/>
      </w:divBdr>
    </w:div>
    <w:div w:id="984776550">
      <w:bodyDiv w:val="1"/>
      <w:marLeft w:val="0"/>
      <w:marRight w:val="0"/>
      <w:marTop w:val="0"/>
      <w:marBottom w:val="0"/>
      <w:divBdr>
        <w:top w:val="none" w:sz="0" w:space="0" w:color="auto"/>
        <w:left w:val="none" w:sz="0" w:space="0" w:color="auto"/>
        <w:bottom w:val="none" w:sz="0" w:space="0" w:color="auto"/>
        <w:right w:val="none" w:sz="0" w:space="0" w:color="auto"/>
      </w:divBdr>
    </w:div>
    <w:div w:id="986127565">
      <w:bodyDiv w:val="1"/>
      <w:marLeft w:val="0"/>
      <w:marRight w:val="0"/>
      <w:marTop w:val="0"/>
      <w:marBottom w:val="0"/>
      <w:divBdr>
        <w:top w:val="none" w:sz="0" w:space="0" w:color="auto"/>
        <w:left w:val="none" w:sz="0" w:space="0" w:color="auto"/>
        <w:bottom w:val="none" w:sz="0" w:space="0" w:color="auto"/>
        <w:right w:val="none" w:sz="0" w:space="0" w:color="auto"/>
      </w:divBdr>
    </w:div>
    <w:div w:id="987442148">
      <w:bodyDiv w:val="1"/>
      <w:marLeft w:val="0"/>
      <w:marRight w:val="0"/>
      <w:marTop w:val="0"/>
      <w:marBottom w:val="0"/>
      <w:divBdr>
        <w:top w:val="none" w:sz="0" w:space="0" w:color="auto"/>
        <w:left w:val="none" w:sz="0" w:space="0" w:color="auto"/>
        <w:bottom w:val="none" w:sz="0" w:space="0" w:color="auto"/>
        <w:right w:val="none" w:sz="0" w:space="0" w:color="auto"/>
      </w:divBdr>
    </w:div>
    <w:div w:id="987784093">
      <w:bodyDiv w:val="1"/>
      <w:marLeft w:val="0"/>
      <w:marRight w:val="0"/>
      <w:marTop w:val="0"/>
      <w:marBottom w:val="0"/>
      <w:divBdr>
        <w:top w:val="none" w:sz="0" w:space="0" w:color="auto"/>
        <w:left w:val="none" w:sz="0" w:space="0" w:color="auto"/>
        <w:bottom w:val="none" w:sz="0" w:space="0" w:color="auto"/>
        <w:right w:val="none" w:sz="0" w:space="0" w:color="auto"/>
      </w:divBdr>
    </w:div>
    <w:div w:id="994141225">
      <w:bodyDiv w:val="1"/>
      <w:marLeft w:val="0"/>
      <w:marRight w:val="0"/>
      <w:marTop w:val="0"/>
      <w:marBottom w:val="0"/>
      <w:divBdr>
        <w:top w:val="none" w:sz="0" w:space="0" w:color="auto"/>
        <w:left w:val="none" w:sz="0" w:space="0" w:color="auto"/>
        <w:bottom w:val="none" w:sz="0" w:space="0" w:color="auto"/>
        <w:right w:val="none" w:sz="0" w:space="0" w:color="auto"/>
      </w:divBdr>
    </w:div>
    <w:div w:id="994141526">
      <w:bodyDiv w:val="1"/>
      <w:marLeft w:val="0"/>
      <w:marRight w:val="0"/>
      <w:marTop w:val="0"/>
      <w:marBottom w:val="0"/>
      <w:divBdr>
        <w:top w:val="none" w:sz="0" w:space="0" w:color="auto"/>
        <w:left w:val="none" w:sz="0" w:space="0" w:color="auto"/>
        <w:bottom w:val="none" w:sz="0" w:space="0" w:color="auto"/>
        <w:right w:val="none" w:sz="0" w:space="0" w:color="auto"/>
      </w:divBdr>
    </w:div>
    <w:div w:id="997734961">
      <w:bodyDiv w:val="1"/>
      <w:marLeft w:val="0"/>
      <w:marRight w:val="0"/>
      <w:marTop w:val="0"/>
      <w:marBottom w:val="0"/>
      <w:divBdr>
        <w:top w:val="none" w:sz="0" w:space="0" w:color="auto"/>
        <w:left w:val="none" w:sz="0" w:space="0" w:color="auto"/>
        <w:bottom w:val="none" w:sz="0" w:space="0" w:color="auto"/>
        <w:right w:val="none" w:sz="0" w:space="0" w:color="auto"/>
      </w:divBdr>
    </w:div>
    <w:div w:id="1009258584">
      <w:bodyDiv w:val="1"/>
      <w:marLeft w:val="0"/>
      <w:marRight w:val="0"/>
      <w:marTop w:val="0"/>
      <w:marBottom w:val="0"/>
      <w:divBdr>
        <w:top w:val="none" w:sz="0" w:space="0" w:color="auto"/>
        <w:left w:val="none" w:sz="0" w:space="0" w:color="auto"/>
        <w:bottom w:val="none" w:sz="0" w:space="0" w:color="auto"/>
        <w:right w:val="none" w:sz="0" w:space="0" w:color="auto"/>
      </w:divBdr>
    </w:div>
    <w:div w:id="1020660671">
      <w:bodyDiv w:val="1"/>
      <w:marLeft w:val="0"/>
      <w:marRight w:val="0"/>
      <w:marTop w:val="0"/>
      <w:marBottom w:val="0"/>
      <w:divBdr>
        <w:top w:val="none" w:sz="0" w:space="0" w:color="auto"/>
        <w:left w:val="none" w:sz="0" w:space="0" w:color="auto"/>
        <w:bottom w:val="none" w:sz="0" w:space="0" w:color="auto"/>
        <w:right w:val="none" w:sz="0" w:space="0" w:color="auto"/>
      </w:divBdr>
    </w:div>
    <w:div w:id="1024863240">
      <w:bodyDiv w:val="1"/>
      <w:marLeft w:val="0"/>
      <w:marRight w:val="0"/>
      <w:marTop w:val="0"/>
      <w:marBottom w:val="0"/>
      <w:divBdr>
        <w:top w:val="none" w:sz="0" w:space="0" w:color="auto"/>
        <w:left w:val="none" w:sz="0" w:space="0" w:color="auto"/>
        <w:bottom w:val="none" w:sz="0" w:space="0" w:color="auto"/>
        <w:right w:val="none" w:sz="0" w:space="0" w:color="auto"/>
      </w:divBdr>
    </w:div>
    <w:div w:id="1025598694">
      <w:bodyDiv w:val="1"/>
      <w:marLeft w:val="0"/>
      <w:marRight w:val="0"/>
      <w:marTop w:val="0"/>
      <w:marBottom w:val="0"/>
      <w:divBdr>
        <w:top w:val="none" w:sz="0" w:space="0" w:color="auto"/>
        <w:left w:val="none" w:sz="0" w:space="0" w:color="auto"/>
        <w:bottom w:val="none" w:sz="0" w:space="0" w:color="auto"/>
        <w:right w:val="none" w:sz="0" w:space="0" w:color="auto"/>
      </w:divBdr>
    </w:div>
    <w:div w:id="1028607631">
      <w:bodyDiv w:val="1"/>
      <w:marLeft w:val="0"/>
      <w:marRight w:val="0"/>
      <w:marTop w:val="0"/>
      <w:marBottom w:val="0"/>
      <w:divBdr>
        <w:top w:val="none" w:sz="0" w:space="0" w:color="auto"/>
        <w:left w:val="none" w:sz="0" w:space="0" w:color="auto"/>
        <w:bottom w:val="none" w:sz="0" w:space="0" w:color="auto"/>
        <w:right w:val="none" w:sz="0" w:space="0" w:color="auto"/>
      </w:divBdr>
    </w:div>
    <w:div w:id="1041127052">
      <w:bodyDiv w:val="1"/>
      <w:marLeft w:val="0"/>
      <w:marRight w:val="0"/>
      <w:marTop w:val="0"/>
      <w:marBottom w:val="0"/>
      <w:divBdr>
        <w:top w:val="none" w:sz="0" w:space="0" w:color="auto"/>
        <w:left w:val="none" w:sz="0" w:space="0" w:color="auto"/>
        <w:bottom w:val="none" w:sz="0" w:space="0" w:color="auto"/>
        <w:right w:val="none" w:sz="0" w:space="0" w:color="auto"/>
      </w:divBdr>
    </w:div>
    <w:div w:id="1043679413">
      <w:bodyDiv w:val="1"/>
      <w:marLeft w:val="0"/>
      <w:marRight w:val="0"/>
      <w:marTop w:val="0"/>
      <w:marBottom w:val="0"/>
      <w:divBdr>
        <w:top w:val="none" w:sz="0" w:space="0" w:color="auto"/>
        <w:left w:val="none" w:sz="0" w:space="0" w:color="auto"/>
        <w:bottom w:val="none" w:sz="0" w:space="0" w:color="auto"/>
        <w:right w:val="none" w:sz="0" w:space="0" w:color="auto"/>
      </w:divBdr>
    </w:div>
    <w:div w:id="1050376319">
      <w:bodyDiv w:val="1"/>
      <w:marLeft w:val="0"/>
      <w:marRight w:val="0"/>
      <w:marTop w:val="0"/>
      <w:marBottom w:val="0"/>
      <w:divBdr>
        <w:top w:val="none" w:sz="0" w:space="0" w:color="auto"/>
        <w:left w:val="none" w:sz="0" w:space="0" w:color="auto"/>
        <w:bottom w:val="none" w:sz="0" w:space="0" w:color="auto"/>
        <w:right w:val="none" w:sz="0" w:space="0" w:color="auto"/>
      </w:divBdr>
    </w:div>
    <w:div w:id="1062027543">
      <w:bodyDiv w:val="1"/>
      <w:marLeft w:val="0"/>
      <w:marRight w:val="0"/>
      <w:marTop w:val="0"/>
      <w:marBottom w:val="0"/>
      <w:divBdr>
        <w:top w:val="none" w:sz="0" w:space="0" w:color="auto"/>
        <w:left w:val="none" w:sz="0" w:space="0" w:color="auto"/>
        <w:bottom w:val="none" w:sz="0" w:space="0" w:color="auto"/>
        <w:right w:val="none" w:sz="0" w:space="0" w:color="auto"/>
      </w:divBdr>
    </w:div>
    <w:div w:id="1062405196">
      <w:bodyDiv w:val="1"/>
      <w:marLeft w:val="0"/>
      <w:marRight w:val="0"/>
      <w:marTop w:val="0"/>
      <w:marBottom w:val="0"/>
      <w:divBdr>
        <w:top w:val="none" w:sz="0" w:space="0" w:color="auto"/>
        <w:left w:val="none" w:sz="0" w:space="0" w:color="auto"/>
        <w:bottom w:val="none" w:sz="0" w:space="0" w:color="auto"/>
        <w:right w:val="none" w:sz="0" w:space="0" w:color="auto"/>
      </w:divBdr>
    </w:div>
    <w:div w:id="1062826824">
      <w:bodyDiv w:val="1"/>
      <w:marLeft w:val="0"/>
      <w:marRight w:val="0"/>
      <w:marTop w:val="0"/>
      <w:marBottom w:val="0"/>
      <w:divBdr>
        <w:top w:val="none" w:sz="0" w:space="0" w:color="auto"/>
        <w:left w:val="none" w:sz="0" w:space="0" w:color="auto"/>
        <w:bottom w:val="none" w:sz="0" w:space="0" w:color="auto"/>
        <w:right w:val="none" w:sz="0" w:space="0" w:color="auto"/>
      </w:divBdr>
    </w:div>
    <w:div w:id="1074863497">
      <w:bodyDiv w:val="1"/>
      <w:marLeft w:val="0"/>
      <w:marRight w:val="0"/>
      <w:marTop w:val="0"/>
      <w:marBottom w:val="0"/>
      <w:divBdr>
        <w:top w:val="none" w:sz="0" w:space="0" w:color="auto"/>
        <w:left w:val="none" w:sz="0" w:space="0" w:color="auto"/>
        <w:bottom w:val="none" w:sz="0" w:space="0" w:color="auto"/>
        <w:right w:val="none" w:sz="0" w:space="0" w:color="auto"/>
      </w:divBdr>
    </w:div>
    <w:div w:id="1081871273">
      <w:bodyDiv w:val="1"/>
      <w:marLeft w:val="0"/>
      <w:marRight w:val="0"/>
      <w:marTop w:val="0"/>
      <w:marBottom w:val="0"/>
      <w:divBdr>
        <w:top w:val="none" w:sz="0" w:space="0" w:color="auto"/>
        <w:left w:val="none" w:sz="0" w:space="0" w:color="auto"/>
        <w:bottom w:val="none" w:sz="0" w:space="0" w:color="auto"/>
        <w:right w:val="none" w:sz="0" w:space="0" w:color="auto"/>
      </w:divBdr>
    </w:div>
    <w:div w:id="1090588510">
      <w:bodyDiv w:val="1"/>
      <w:marLeft w:val="0"/>
      <w:marRight w:val="0"/>
      <w:marTop w:val="0"/>
      <w:marBottom w:val="0"/>
      <w:divBdr>
        <w:top w:val="none" w:sz="0" w:space="0" w:color="auto"/>
        <w:left w:val="none" w:sz="0" w:space="0" w:color="auto"/>
        <w:bottom w:val="none" w:sz="0" w:space="0" w:color="auto"/>
        <w:right w:val="none" w:sz="0" w:space="0" w:color="auto"/>
      </w:divBdr>
    </w:div>
    <w:div w:id="1094327186">
      <w:bodyDiv w:val="1"/>
      <w:marLeft w:val="0"/>
      <w:marRight w:val="0"/>
      <w:marTop w:val="0"/>
      <w:marBottom w:val="0"/>
      <w:divBdr>
        <w:top w:val="none" w:sz="0" w:space="0" w:color="auto"/>
        <w:left w:val="none" w:sz="0" w:space="0" w:color="auto"/>
        <w:bottom w:val="none" w:sz="0" w:space="0" w:color="auto"/>
        <w:right w:val="none" w:sz="0" w:space="0" w:color="auto"/>
      </w:divBdr>
    </w:div>
    <w:div w:id="1098719383">
      <w:bodyDiv w:val="1"/>
      <w:marLeft w:val="0"/>
      <w:marRight w:val="0"/>
      <w:marTop w:val="0"/>
      <w:marBottom w:val="0"/>
      <w:divBdr>
        <w:top w:val="none" w:sz="0" w:space="0" w:color="auto"/>
        <w:left w:val="none" w:sz="0" w:space="0" w:color="auto"/>
        <w:bottom w:val="none" w:sz="0" w:space="0" w:color="auto"/>
        <w:right w:val="none" w:sz="0" w:space="0" w:color="auto"/>
      </w:divBdr>
    </w:div>
    <w:div w:id="1101149785">
      <w:bodyDiv w:val="1"/>
      <w:marLeft w:val="0"/>
      <w:marRight w:val="0"/>
      <w:marTop w:val="0"/>
      <w:marBottom w:val="0"/>
      <w:divBdr>
        <w:top w:val="none" w:sz="0" w:space="0" w:color="auto"/>
        <w:left w:val="none" w:sz="0" w:space="0" w:color="auto"/>
        <w:bottom w:val="none" w:sz="0" w:space="0" w:color="auto"/>
        <w:right w:val="none" w:sz="0" w:space="0" w:color="auto"/>
      </w:divBdr>
    </w:div>
    <w:div w:id="1114135838">
      <w:bodyDiv w:val="1"/>
      <w:marLeft w:val="0"/>
      <w:marRight w:val="0"/>
      <w:marTop w:val="0"/>
      <w:marBottom w:val="0"/>
      <w:divBdr>
        <w:top w:val="none" w:sz="0" w:space="0" w:color="auto"/>
        <w:left w:val="none" w:sz="0" w:space="0" w:color="auto"/>
        <w:bottom w:val="none" w:sz="0" w:space="0" w:color="auto"/>
        <w:right w:val="none" w:sz="0" w:space="0" w:color="auto"/>
      </w:divBdr>
    </w:div>
    <w:div w:id="1116944388">
      <w:bodyDiv w:val="1"/>
      <w:marLeft w:val="0"/>
      <w:marRight w:val="0"/>
      <w:marTop w:val="0"/>
      <w:marBottom w:val="0"/>
      <w:divBdr>
        <w:top w:val="none" w:sz="0" w:space="0" w:color="auto"/>
        <w:left w:val="none" w:sz="0" w:space="0" w:color="auto"/>
        <w:bottom w:val="none" w:sz="0" w:space="0" w:color="auto"/>
        <w:right w:val="none" w:sz="0" w:space="0" w:color="auto"/>
      </w:divBdr>
    </w:div>
    <w:div w:id="1129279457">
      <w:bodyDiv w:val="1"/>
      <w:marLeft w:val="0"/>
      <w:marRight w:val="0"/>
      <w:marTop w:val="0"/>
      <w:marBottom w:val="0"/>
      <w:divBdr>
        <w:top w:val="none" w:sz="0" w:space="0" w:color="auto"/>
        <w:left w:val="none" w:sz="0" w:space="0" w:color="auto"/>
        <w:bottom w:val="none" w:sz="0" w:space="0" w:color="auto"/>
        <w:right w:val="none" w:sz="0" w:space="0" w:color="auto"/>
      </w:divBdr>
    </w:div>
    <w:div w:id="1130510258">
      <w:bodyDiv w:val="1"/>
      <w:marLeft w:val="0"/>
      <w:marRight w:val="0"/>
      <w:marTop w:val="0"/>
      <w:marBottom w:val="0"/>
      <w:divBdr>
        <w:top w:val="none" w:sz="0" w:space="0" w:color="auto"/>
        <w:left w:val="none" w:sz="0" w:space="0" w:color="auto"/>
        <w:bottom w:val="none" w:sz="0" w:space="0" w:color="auto"/>
        <w:right w:val="none" w:sz="0" w:space="0" w:color="auto"/>
      </w:divBdr>
    </w:div>
    <w:div w:id="1132551280">
      <w:bodyDiv w:val="1"/>
      <w:marLeft w:val="0"/>
      <w:marRight w:val="0"/>
      <w:marTop w:val="0"/>
      <w:marBottom w:val="0"/>
      <w:divBdr>
        <w:top w:val="none" w:sz="0" w:space="0" w:color="auto"/>
        <w:left w:val="none" w:sz="0" w:space="0" w:color="auto"/>
        <w:bottom w:val="none" w:sz="0" w:space="0" w:color="auto"/>
        <w:right w:val="none" w:sz="0" w:space="0" w:color="auto"/>
      </w:divBdr>
    </w:div>
    <w:div w:id="1145900449">
      <w:bodyDiv w:val="1"/>
      <w:marLeft w:val="0"/>
      <w:marRight w:val="0"/>
      <w:marTop w:val="0"/>
      <w:marBottom w:val="0"/>
      <w:divBdr>
        <w:top w:val="none" w:sz="0" w:space="0" w:color="auto"/>
        <w:left w:val="none" w:sz="0" w:space="0" w:color="auto"/>
        <w:bottom w:val="none" w:sz="0" w:space="0" w:color="auto"/>
        <w:right w:val="none" w:sz="0" w:space="0" w:color="auto"/>
      </w:divBdr>
    </w:div>
    <w:div w:id="1158880848">
      <w:bodyDiv w:val="1"/>
      <w:marLeft w:val="0"/>
      <w:marRight w:val="0"/>
      <w:marTop w:val="0"/>
      <w:marBottom w:val="0"/>
      <w:divBdr>
        <w:top w:val="none" w:sz="0" w:space="0" w:color="auto"/>
        <w:left w:val="none" w:sz="0" w:space="0" w:color="auto"/>
        <w:bottom w:val="none" w:sz="0" w:space="0" w:color="auto"/>
        <w:right w:val="none" w:sz="0" w:space="0" w:color="auto"/>
      </w:divBdr>
    </w:div>
    <w:div w:id="1164131557">
      <w:bodyDiv w:val="1"/>
      <w:marLeft w:val="0"/>
      <w:marRight w:val="0"/>
      <w:marTop w:val="0"/>
      <w:marBottom w:val="0"/>
      <w:divBdr>
        <w:top w:val="none" w:sz="0" w:space="0" w:color="auto"/>
        <w:left w:val="none" w:sz="0" w:space="0" w:color="auto"/>
        <w:bottom w:val="none" w:sz="0" w:space="0" w:color="auto"/>
        <w:right w:val="none" w:sz="0" w:space="0" w:color="auto"/>
      </w:divBdr>
    </w:div>
    <w:div w:id="1164785735">
      <w:bodyDiv w:val="1"/>
      <w:marLeft w:val="0"/>
      <w:marRight w:val="0"/>
      <w:marTop w:val="0"/>
      <w:marBottom w:val="0"/>
      <w:divBdr>
        <w:top w:val="none" w:sz="0" w:space="0" w:color="auto"/>
        <w:left w:val="none" w:sz="0" w:space="0" w:color="auto"/>
        <w:bottom w:val="none" w:sz="0" w:space="0" w:color="auto"/>
        <w:right w:val="none" w:sz="0" w:space="0" w:color="auto"/>
      </w:divBdr>
    </w:div>
    <w:div w:id="1165631280">
      <w:bodyDiv w:val="1"/>
      <w:marLeft w:val="0"/>
      <w:marRight w:val="0"/>
      <w:marTop w:val="0"/>
      <w:marBottom w:val="0"/>
      <w:divBdr>
        <w:top w:val="none" w:sz="0" w:space="0" w:color="auto"/>
        <w:left w:val="none" w:sz="0" w:space="0" w:color="auto"/>
        <w:bottom w:val="none" w:sz="0" w:space="0" w:color="auto"/>
        <w:right w:val="none" w:sz="0" w:space="0" w:color="auto"/>
      </w:divBdr>
    </w:div>
    <w:div w:id="1166475792">
      <w:bodyDiv w:val="1"/>
      <w:marLeft w:val="0"/>
      <w:marRight w:val="0"/>
      <w:marTop w:val="0"/>
      <w:marBottom w:val="0"/>
      <w:divBdr>
        <w:top w:val="none" w:sz="0" w:space="0" w:color="auto"/>
        <w:left w:val="none" w:sz="0" w:space="0" w:color="auto"/>
        <w:bottom w:val="none" w:sz="0" w:space="0" w:color="auto"/>
        <w:right w:val="none" w:sz="0" w:space="0" w:color="auto"/>
      </w:divBdr>
    </w:div>
    <w:div w:id="1167556074">
      <w:bodyDiv w:val="1"/>
      <w:marLeft w:val="0"/>
      <w:marRight w:val="0"/>
      <w:marTop w:val="0"/>
      <w:marBottom w:val="0"/>
      <w:divBdr>
        <w:top w:val="none" w:sz="0" w:space="0" w:color="auto"/>
        <w:left w:val="none" w:sz="0" w:space="0" w:color="auto"/>
        <w:bottom w:val="none" w:sz="0" w:space="0" w:color="auto"/>
        <w:right w:val="none" w:sz="0" w:space="0" w:color="auto"/>
      </w:divBdr>
    </w:div>
    <w:div w:id="1177887539">
      <w:bodyDiv w:val="1"/>
      <w:marLeft w:val="0"/>
      <w:marRight w:val="0"/>
      <w:marTop w:val="0"/>
      <w:marBottom w:val="0"/>
      <w:divBdr>
        <w:top w:val="none" w:sz="0" w:space="0" w:color="auto"/>
        <w:left w:val="none" w:sz="0" w:space="0" w:color="auto"/>
        <w:bottom w:val="none" w:sz="0" w:space="0" w:color="auto"/>
        <w:right w:val="none" w:sz="0" w:space="0" w:color="auto"/>
      </w:divBdr>
    </w:div>
    <w:div w:id="1192382104">
      <w:bodyDiv w:val="1"/>
      <w:marLeft w:val="0"/>
      <w:marRight w:val="0"/>
      <w:marTop w:val="0"/>
      <w:marBottom w:val="0"/>
      <w:divBdr>
        <w:top w:val="none" w:sz="0" w:space="0" w:color="auto"/>
        <w:left w:val="none" w:sz="0" w:space="0" w:color="auto"/>
        <w:bottom w:val="none" w:sz="0" w:space="0" w:color="auto"/>
        <w:right w:val="none" w:sz="0" w:space="0" w:color="auto"/>
      </w:divBdr>
    </w:div>
    <w:div w:id="1208252926">
      <w:bodyDiv w:val="1"/>
      <w:marLeft w:val="0"/>
      <w:marRight w:val="0"/>
      <w:marTop w:val="0"/>
      <w:marBottom w:val="0"/>
      <w:divBdr>
        <w:top w:val="none" w:sz="0" w:space="0" w:color="auto"/>
        <w:left w:val="none" w:sz="0" w:space="0" w:color="auto"/>
        <w:bottom w:val="none" w:sz="0" w:space="0" w:color="auto"/>
        <w:right w:val="none" w:sz="0" w:space="0" w:color="auto"/>
      </w:divBdr>
    </w:div>
    <w:div w:id="1208491130">
      <w:bodyDiv w:val="1"/>
      <w:marLeft w:val="0"/>
      <w:marRight w:val="0"/>
      <w:marTop w:val="0"/>
      <w:marBottom w:val="0"/>
      <w:divBdr>
        <w:top w:val="none" w:sz="0" w:space="0" w:color="auto"/>
        <w:left w:val="none" w:sz="0" w:space="0" w:color="auto"/>
        <w:bottom w:val="none" w:sz="0" w:space="0" w:color="auto"/>
        <w:right w:val="none" w:sz="0" w:space="0" w:color="auto"/>
      </w:divBdr>
    </w:div>
    <w:div w:id="1215509302">
      <w:bodyDiv w:val="1"/>
      <w:marLeft w:val="0"/>
      <w:marRight w:val="0"/>
      <w:marTop w:val="0"/>
      <w:marBottom w:val="0"/>
      <w:divBdr>
        <w:top w:val="none" w:sz="0" w:space="0" w:color="auto"/>
        <w:left w:val="none" w:sz="0" w:space="0" w:color="auto"/>
        <w:bottom w:val="none" w:sz="0" w:space="0" w:color="auto"/>
        <w:right w:val="none" w:sz="0" w:space="0" w:color="auto"/>
      </w:divBdr>
    </w:div>
    <w:div w:id="1216090678">
      <w:bodyDiv w:val="1"/>
      <w:marLeft w:val="0"/>
      <w:marRight w:val="0"/>
      <w:marTop w:val="0"/>
      <w:marBottom w:val="0"/>
      <w:divBdr>
        <w:top w:val="none" w:sz="0" w:space="0" w:color="auto"/>
        <w:left w:val="none" w:sz="0" w:space="0" w:color="auto"/>
        <w:bottom w:val="none" w:sz="0" w:space="0" w:color="auto"/>
        <w:right w:val="none" w:sz="0" w:space="0" w:color="auto"/>
      </w:divBdr>
    </w:div>
    <w:div w:id="1217662618">
      <w:bodyDiv w:val="1"/>
      <w:marLeft w:val="0"/>
      <w:marRight w:val="0"/>
      <w:marTop w:val="0"/>
      <w:marBottom w:val="0"/>
      <w:divBdr>
        <w:top w:val="none" w:sz="0" w:space="0" w:color="auto"/>
        <w:left w:val="none" w:sz="0" w:space="0" w:color="auto"/>
        <w:bottom w:val="none" w:sz="0" w:space="0" w:color="auto"/>
        <w:right w:val="none" w:sz="0" w:space="0" w:color="auto"/>
      </w:divBdr>
    </w:div>
    <w:div w:id="1218318832">
      <w:bodyDiv w:val="1"/>
      <w:marLeft w:val="0"/>
      <w:marRight w:val="0"/>
      <w:marTop w:val="0"/>
      <w:marBottom w:val="0"/>
      <w:divBdr>
        <w:top w:val="none" w:sz="0" w:space="0" w:color="auto"/>
        <w:left w:val="none" w:sz="0" w:space="0" w:color="auto"/>
        <w:bottom w:val="none" w:sz="0" w:space="0" w:color="auto"/>
        <w:right w:val="none" w:sz="0" w:space="0" w:color="auto"/>
      </w:divBdr>
    </w:div>
    <w:div w:id="1220433411">
      <w:bodyDiv w:val="1"/>
      <w:marLeft w:val="0"/>
      <w:marRight w:val="0"/>
      <w:marTop w:val="0"/>
      <w:marBottom w:val="0"/>
      <w:divBdr>
        <w:top w:val="none" w:sz="0" w:space="0" w:color="auto"/>
        <w:left w:val="none" w:sz="0" w:space="0" w:color="auto"/>
        <w:bottom w:val="none" w:sz="0" w:space="0" w:color="auto"/>
        <w:right w:val="none" w:sz="0" w:space="0" w:color="auto"/>
      </w:divBdr>
    </w:div>
    <w:div w:id="1222325406">
      <w:bodyDiv w:val="1"/>
      <w:marLeft w:val="0"/>
      <w:marRight w:val="0"/>
      <w:marTop w:val="0"/>
      <w:marBottom w:val="0"/>
      <w:divBdr>
        <w:top w:val="none" w:sz="0" w:space="0" w:color="auto"/>
        <w:left w:val="none" w:sz="0" w:space="0" w:color="auto"/>
        <w:bottom w:val="none" w:sz="0" w:space="0" w:color="auto"/>
        <w:right w:val="none" w:sz="0" w:space="0" w:color="auto"/>
      </w:divBdr>
    </w:div>
    <w:div w:id="1223172349">
      <w:bodyDiv w:val="1"/>
      <w:marLeft w:val="0"/>
      <w:marRight w:val="0"/>
      <w:marTop w:val="0"/>
      <w:marBottom w:val="0"/>
      <w:divBdr>
        <w:top w:val="none" w:sz="0" w:space="0" w:color="auto"/>
        <w:left w:val="none" w:sz="0" w:space="0" w:color="auto"/>
        <w:bottom w:val="none" w:sz="0" w:space="0" w:color="auto"/>
        <w:right w:val="none" w:sz="0" w:space="0" w:color="auto"/>
      </w:divBdr>
    </w:div>
    <w:div w:id="1231847395">
      <w:bodyDiv w:val="1"/>
      <w:marLeft w:val="0"/>
      <w:marRight w:val="0"/>
      <w:marTop w:val="0"/>
      <w:marBottom w:val="0"/>
      <w:divBdr>
        <w:top w:val="none" w:sz="0" w:space="0" w:color="auto"/>
        <w:left w:val="none" w:sz="0" w:space="0" w:color="auto"/>
        <w:bottom w:val="none" w:sz="0" w:space="0" w:color="auto"/>
        <w:right w:val="none" w:sz="0" w:space="0" w:color="auto"/>
      </w:divBdr>
    </w:div>
    <w:div w:id="1233349926">
      <w:bodyDiv w:val="1"/>
      <w:marLeft w:val="0"/>
      <w:marRight w:val="0"/>
      <w:marTop w:val="0"/>
      <w:marBottom w:val="0"/>
      <w:divBdr>
        <w:top w:val="none" w:sz="0" w:space="0" w:color="auto"/>
        <w:left w:val="none" w:sz="0" w:space="0" w:color="auto"/>
        <w:bottom w:val="none" w:sz="0" w:space="0" w:color="auto"/>
        <w:right w:val="none" w:sz="0" w:space="0" w:color="auto"/>
      </w:divBdr>
    </w:div>
    <w:div w:id="1233731177">
      <w:bodyDiv w:val="1"/>
      <w:marLeft w:val="0"/>
      <w:marRight w:val="0"/>
      <w:marTop w:val="0"/>
      <w:marBottom w:val="0"/>
      <w:divBdr>
        <w:top w:val="none" w:sz="0" w:space="0" w:color="auto"/>
        <w:left w:val="none" w:sz="0" w:space="0" w:color="auto"/>
        <w:bottom w:val="none" w:sz="0" w:space="0" w:color="auto"/>
        <w:right w:val="none" w:sz="0" w:space="0" w:color="auto"/>
      </w:divBdr>
    </w:div>
    <w:div w:id="1237281080">
      <w:bodyDiv w:val="1"/>
      <w:marLeft w:val="0"/>
      <w:marRight w:val="0"/>
      <w:marTop w:val="0"/>
      <w:marBottom w:val="0"/>
      <w:divBdr>
        <w:top w:val="none" w:sz="0" w:space="0" w:color="auto"/>
        <w:left w:val="none" w:sz="0" w:space="0" w:color="auto"/>
        <w:bottom w:val="none" w:sz="0" w:space="0" w:color="auto"/>
        <w:right w:val="none" w:sz="0" w:space="0" w:color="auto"/>
      </w:divBdr>
    </w:div>
    <w:div w:id="1251768533">
      <w:bodyDiv w:val="1"/>
      <w:marLeft w:val="0"/>
      <w:marRight w:val="0"/>
      <w:marTop w:val="0"/>
      <w:marBottom w:val="0"/>
      <w:divBdr>
        <w:top w:val="none" w:sz="0" w:space="0" w:color="auto"/>
        <w:left w:val="none" w:sz="0" w:space="0" w:color="auto"/>
        <w:bottom w:val="none" w:sz="0" w:space="0" w:color="auto"/>
        <w:right w:val="none" w:sz="0" w:space="0" w:color="auto"/>
      </w:divBdr>
    </w:div>
    <w:div w:id="1256472228">
      <w:bodyDiv w:val="1"/>
      <w:marLeft w:val="0"/>
      <w:marRight w:val="0"/>
      <w:marTop w:val="0"/>
      <w:marBottom w:val="0"/>
      <w:divBdr>
        <w:top w:val="none" w:sz="0" w:space="0" w:color="auto"/>
        <w:left w:val="none" w:sz="0" w:space="0" w:color="auto"/>
        <w:bottom w:val="none" w:sz="0" w:space="0" w:color="auto"/>
        <w:right w:val="none" w:sz="0" w:space="0" w:color="auto"/>
      </w:divBdr>
    </w:div>
    <w:div w:id="1258365882">
      <w:bodyDiv w:val="1"/>
      <w:marLeft w:val="0"/>
      <w:marRight w:val="0"/>
      <w:marTop w:val="0"/>
      <w:marBottom w:val="0"/>
      <w:divBdr>
        <w:top w:val="none" w:sz="0" w:space="0" w:color="auto"/>
        <w:left w:val="none" w:sz="0" w:space="0" w:color="auto"/>
        <w:bottom w:val="none" w:sz="0" w:space="0" w:color="auto"/>
        <w:right w:val="none" w:sz="0" w:space="0" w:color="auto"/>
      </w:divBdr>
    </w:div>
    <w:div w:id="1262833693">
      <w:bodyDiv w:val="1"/>
      <w:marLeft w:val="0"/>
      <w:marRight w:val="0"/>
      <w:marTop w:val="0"/>
      <w:marBottom w:val="0"/>
      <w:divBdr>
        <w:top w:val="none" w:sz="0" w:space="0" w:color="auto"/>
        <w:left w:val="none" w:sz="0" w:space="0" w:color="auto"/>
        <w:bottom w:val="none" w:sz="0" w:space="0" w:color="auto"/>
        <w:right w:val="none" w:sz="0" w:space="0" w:color="auto"/>
      </w:divBdr>
    </w:div>
    <w:div w:id="1264613802">
      <w:bodyDiv w:val="1"/>
      <w:marLeft w:val="0"/>
      <w:marRight w:val="0"/>
      <w:marTop w:val="0"/>
      <w:marBottom w:val="0"/>
      <w:divBdr>
        <w:top w:val="none" w:sz="0" w:space="0" w:color="auto"/>
        <w:left w:val="none" w:sz="0" w:space="0" w:color="auto"/>
        <w:bottom w:val="none" w:sz="0" w:space="0" w:color="auto"/>
        <w:right w:val="none" w:sz="0" w:space="0" w:color="auto"/>
      </w:divBdr>
    </w:div>
    <w:div w:id="1267344144">
      <w:bodyDiv w:val="1"/>
      <w:marLeft w:val="0"/>
      <w:marRight w:val="0"/>
      <w:marTop w:val="0"/>
      <w:marBottom w:val="0"/>
      <w:divBdr>
        <w:top w:val="none" w:sz="0" w:space="0" w:color="auto"/>
        <w:left w:val="none" w:sz="0" w:space="0" w:color="auto"/>
        <w:bottom w:val="none" w:sz="0" w:space="0" w:color="auto"/>
        <w:right w:val="none" w:sz="0" w:space="0" w:color="auto"/>
      </w:divBdr>
    </w:div>
    <w:div w:id="1267811391">
      <w:bodyDiv w:val="1"/>
      <w:marLeft w:val="0"/>
      <w:marRight w:val="0"/>
      <w:marTop w:val="0"/>
      <w:marBottom w:val="0"/>
      <w:divBdr>
        <w:top w:val="none" w:sz="0" w:space="0" w:color="auto"/>
        <w:left w:val="none" w:sz="0" w:space="0" w:color="auto"/>
        <w:bottom w:val="none" w:sz="0" w:space="0" w:color="auto"/>
        <w:right w:val="none" w:sz="0" w:space="0" w:color="auto"/>
      </w:divBdr>
    </w:div>
    <w:div w:id="1276717778">
      <w:bodyDiv w:val="1"/>
      <w:marLeft w:val="0"/>
      <w:marRight w:val="0"/>
      <w:marTop w:val="0"/>
      <w:marBottom w:val="0"/>
      <w:divBdr>
        <w:top w:val="none" w:sz="0" w:space="0" w:color="auto"/>
        <w:left w:val="none" w:sz="0" w:space="0" w:color="auto"/>
        <w:bottom w:val="none" w:sz="0" w:space="0" w:color="auto"/>
        <w:right w:val="none" w:sz="0" w:space="0" w:color="auto"/>
      </w:divBdr>
    </w:div>
    <w:div w:id="1276791721">
      <w:bodyDiv w:val="1"/>
      <w:marLeft w:val="0"/>
      <w:marRight w:val="0"/>
      <w:marTop w:val="0"/>
      <w:marBottom w:val="0"/>
      <w:divBdr>
        <w:top w:val="none" w:sz="0" w:space="0" w:color="auto"/>
        <w:left w:val="none" w:sz="0" w:space="0" w:color="auto"/>
        <w:bottom w:val="none" w:sz="0" w:space="0" w:color="auto"/>
        <w:right w:val="none" w:sz="0" w:space="0" w:color="auto"/>
      </w:divBdr>
    </w:div>
    <w:div w:id="1286766465">
      <w:bodyDiv w:val="1"/>
      <w:marLeft w:val="0"/>
      <w:marRight w:val="0"/>
      <w:marTop w:val="0"/>
      <w:marBottom w:val="0"/>
      <w:divBdr>
        <w:top w:val="none" w:sz="0" w:space="0" w:color="auto"/>
        <w:left w:val="none" w:sz="0" w:space="0" w:color="auto"/>
        <w:bottom w:val="none" w:sz="0" w:space="0" w:color="auto"/>
        <w:right w:val="none" w:sz="0" w:space="0" w:color="auto"/>
      </w:divBdr>
    </w:div>
    <w:div w:id="1297104846">
      <w:bodyDiv w:val="1"/>
      <w:marLeft w:val="0"/>
      <w:marRight w:val="0"/>
      <w:marTop w:val="0"/>
      <w:marBottom w:val="0"/>
      <w:divBdr>
        <w:top w:val="none" w:sz="0" w:space="0" w:color="auto"/>
        <w:left w:val="none" w:sz="0" w:space="0" w:color="auto"/>
        <w:bottom w:val="none" w:sz="0" w:space="0" w:color="auto"/>
        <w:right w:val="none" w:sz="0" w:space="0" w:color="auto"/>
      </w:divBdr>
    </w:div>
    <w:div w:id="1302343987">
      <w:bodyDiv w:val="1"/>
      <w:marLeft w:val="0"/>
      <w:marRight w:val="0"/>
      <w:marTop w:val="0"/>
      <w:marBottom w:val="0"/>
      <w:divBdr>
        <w:top w:val="none" w:sz="0" w:space="0" w:color="auto"/>
        <w:left w:val="none" w:sz="0" w:space="0" w:color="auto"/>
        <w:bottom w:val="none" w:sz="0" w:space="0" w:color="auto"/>
        <w:right w:val="none" w:sz="0" w:space="0" w:color="auto"/>
      </w:divBdr>
    </w:div>
    <w:div w:id="1302347867">
      <w:bodyDiv w:val="1"/>
      <w:marLeft w:val="0"/>
      <w:marRight w:val="0"/>
      <w:marTop w:val="0"/>
      <w:marBottom w:val="0"/>
      <w:divBdr>
        <w:top w:val="none" w:sz="0" w:space="0" w:color="auto"/>
        <w:left w:val="none" w:sz="0" w:space="0" w:color="auto"/>
        <w:bottom w:val="none" w:sz="0" w:space="0" w:color="auto"/>
        <w:right w:val="none" w:sz="0" w:space="0" w:color="auto"/>
      </w:divBdr>
    </w:div>
    <w:div w:id="1304194377">
      <w:bodyDiv w:val="1"/>
      <w:marLeft w:val="0"/>
      <w:marRight w:val="0"/>
      <w:marTop w:val="0"/>
      <w:marBottom w:val="0"/>
      <w:divBdr>
        <w:top w:val="none" w:sz="0" w:space="0" w:color="auto"/>
        <w:left w:val="none" w:sz="0" w:space="0" w:color="auto"/>
        <w:bottom w:val="none" w:sz="0" w:space="0" w:color="auto"/>
        <w:right w:val="none" w:sz="0" w:space="0" w:color="auto"/>
      </w:divBdr>
    </w:div>
    <w:div w:id="1307468325">
      <w:bodyDiv w:val="1"/>
      <w:marLeft w:val="0"/>
      <w:marRight w:val="0"/>
      <w:marTop w:val="0"/>
      <w:marBottom w:val="0"/>
      <w:divBdr>
        <w:top w:val="none" w:sz="0" w:space="0" w:color="auto"/>
        <w:left w:val="none" w:sz="0" w:space="0" w:color="auto"/>
        <w:bottom w:val="none" w:sz="0" w:space="0" w:color="auto"/>
        <w:right w:val="none" w:sz="0" w:space="0" w:color="auto"/>
      </w:divBdr>
    </w:div>
    <w:div w:id="1308896051">
      <w:bodyDiv w:val="1"/>
      <w:marLeft w:val="0"/>
      <w:marRight w:val="0"/>
      <w:marTop w:val="0"/>
      <w:marBottom w:val="0"/>
      <w:divBdr>
        <w:top w:val="none" w:sz="0" w:space="0" w:color="auto"/>
        <w:left w:val="none" w:sz="0" w:space="0" w:color="auto"/>
        <w:bottom w:val="none" w:sz="0" w:space="0" w:color="auto"/>
        <w:right w:val="none" w:sz="0" w:space="0" w:color="auto"/>
      </w:divBdr>
    </w:div>
    <w:div w:id="1315177743">
      <w:bodyDiv w:val="1"/>
      <w:marLeft w:val="0"/>
      <w:marRight w:val="0"/>
      <w:marTop w:val="0"/>
      <w:marBottom w:val="0"/>
      <w:divBdr>
        <w:top w:val="none" w:sz="0" w:space="0" w:color="auto"/>
        <w:left w:val="none" w:sz="0" w:space="0" w:color="auto"/>
        <w:bottom w:val="none" w:sz="0" w:space="0" w:color="auto"/>
        <w:right w:val="none" w:sz="0" w:space="0" w:color="auto"/>
      </w:divBdr>
    </w:div>
    <w:div w:id="1315988078">
      <w:bodyDiv w:val="1"/>
      <w:marLeft w:val="0"/>
      <w:marRight w:val="0"/>
      <w:marTop w:val="0"/>
      <w:marBottom w:val="0"/>
      <w:divBdr>
        <w:top w:val="none" w:sz="0" w:space="0" w:color="auto"/>
        <w:left w:val="none" w:sz="0" w:space="0" w:color="auto"/>
        <w:bottom w:val="none" w:sz="0" w:space="0" w:color="auto"/>
        <w:right w:val="none" w:sz="0" w:space="0" w:color="auto"/>
      </w:divBdr>
    </w:div>
    <w:div w:id="1324234472">
      <w:bodyDiv w:val="1"/>
      <w:marLeft w:val="0"/>
      <w:marRight w:val="0"/>
      <w:marTop w:val="0"/>
      <w:marBottom w:val="0"/>
      <w:divBdr>
        <w:top w:val="none" w:sz="0" w:space="0" w:color="auto"/>
        <w:left w:val="none" w:sz="0" w:space="0" w:color="auto"/>
        <w:bottom w:val="none" w:sz="0" w:space="0" w:color="auto"/>
        <w:right w:val="none" w:sz="0" w:space="0" w:color="auto"/>
      </w:divBdr>
    </w:div>
    <w:div w:id="1354382031">
      <w:bodyDiv w:val="1"/>
      <w:marLeft w:val="0"/>
      <w:marRight w:val="0"/>
      <w:marTop w:val="0"/>
      <w:marBottom w:val="0"/>
      <w:divBdr>
        <w:top w:val="none" w:sz="0" w:space="0" w:color="auto"/>
        <w:left w:val="none" w:sz="0" w:space="0" w:color="auto"/>
        <w:bottom w:val="none" w:sz="0" w:space="0" w:color="auto"/>
        <w:right w:val="none" w:sz="0" w:space="0" w:color="auto"/>
      </w:divBdr>
    </w:div>
    <w:div w:id="1360207230">
      <w:bodyDiv w:val="1"/>
      <w:marLeft w:val="0"/>
      <w:marRight w:val="0"/>
      <w:marTop w:val="0"/>
      <w:marBottom w:val="0"/>
      <w:divBdr>
        <w:top w:val="none" w:sz="0" w:space="0" w:color="auto"/>
        <w:left w:val="none" w:sz="0" w:space="0" w:color="auto"/>
        <w:bottom w:val="none" w:sz="0" w:space="0" w:color="auto"/>
        <w:right w:val="none" w:sz="0" w:space="0" w:color="auto"/>
      </w:divBdr>
    </w:div>
    <w:div w:id="1367213624">
      <w:bodyDiv w:val="1"/>
      <w:marLeft w:val="0"/>
      <w:marRight w:val="0"/>
      <w:marTop w:val="0"/>
      <w:marBottom w:val="0"/>
      <w:divBdr>
        <w:top w:val="none" w:sz="0" w:space="0" w:color="auto"/>
        <w:left w:val="none" w:sz="0" w:space="0" w:color="auto"/>
        <w:bottom w:val="none" w:sz="0" w:space="0" w:color="auto"/>
        <w:right w:val="none" w:sz="0" w:space="0" w:color="auto"/>
      </w:divBdr>
    </w:div>
    <w:div w:id="1373115072">
      <w:bodyDiv w:val="1"/>
      <w:marLeft w:val="0"/>
      <w:marRight w:val="0"/>
      <w:marTop w:val="0"/>
      <w:marBottom w:val="0"/>
      <w:divBdr>
        <w:top w:val="none" w:sz="0" w:space="0" w:color="auto"/>
        <w:left w:val="none" w:sz="0" w:space="0" w:color="auto"/>
        <w:bottom w:val="none" w:sz="0" w:space="0" w:color="auto"/>
        <w:right w:val="none" w:sz="0" w:space="0" w:color="auto"/>
      </w:divBdr>
    </w:div>
    <w:div w:id="1378621354">
      <w:bodyDiv w:val="1"/>
      <w:marLeft w:val="0"/>
      <w:marRight w:val="0"/>
      <w:marTop w:val="0"/>
      <w:marBottom w:val="0"/>
      <w:divBdr>
        <w:top w:val="none" w:sz="0" w:space="0" w:color="auto"/>
        <w:left w:val="none" w:sz="0" w:space="0" w:color="auto"/>
        <w:bottom w:val="none" w:sz="0" w:space="0" w:color="auto"/>
        <w:right w:val="none" w:sz="0" w:space="0" w:color="auto"/>
      </w:divBdr>
    </w:div>
    <w:div w:id="1386443070">
      <w:bodyDiv w:val="1"/>
      <w:marLeft w:val="0"/>
      <w:marRight w:val="0"/>
      <w:marTop w:val="0"/>
      <w:marBottom w:val="0"/>
      <w:divBdr>
        <w:top w:val="none" w:sz="0" w:space="0" w:color="auto"/>
        <w:left w:val="none" w:sz="0" w:space="0" w:color="auto"/>
        <w:bottom w:val="none" w:sz="0" w:space="0" w:color="auto"/>
        <w:right w:val="none" w:sz="0" w:space="0" w:color="auto"/>
      </w:divBdr>
    </w:div>
    <w:div w:id="1389303527">
      <w:bodyDiv w:val="1"/>
      <w:marLeft w:val="0"/>
      <w:marRight w:val="0"/>
      <w:marTop w:val="0"/>
      <w:marBottom w:val="0"/>
      <w:divBdr>
        <w:top w:val="none" w:sz="0" w:space="0" w:color="auto"/>
        <w:left w:val="none" w:sz="0" w:space="0" w:color="auto"/>
        <w:bottom w:val="none" w:sz="0" w:space="0" w:color="auto"/>
        <w:right w:val="none" w:sz="0" w:space="0" w:color="auto"/>
      </w:divBdr>
    </w:div>
    <w:div w:id="1389376359">
      <w:bodyDiv w:val="1"/>
      <w:marLeft w:val="0"/>
      <w:marRight w:val="0"/>
      <w:marTop w:val="0"/>
      <w:marBottom w:val="0"/>
      <w:divBdr>
        <w:top w:val="none" w:sz="0" w:space="0" w:color="auto"/>
        <w:left w:val="none" w:sz="0" w:space="0" w:color="auto"/>
        <w:bottom w:val="none" w:sz="0" w:space="0" w:color="auto"/>
        <w:right w:val="none" w:sz="0" w:space="0" w:color="auto"/>
      </w:divBdr>
    </w:div>
    <w:div w:id="1389498090">
      <w:bodyDiv w:val="1"/>
      <w:marLeft w:val="0"/>
      <w:marRight w:val="0"/>
      <w:marTop w:val="0"/>
      <w:marBottom w:val="0"/>
      <w:divBdr>
        <w:top w:val="none" w:sz="0" w:space="0" w:color="auto"/>
        <w:left w:val="none" w:sz="0" w:space="0" w:color="auto"/>
        <w:bottom w:val="none" w:sz="0" w:space="0" w:color="auto"/>
        <w:right w:val="none" w:sz="0" w:space="0" w:color="auto"/>
      </w:divBdr>
    </w:div>
    <w:div w:id="1395087391">
      <w:bodyDiv w:val="1"/>
      <w:marLeft w:val="0"/>
      <w:marRight w:val="0"/>
      <w:marTop w:val="0"/>
      <w:marBottom w:val="0"/>
      <w:divBdr>
        <w:top w:val="none" w:sz="0" w:space="0" w:color="auto"/>
        <w:left w:val="none" w:sz="0" w:space="0" w:color="auto"/>
        <w:bottom w:val="none" w:sz="0" w:space="0" w:color="auto"/>
        <w:right w:val="none" w:sz="0" w:space="0" w:color="auto"/>
      </w:divBdr>
    </w:div>
    <w:div w:id="1399674605">
      <w:bodyDiv w:val="1"/>
      <w:marLeft w:val="0"/>
      <w:marRight w:val="0"/>
      <w:marTop w:val="0"/>
      <w:marBottom w:val="0"/>
      <w:divBdr>
        <w:top w:val="none" w:sz="0" w:space="0" w:color="auto"/>
        <w:left w:val="none" w:sz="0" w:space="0" w:color="auto"/>
        <w:bottom w:val="none" w:sz="0" w:space="0" w:color="auto"/>
        <w:right w:val="none" w:sz="0" w:space="0" w:color="auto"/>
      </w:divBdr>
    </w:div>
    <w:div w:id="1402217449">
      <w:bodyDiv w:val="1"/>
      <w:marLeft w:val="0"/>
      <w:marRight w:val="0"/>
      <w:marTop w:val="0"/>
      <w:marBottom w:val="0"/>
      <w:divBdr>
        <w:top w:val="none" w:sz="0" w:space="0" w:color="auto"/>
        <w:left w:val="none" w:sz="0" w:space="0" w:color="auto"/>
        <w:bottom w:val="none" w:sz="0" w:space="0" w:color="auto"/>
        <w:right w:val="none" w:sz="0" w:space="0" w:color="auto"/>
      </w:divBdr>
    </w:div>
    <w:div w:id="1413233148">
      <w:bodyDiv w:val="1"/>
      <w:marLeft w:val="0"/>
      <w:marRight w:val="0"/>
      <w:marTop w:val="0"/>
      <w:marBottom w:val="0"/>
      <w:divBdr>
        <w:top w:val="none" w:sz="0" w:space="0" w:color="auto"/>
        <w:left w:val="none" w:sz="0" w:space="0" w:color="auto"/>
        <w:bottom w:val="none" w:sz="0" w:space="0" w:color="auto"/>
        <w:right w:val="none" w:sz="0" w:space="0" w:color="auto"/>
      </w:divBdr>
    </w:div>
    <w:div w:id="1413314266">
      <w:bodyDiv w:val="1"/>
      <w:marLeft w:val="0"/>
      <w:marRight w:val="0"/>
      <w:marTop w:val="0"/>
      <w:marBottom w:val="0"/>
      <w:divBdr>
        <w:top w:val="none" w:sz="0" w:space="0" w:color="auto"/>
        <w:left w:val="none" w:sz="0" w:space="0" w:color="auto"/>
        <w:bottom w:val="none" w:sz="0" w:space="0" w:color="auto"/>
        <w:right w:val="none" w:sz="0" w:space="0" w:color="auto"/>
      </w:divBdr>
    </w:div>
    <w:div w:id="1414009404">
      <w:bodyDiv w:val="1"/>
      <w:marLeft w:val="0"/>
      <w:marRight w:val="0"/>
      <w:marTop w:val="0"/>
      <w:marBottom w:val="0"/>
      <w:divBdr>
        <w:top w:val="none" w:sz="0" w:space="0" w:color="auto"/>
        <w:left w:val="none" w:sz="0" w:space="0" w:color="auto"/>
        <w:bottom w:val="none" w:sz="0" w:space="0" w:color="auto"/>
        <w:right w:val="none" w:sz="0" w:space="0" w:color="auto"/>
      </w:divBdr>
    </w:div>
    <w:div w:id="1414470650">
      <w:bodyDiv w:val="1"/>
      <w:marLeft w:val="0"/>
      <w:marRight w:val="0"/>
      <w:marTop w:val="0"/>
      <w:marBottom w:val="0"/>
      <w:divBdr>
        <w:top w:val="none" w:sz="0" w:space="0" w:color="auto"/>
        <w:left w:val="none" w:sz="0" w:space="0" w:color="auto"/>
        <w:bottom w:val="none" w:sz="0" w:space="0" w:color="auto"/>
        <w:right w:val="none" w:sz="0" w:space="0" w:color="auto"/>
      </w:divBdr>
    </w:div>
    <w:div w:id="1433091532">
      <w:bodyDiv w:val="1"/>
      <w:marLeft w:val="0"/>
      <w:marRight w:val="0"/>
      <w:marTop w:val="0"/>
      <w:marBottom w:val="0"/>
      <w:divBdr>
        <w:top w:val="none" w:sz="0" w:space="0" w:color="auto"/>
        <w:left w:val="none" w:sz="0" w:space="0" w:color="auto"/>
        <w:bottom w:val="none" w:sz="0" w:space="0" w:color="auto"/>
        <w:right w:val="none" w:sz="0" w:space="0" w:color="auto"/>
      </w:divBdr>
    </w:div>
    <w:div w:id="1437363565">
      <w:bodyDiv w:val="1"/>
      <w:marLeft w:val="0"/>
      <w:marRight w:val="0"/>
      <w:marTop w:val="0"/>
      <w:marBottom w:val="0"/>
      <w:divBdr>
        <w:top w:val="none" w:sz="0" w:space="0" w:color="auto"/>
        <w:left w:val="none" w:sz="0" w:space="0" w:color="auto"/>
        <w:bottom w:val="none" w:sz="0" w:space="0" w:color="auto"/>
        <w:right w:val="none" w:sz="0" w:space="0" w:color="auto"/>
      </w:divBdr>
    </w:div>
    <w:div w:id="1439253366">
      <w:bodyDiv w:val="1"/>
      <w:marLeft w:val="0"/>
      <w:marRight w:val="0"/>
      <w:marTop w:val="0"/>
      <w:marBottom w:val="0"/>
      <w:divBdr>
        <w:top w:val="none" w:sz="0" w:space="0" w:color="auto"/>
        <w:left w:val="none" w:sz="0" w:space="0" w:color="auto"/>
        <w:bottom w:val="none" w:sz="0" w:space="0" w:color="auto"/>
        <w:right w:val="none" w:sz="0" w:space="0" w:color="auto"/>
      </w:divBdr>
    </w:div>
    <w:div w:id="1448040573">
      <w:bodyDiv w:val="1"/>
      <w:marLeft w:val="0"/>
      <w:marRight w:val="0"/>
      <w:marTop w:val="0"/>
      <w:marBottom w:val="0"/>
      <w:divBdr>
        <w:top w:val="none" w:sz="0" w:space="0" w:color="auto"/>
        <w:left w:val="none" w:sz="0" w:space="0" w:color="auto"/>
        <w:bottom w:val="none" w:sz="0" w:space="0" w:color="auto"/>
        <w:right w:val="none" w:sz="0" w:space="0" w:color="auto"/>
      </w:divBdr>
    </w:div>
    <w:div w:id="1449397987">
      <w:bodyDiv w:val="1"/>
      <w:marLeft w:val="0"/>
      <w:marRight w:val="0"/>
      <w:marTop w:val="0"/>
      <w:marBottom w:val="0"/>
      <w:divBdr>
        <w:top w:val="none" w:sz="0" w:space="0" w:color="auto"/>
        <w:left w:val="none" w:sz="0" w:space="0" w:color="auto"/>
        <w:bottom w:val="none" w:sz="0" w:space="0" w:color="auto"/>
        <w:right w:val="none" w:sz="0" w:space="0" w:color="auto"/>
      </w:divBdr>
    </w:div>
    <w:div w:id="1451893206">
      <w:bodyDiv w:val="1"/>
      <w:marLeft w:val="0"/>
      <w:marRight w:val="0"/>
      <w:marTop w:val="0"/>
      <w:marBottom w:val="0"/>
      <w:divBdr>
        <w:top w:val="none" w:sz="0" w:space="0" w:color="auto"/>
        <w:left w:val="none" w:sz="0" w:space="0" w:color="auto"/>
        <w:bottom w:val="none" w:sz="0" w:space="0" w:color="auto"/>
        <w:right w:val="none" w:sz="0" w:space="0" w:color="auto"/>
      </w:divBdr>
    </w:div>
    <w:div w:id="1457259953">
      <w:bodyDiv w:val="1"/>
      <w:marLeft w:val="0"/>
      <w:marRight w:val="0"/>
      <w:marTop w:val="0"/>
      <w:marBottom w:val="0"/>
      <w:divBdr>
        <w:top w:val="none" w:sz="0" w:space="0" w:color="auto"/>
        <w:left w:val="none" w:sz="0" w:space="0" w:color="auto"/>
        <w:bottom w:val="none" w:sz="0" w:space="0" w:color="auto"/>
        <w:right w:val="none" w:sz="0" w:space="0" w:color="auto"/>
      </w:divBdr>
    </w:div>
    <w:div w:id="1458990477">
      <w:bodyDiv w:val="1"/>
      <w:marLeft w:val="0"/>
      <w:marRight w:val="0"/>
      <w:marTop w:val="0"/>
      <w:marBottom w:val="0"/>
      <w:divBdr>
        <w:top w:val="none" w:sz="0" w:space="0" w:color="auto"/>
        <w:left w:val="none" w:sz="0" w:space="0" w:color="auto"/>
        <w:bottom w:val="none" w:sz="0" w:space="0" w:color="auto"/>
        <w:right w:val="none" w:sz="0" w:space="0" w:color="auto"/>
      </w:divBdr>
    </w:div>
    <w:div w:id="1459688843">
      <w:bodyDiv w:val="1"/>
      <w:marLeft w:val="0"/>
      <w:marRight w:val="0"/>
      <w:marTop w:val="0"/>
      <w:marBottom w:val="0"/>
      <w:divBdr>
        <w:top w:val="none" w:sz="0" w:space="0" w:color="auto"/>
        <w:left w:val="none" w:sz="0" w:space="0" w:color="auto"/>
        <w:bottom w:val="none" w:sz="0" w:space="0" w:color="auto"/>
        <w:right w:val="none" w:sz="0" w:space="0" w:color="auto"/>
      </w:divBdr>
    </w:div>
    <w:div w:id="1462382226">
      <w:bodyDiv w:val="1"/>
      <w:marLeft w:val="0"/>
      <w:marRight w:val="0"/>
      <w:marTop w:val="0"/>
      <w:marBottom w:val="0"/>
      <w:divBdr>
        <w:top w:val="none" w:sz="0" w:space="0" w:color="auto"/>
        <w:left w:val="none" w:sz="0" w:space="0" w:color="auto"/>
        <w:bottom w:val="none" w:sz="0" w:space="0" w:color="auto"/>
        <w:right w:val="none" w:sz="0" w:space="0" w:color="auto"/>
      </w:divBdr>
    </w:div>
    <w:div w:id="1463964953">
      <w:bodyDiv w:val="1"/>
      <w:marLeft w:val="0"/>
      <w:marRight w:val="0"/>
      <w:marTop w:val="0"/>
      <w:marBottom w:val="0"/>
      <w:divBdr>
        <w:top w:val="none" w:sz="0" w:space="0" w:color="auto"/>
        <w:left w:val="none" w:sz="0" w:space="0" w:color="auto"/>
        <w:bottom w:val="none" w:sz="0" w:space="0" w:color="auto"/>
        <w:right w:val="none" w:sz="0" w:space="0" w:color="auto"/>
      </w:divBdr>
    </w:div>
    <w:div w:id="1467775422">
      <w:bodyDiv w:val="1"/>
      <w:marLeft w:val="0"/>
      <w:marRight w:val="0"/>
      <w:marTop w:val="0"/>
      <w:marBottom w:val="0"/>
      <w:divBdr>
        <w:top w:val="none" w:sz="0" w:space="0" w:color="auto"/>
        <w:left w:val="none" w:sz="0" w:space="0" w:color="auto"/>
        <w:bottom w:val="none" w:sz="0" w:space="0" w:color="auto"/>
        <w:right w:val="none" w:sz="0" w:space="0" w:color="auto"/>
      </w:divBdr>
    </w:div>
    <w:div w:id="1472862861">
      <w:bodyDiv w:val="1"/>
      <w:marLeft w:val="0"/>
      <w:marRight w:val="0"/>
      <w:marTop w:val="0"/>
      <w:marBottom w:val="0"/>
      <w:divBdr>
        <w:top w:val="none" w:sz="0" w:space="0" w:color="auto"/>
        <w:left w:val="none" w:sz="0" w:space="0" w:color="auto"/>
        <w:bottom w:val="none" w:sz="0" w:space="0" w:color="auto"/>
        <w:right w:val="none" w:sz="0" w:space="0" w:color="auto"/>
      </w:divBdr>
    </w:div>
    <w:div w:id="1476294890">
      <w:bodyDiv w:val="1"/>
      <w:marLeft w:val="0"/>
      <w:marRight w:val="0"/>
      <w:marTop w:val="0"/>
      <w:marBottom w:val="0"/>
      <w:divBdr>
        <w:top w:val="none" w:sz="0" w:space="0" w:color="auto"/>
        <w:left w:val="none" w:sz="0" w:space="0" w:color="auto"/>
        <w:bottom w:val="none" w:sz="0" w:space="0" w:color="auto"/>
        <w:right w:val="none" w:sz="0" w:space="0" w:color="auto"/>
      </w:divBdr>
    </w:div>
    <w:div w:id="1482429603">
      <w:bodyDiv w:val="1"/>
      <w:marLeft w:val="0"/>
      <w:marRight w:val="0"/>
      <w:marTop w:val="0"/>
      <w:marBottom w:val="0"/>
      <w:divBdr>
        <w:top w:val="none" w:sz="0" w:space="0" w:color="auto"/>
        <w:left w:val="none" w:sz="0" w:space="0" w:color="auto"/>
        <w:bottom w:val="none" w:sz="0" w:space="0" w:color="auto"/>
        <w:right w:val="none" w:sz="0" w:space="0" w:color="auto"/>
      </w:divBdr>
    </w:div>
    <w:div w:id="1490173714">
      <w:bodyDiv w:val="1"/>
      <w:marLeft w:val="0"/>
      <w:marRight w:val="0"/>
      <w:marTop w:val="0"/>
      <w:marBottom w:val="0"/>
      <w:divBdr>
        <w:top w:val="none" w:sz="0" w:space="0" w:color="auto"/>
        <w:left w:val="none" w:sz="0" w:space="0" w:color="auto"/>
        <w:bottom w:val="none" w:sz="0" w:space="0" w:color="auto"/>
        <w:right w:val="none" w:sz="0" w:space="0" w:color="auto"/>
      </w:divBdr>
    </w:div>
    <w:div w:id="1494681622">
      <w:bodyDiv w:val="1"/>
      <w:marLeft w:val="0"/>
      <w:marRight w:val="0"/>
      <w:marTop w:val="0"/>
      <w:marBottom w:val="0"/>
      <w:divBdr>
        <w:top w:val="none" w:sz="0" w:space="0" w:color="auto"/>
        <w:left w:val="none" w:sz="0" w:space="0" w:color="auto"/>
        <w:bottom w:val="none" w:sz="0" w:space="0" w:color="auto"/>
        <w:right w:val="none" w:sz="0" w:space="0" w:color="auto"/>
      </w:divBdr>
    </w:div>
    <w:div w:id="1496677998">
      <w:bodyDiv w:val="1"/>
      <w:marLeft w:val="0"/>
      <w:marRight w:val="0"/>
      <w:marTop w:val="0"/>
      <w:marBottom w:val="0"/>
      <w:divBdr>
        <w:top w:val="none" w:sz="0" w:space="0" w:color="auto"/>
        <w:left w:val="none" w:sz="0" w:space="0" w:color="auto"/>
        <w:bottom w:val="none" w:sz="0" w:space="0" w:color="auto"/>
        <w:right w:val="none" w:sz="0" w:space="0" w:color="auto"/>
      </w:divBdr>
    </w:div>
    <w:div w:id="1497960890">
      <w:bodyDiv w:val="1"/>
      <w:marLeft w:val="0"/>
      <w:marRight w:val="0"/>
      <w:marTop w:val="0"/>
      <w:marBottom w:val="0"/>
      <w:divBdr>
        <w:top w:val="none" w:sz="0" w:space="0" w:color="auto"/>
        <w:left w:val="none" w:sz="0" w:space="0" w:color="auto"/>
        <w:bottom w:val="none" w:sz="0" w:space="0" w:color="auto"/>
        <w:right w:val="none" w:sz="0" w:space="0" w:color="auto"/>
      </w:divBdr>
    </w:div>
    <w:div w:id="1498422661">
      <w:bodyDiv w:val="1"/>
      <w:marLeft w:val="0"/>
      <w:marRight w:val="0"/>
      <w:marTop w:val="0"/>
      <w:marBottom w:val="0"/>
      <w:divBdr>
        <w:top w:val="none" w:sz="0" w:space="0" w:color="auto"/>
        <w:left w:val="none" w:sz="0" w:space="0" w:color="auto"/>
        <w:bottom w:val="none" w:sz="0" w:space="0" w:color="auto"/>
        <w:right w:val="none" w:sz="0" w:space="0" w:color="auto"/>
      </w:divBdr>
    </w:div>
    <w:div w:id="1501114993">
      <w:bodyDiv w:val="1"/>
      <w:marLeft w:val="0"/>
      <w:marRight w:val="0"/>
      <w:marTop w:val="0"/>
      <w:marBottom w:val="0"/>
      <w:divBdr>
        <w:top w:val="none" w:sz="0" w:space="0" w:color="auto"/>
        <w:left w:val="none" w:sz="0" w:space="0" w:color="auto"/>
        <w:bottom w:val="none" w:sz="0" w:space="0" w:color="auto"/>
        <w:right w:val="none" w:sz="0" w:space="0" w:color="auto"/>
      </w:divBdr>
    </w:div>
    <w:div w:id="1505776100">
      <w:bodyDiv w:val="1"/>
      <w:marLeft w:val="0"/>
      <w:marRight w:val="0"/>
      <w:marTop w:val="0"/>
      <w:marBottom w:val="0"/>
      <w:divBdr>
        <w:top w:val="none" w:sz="0" w:space="0" w:color="auto"/>
        <w:left w:val="none" w:sz="0" w:space="0" w:color="auto"/>
        <w:bottom w:val="none" w:sz="0" w:space="0" w:color="auto"/>
        <w:right w:val="none" w:sz="0" w:space="0" w:color="auto"/>
      </w:divBdr>
    </w:div>
    <w:div w:id="1510292556">
      <w:bodyDiv w:val="1"/>
      <w:marLeft w:val="0"/>
      <w:marRight w:val="0"/>
      <w:marTop w:val="0"/>
      <w:marBottom w:val="0"/>
      <w:divBdr>
        <w:top w:val="none" w:sz="0" w:space="0" w:color="auto"/>
        <w:left w:val="none" w:sz="0" w:space="0" w:color="auto"/>
        <w:bottom w:val="none" w:sz="0" w:space="0" w:color="auto"/>
        <w:right w:val="none" w:sz="0" w:space="0" w:color="auto"/>
      </w:divBdr>
    </w:div>
    <w:div w:id="1513914220">
      <w:bodyDiv w:val="1"/>
      <w:marLeft w:val="0"/>
      <w:marRight w:val="0"/>
      <w:marTop w:val="0"/>
      <w:marBottom w:val="0"/>
      <w:divBdr>
        <w:top w:val="none" w:sz="0" w:space="0" w:color="auto"/>
        <w:left w:val="none" w:sz="0" w:space="0" w:color="auto"/>
        <w:bottom w:val="none" w:sz="0" w:space="0" w:color="auto"/>
        <w:right w:val="none" w:sz="0" w:space="0" w:color="auto"/>
      </w:divBdr>
    </w:div>
    <w:div w:id="1528057531">
      <w:bodyDiv w:val="1"/>
      <w:marLeft w:val="0"/>
      <w:marRight w:val="0"/>
      <w:marTop w:val="0"/>
      <w:marBottom w:val="0"/>
      <w:divBdr>
        <w:top w:val="none" w:sz="0" w:space="0" w:color="auto"/>
        <w:left w:val="none" w:sz="0" w:space="0" w:color="auto"/>
        <w:bottom w:val="none" w:sz="0" w:space="0" w:color="auto"/>
        <w:right w:val="none" w:sz="0" w:space="0" w:color="auto"/>
      </w:divBdr>
    </w:div>
    <w:div w:id="1529566821">
      <w:bodyDiv w:val="1"/>
      <w:marLeft w:val="0"/>
      <w:marRight w:val="0"/>
      <w:marTop w:val="0"/>
      <w:marBottom w:val="0"/>
      <w:divBdr>
        <w:top w:val="none" w:sz="0" w:space="0" w:color="auto"/>
        <w:left w:val="none" w:sz="0" w:space="0" w:color="auto"/>
        <w:bottom w:val="none" w:sz="0" w:space="0" w:color="auto"/>
        <w:right w:val="none" w:sz="0" w:space="0" w:color="auto"/>
      </w:divBdr>
    </w:div>
    <w:div w:id="1530290161">
      <w:bodyDiv w:val="1"/>
      <w:marLeft w:val="0"/>
      <w:marRight w:val="0"/>
      <w:marTop w:val="0"/>
      <w:marBottom w:val="0"/>
      <w:divBdr>
        <w:top w:val="none" w:sz="0" w:space="0" w:color="auto"/>
        <w:left w:val="none" w:sz="0" w:space="0" w:color="auto"/>
        <w:bottom w:val="none" w:sz="0" w:space="0" w:color="auto"/>
        <w:right w:val="none" w:sz="0" w:space="0" w:color="auto"/>
      </w:divBdr>
    </w:div>
    <w:div w:id="1531843993">
      <w:bodyDiv w:val="1"/>
      <w:marLeft w:val="0"/>
      <w:marRight w:val="0"/>
      <w:marTop w:val="0"/>
      <w:marBottom w:val="0"/>
      <w:divBdr>
        <w:top w:val="none" w:sz="0" w:space="0" w:color="auto"/>
        <w:left w:val="none" w:sz="0" w:space="0" w:color="auto"/>
        <w:bottom w:val="none" w:sz="0" w:space="0" w:color="auto"/>
        <w:right w:val="none" w:sz="0" w:space="0" w:color="auto"/>
      </w:divBdr>
    </w:div>
    <w:div w:id="1539925675">
      <w:bodyDiv w:val="1"/>
      <w:marLeft w:val="0"/>
      <w:marRight w:val="0"/>
      <w:marTop w:val="0"/>
      <w:marBottom w:val="0"/>
      <w:divBdr>
        <w:top w:val="none" w:sz="0" w:space="0" w:color="auto"/>
        <w:left w:val="none" w:sz="0" w:space="0" w:color="auto"/>
        <w:bottom w:val="none" w:sz="0" w:space="0" w:color="auto"/>
        <w:right w:val="none" w:sz="0" w:space="0" w:color="auto"/>
      </w:divBdr>
    </w:div>
    <w:div w:id="1545867706">
      <w:bodyDiv w:val="1"/>
      <w:marLeft w:val="0"/>
      <w:marRight w:val="0"/>
      <w:marTop w:val="0"/>
      <w:marBottom w:val="0"/>
      <w:divBdr>
        <w:top w:val="none" w:sz="0" w:space="0" w:color="auto"/>
        <w:left w:val="none" w:sz="0" w:space="0" w:color="auto"/>
        <w:bottom w:val="none" w:sz="0" w:space="0" w:color="auto"/>
        <w:right w:val="none" w:sz="0" w:space="0" w:color="auto"/>
      </w:divBdr>
    </w:div>
    <w:div w:id="1550259026">
      <w:bodyDiv w:val="1"/>
      <w:marLeft w:val="0"/>
      <w:marRight w:val="0"/>
      <w:marTop w:val="0"/>
      <w:marBottom w:val="0"/>
      <w:divBdr>
        <w:top w:val="none" w:sz="0" w:space="0" w:color="auto"/>
        <w:left w:val="none" w:sz="0" w:space="0" w:color="auto"/>
        <w:bottom w:val="none" w:sz="0" w:space="0" w:color="auto"/>
        <w:right w:val="none" w:sz="0" w:space="0" w:color="auto"/>
      </w:divBdr>
    </w:div>
    <w:div w:id="1553347162">
      <w:bodyDiv w:val="1"/>
      <w:marLeft w:val="0"/>
      <w:marRight w:val="0"/>
      <w:marTop w:val="0"/>
      <w:marBottom w:val="0"/>
      <w:divBdr>
        <w:top w:val="none" w:sz="0" w:space="0" w:color="auto"/>
        <w:left w:val="none" w:sz="0" w:space="0" w:color="auto"/>
        <w:bottom w:val="none" w:sz="0" w:space="0" w:color="auto"/>
        <w:right w:val="none" w:sz="0" w:space="0" w:color="auto"/>
      </w:divBdr>
    </w:div>
    <w:div w:id="1566842035">
      <w:bodyDiv w:val="1"/>
      <w:marLeft w:val="0"/>
      <w:marRight w:val="0"/>
      <w:marTop w:val="0"/>
      <w:marBottom w:val="0"/>
      <w:divBdr>
        <w:top w:val="none" w:sz="0" w:space="0" w:color="auto"/>
        <w:left w:val="none" w:sz="0" w:space="0" w:color="auto"/>
        <w:bottom w:val="none" w:sz="0" w:space="0" w:color="auto"/>
        <w:right w:val="none" w:sz="0" w:space="0" w:color="auto"/>
      </w:divBdr>
    </w:div>
    <w:div w:id="1567032747">
      <w:bodyDiv w:val="1"/>
      <w:marLeft w:val="0"/>
      <w:marRight w:val="0"/>
      <w:marTop w:val="0"/>
      <w:marBottom w:val="0"/>
      <w:divBdr>
        <w:top w:val="none" w:sz="0" w:space="0" w:color="auto"/>
        <w:left w:val="none" w:sz="0" w:space="0" w:color="auto"/>
        <w:bottom w:val="none" w:sz="0" w:space="0" w:color="auto"/>
        <w:right w:val="none" w:sz="0" w:space="0" w:color="auto"/>
      </w:divBdr>
    </w:div>
    <w:div w:id="1568032310">
      <w:bodyDiv w:val="1"/>
      <w:marLeft w:val="0"/>
      <w:marRight w:val="0"/>
      <w:marTop w:val="0"/>
      <w:marBottom w:val="0"/>
      <w:divBdr>
        <w:top w:val="none" w:sz="0" w:space="0" w:color="auto"/>
        <w:left w:val="none" w:sz="0" w:space="0" w:color="auto"/>
        <w:bottom w:val="none" w:sz="0" w:space="0" w:color="auto"/>
        <w:right w:val="none" w:sz="0" w:space="0" w:color="auto"/>
      </w:divBdr>
    </w:div>
    <w:div w:id="1573806334">
      <w:bodyDiv w:val="1"/>
      <w:marLeft w:val="0"/>
      <w:marRight w:val="0"/>
      <w:marTop w:val="0"/>
      <w:marBottom w:val="0"/>
      <w:divBdr>
        <w:top w:val="none" w:sz="0" w:space="0" w:color="auto"/>
        <w:left w:val="none" w:sz="0" w:space="0" w:color="auto"/>
        <w:bottom w:val="none" w:sz="0" w:space="0" w:color="auto"/>
        <w:right w:val="none" w:sz="0" w:space="0" w:color="auto"/>
      </w:divBdr>
    </w:div>
    <w:div w:id="1578856693">
      <w:bodyDiv w:val="1"/>
      <w:marLeft w:val="0"/>
      <w:marRight w:val="0"/>
      <w:marTop w:val="0"/>
      <w:marBottom w:val="0"/>
      <w:divBdr>
        <w:top w:val="none" w:sz="0" w:space="0" w:color="auto"/>
        <w:left w:val="none" w:sz="0" w:space="0" w:color="auto"/>
        <w:bottom w:val="none" w:sz="0" w:space="0" w:color="auto"/>
        <w:right w:val="none" w:sz="0" w:space="0" w:color="auto"/>
      </w:divBdr>
    </w:div>
    <w:div w:id="1584024463">
      <w:bodyDiv w:val="1"/>
      <w:marLeft w:val="0"/>
      <w:marRight w:val="0"/>
      <w:marTop w:val="0"/>
      <w:marBottom w:val="0"/>
      <w:divBdr>
        <w:top w:val="none" w:sz="0" w:space="0" w:color="auto"/>
        <w:left w:val="none" w:sz="0" w:space="0" w:color="auto"/>
        <w:bottom w:val="none" w:sz="0" w:space="0" w:color="auto"/>
        <w:right w:val="none" w:sz="0" w:space="0" w:color="auto"/>
      </w:divBdr>
    </w:div>
    <w:div w:id="1585649515">
      <w:bodyDiv w:val="1"/>
      <w:marLeft w:val="0"/>
      <w:marRight w:val="0"/>
      <w:marTop w:val="0"/>
      <w:marBottom w:val="0"/>
      <w:divBdr>
        <w:top w:val="none" w:sz="0" w:space="0" w:color="auto"/>
        <w:left w:val="none" w:sz="0" w:space="0" w:color="auto"/>
        <w:bottom w:val="none" w:sz="0" w:space="0" w:color="auto"/>
        <w:right w:val="none" w:sz="0" w:space="0" w:color="auto"/>
      </w:divBdr>
    </w:div>
    <w:div w:id="1589264194">
      <w:bodyDiv w:val="1"/>
      <w:marLeft w:val="0"/>
      <w:marRight w:val="0"/>
      <w:marTop w:val="0"/>
      <w:marBottom w:val="0"/>
      <w:divBdr>
        <w:top w:val="none" w:sz="0" w:space="0" w:color="auto"/>
        <w:left w:val="none" w:sz="0" w:space="0" w:color="auto"/>
        <w:bottom w:val="none" w:sz="0" w:space="0" w:color="auto"/>
        <w:right w:val="none" w:sz="0" w:space="0" w:color="auto"/>
      </w:divBdr>
    </w:div>
    <w:div w:id="1591543809">
      <w:bodyDiv w:val="1"/>
      <w:marLeft w:val="0"/>
      <w:marRight w:val="0"/>
      <w:marTop w:val="0"/>
      <w:marBottom w:val="0"/>
      <w:divBdr>
        <w:top w:val="none" w:sz="0" w:space="0" w:color="auto"/>
        <w:left w:val="none" w:sz="0" w:space="0" w:color="auto"/>
        <w:bottom w:val="none" w:sz="0" w:space="0" w:color="auto"/>
        <w:right w:val="none" w:sz="0" w:space="0" w:color="auto"/>
      </w:divBdr>
    </w:div>
    <w:div w:id="1593247259">
      <w:bodyDiv w:val="1"/>
      <w:marLeft w:val="0"/>
      <w:marRight w:val="0"/>
      <w:marTop w:val="0"/>
      <w:marBottom w:val="0"/>
      <w:divBdr>
        <w:top w:val="none" w:sz="0" w:space="0" w:color="auto"/>
        <w:left w:val="none" w:sz="0" w:space="0" w:color="auto"/>
        <w:bottom w:val="none" w:sz="0" w:space="0" w:color="auto"/>
        <w:right w:val="none" w:sz="0" w:space="0" w:color="auto"/>
      </w:divBdr>
    </w:div>
    <w:div w:id="1604608061">
      <w:bodyDiv w:val="1"/>
      <w:marLeft w:val="0"/>
      <w:marRight w:val="0"/>
      <w:marTop w:val="0"/>
      <w:marBottom w:val="0"/>
      <w:divBdr>
        <w:top w:val="none" w:sz="0" w:space="0" w:color="auto"/>
        <w:left w:val="none" w:sz="0" w:space="0" w:color="auto"/>
        <w:bottom w:val="none" w:sz="0" w:space="0" w:color="auto"/>
        <w:right w:val="none" w:sz="0" w:space="0" w:color="auto"/>
      </w:divBdr>
    </w:div>
    <w:div w:id="1604723509">
      <w:bodyDiv w:val="1"/>
      <w:marLeft w:val="0"/>
      <w:marRight w:val="0"/>
      <w:marTop w:val="0"/>
      <w:marBottom w:val="0"/>
      <w:divBdr>
        <w:top w:val="none" w:sz="0" w:space="0" w:color="auto"/>
        <w:left w:val="none" w:sz="0" w:space="0" w:color="auto"/>
        <w:bottom w:val="none" w:sz="0" w:space="0" w:color="auto"/>
        <w:right w:val="none" w:sz="0" w:space="0" w:color="auto"/>
      </w:divBdr>
    </w:div>
    <w:div w:id="1606812292">
      <w:bodyDiv w:val="1"/>
      <w:marLeft w:val="0"/>
      <w:marRight w:val="0"/>
      <w:marTop w:val="0"/>
      <w:marBottom w:val="0"/>
      <w:divBdr>
        <w:top w:val="none" w:sz="0" w:space="0" w:color="auto"/>
        <w:left w:val="none" w:sz="0" w:space="0" w:color="auto"/>
        <w:bottom w:val="none" w:sz="0" w:space="0" w:color="auto"/>
        <w:right w:val="none" w:sz="0" w:space="0" w:color="auto"/>
      </w:divBdr>
    </w:div>
    <w:div w:id="1608274065">
      <w:bodyDiv w:val="1"/>
      <w:marLeft w:val="0"/>
      <w:marRight w:val="0"/>
      <w:marTop w:val="0"/>
      <w:marBottom w:val="0"/>
      <w:divBdr>
        <w:top w:val="none" w:sz="0" w:space="0" w:color="auto"/>
        <w:left w:val="none" w:sz="0" w:space="0" w:color="auto"/>
        <w:bottom w:val="none" w:sz="0" w:space="0" w:color="auto"/>
        <w:right w:val="none" w:sz="0" w:space="0" w:color="auto"/>
      </w:divBdr>
    </w:div>
    <w:div w:id="1611081011">
      <w:bodyDiv w:val="1"/>
      <w:marLeft w:val="0"/>
      <w:marRight w:val="0"/>
      <w:marTop w:val="0"/>
      <w:marBottom w:val="0"/>
      <w:divBdr>
        <w:top w:val="none" w:sz="0" w:space="0" w:color="auto"/>
        <w:left w:val="none" w:sz="0" w:space="0" w:color="auto"/>
        <w:bottom w:val="none" w:sz="0" w:space="0" w:color="auto"/>
        <w:right w:val="none" w:sz="0" w:space="0" w:color="auto"/>
      </w:divBdr>
    </w:div>
    <w:div w:id="1613855693">
      <w:bodyDiv w:val="1"/>
      <w:marLeft w:val="0"/>
      <w:marRight w:val="0"/>
      <w:marTop w:val="0"/>
      <w:marBottom w:val="0"/>
      <w:divBdr>
        <w:top w:val="none" w:sz="0" w:space="0" w:color="auto"/>
        <w:left w:val="none" w:sz="0" w:space="0" w:color="auto"/>
        <w:bottom w:val="none" w:sz="0" w:space="0" w:color="auto"/>
        <w:right w:val="none" w:sz="0" w:space="0" w:color="auto"/>
      </w:divBdr>
    </w:div>
    <w:div w:id="1614048307">
      <w:bodyDiv w:val="1"/>
      <w:marLeft w:val="0"/>
      <w:marRight w:val="0"/>
      <w:marTop w:val="0"/>
      <w:marBottom w:val="0"/>
      <w:divBdr>
        <w:top w:val="none" w:sz="0" w:space="0" w:color="auto"/>
        <w:left w:val="none" w:sz="0" w:space="0" w:color="auto"/>
        <w:bottom w:val="none" w:sz="0" w:space="0" w:color="auto"/>
        <w:right w:val="none" w:sz="0" w:space="0" w:color="auto"/>
      </w:divBdr>
    </w:div>
    <w:div w:id="1614288488">
      <w:bodyDiv w:val="1"/>
      <w:marLeft w:val="0"/>
      <w:marRight w:val="0"/>
      <w:marTop w:val="0"/>
      <w:marBottom w:val="0"/>
      <w:divBdr>
        <w:top w:val="none" w:sz="0" w:space="0" w:color="auto"/>
        <w:left w:val="none" w:sz="0" w:space="0" w:color="auto"/>
        <w:bottom w:val="none" w:sz="0" w:space="0" w:color="auto"/>
        <w:right w:val="none" w:sz="0" w:space="0" w:color="auto"/>
      </w:divBdr>
    </w:div>
    <w:div w:id="1614434478">
      <w:bodyDiv w:val="1"/>
      <w:marLeft w:val="0"/>
      <w:marRight w:val="0"/>
      <w:marTop w:val="0"/>
      <w:marBottom w:val="0"/>
      <w:divBdr>
        <w:top w:val="none" w:sz="0" w:space="0" w:color="auto"/>
        <w:left w:val="none" w:sz="0" w:space="0" w:color="auto"/>
        <w:bottom w:val="none" w:sz="0" w:space="0" w:color="auto"/>
        <w:right w:val="none" w:sz="0" w:space="0" w:color="auto"/>
      </w:divBdr>
    </w:div>
    <w:div w:id="1620793600">
      <w:bodyDiv w:val="1"/>
      <w:marLeft w:val="0"/>
      <w:marRight w:val="0"/>
      <w:marTop w:val="0"/>
      <w:marBottom w:val="0"/>
      <w:divBdr>
        <w:top w:val="none" w:sz="0" w:space="0" w:color="auto"/>
        <w:left w:val="none" w:sz="0" w:space="0" w:color="auto"/>
        <w:bottom w:val="none" w:sz="0" w:space="0" w:color="auto"/>
        <w:right w:val="none" w:sz="0" w:space="0" w:color="auto"/>
      </w:divBdr>
    </w:div>
    <w:div w:id="1637567792">
      <w:bodyDiv w:val="1"/>
      <w:marLeft w:val="0"/>
      <w:marRight w:val="0"/>
      <w:marTop w:val="0"/>
      <w:marBottom w:val="0"/>
      <w:divBdr>
        <w:top w:val="none" w:sz="0" w:space="0" w:color="auto"/>
        <w:left w:val="none" w:sz="0" w:space="0" w:color="auto"/>
        <w:bottom w:val="none" w:sz="0" w:space="0" w:color="auto"/>
        <w:right w:val="none" w:sz="0" w:space="0" w:color="auto"/>
      </w:divBdr>
    </w:div>
    <w:div w:id="1646087329">
      <w:bodyDiv w:val="1"/>
      <w:marLeft w:val="0"/>
      <w:marRight w:val="0"/>
      <w:marTop w:val="0"/>
      <w:marBottom w:val="0"/>
      <w:divBdr>
        <w:top w:val="none" w:sz="0" w:space="0" w:color="auto"/>
        <w:left w:val="none" w:sz="0" w:space="0" w:color="auto"/>
        <w:bottom w:val="none" w:sz="0" w:space="0" w:color="auto"/>
        <w:right w:val="none" w:sz="0" w:space="0" w:color="auto"/>
      </w:divBdr>
    </w:div>
    <w:div w:id="1647394339">
      <w:bodyDiv w:val="1"/>
      <w:marLeft w:val="0"/>
      <w:marRight w:val="0"/>
      <w:marTop w:val="0"/>
      <w:marBottom w:val="0"/>
      <w:divBdr>
        <w:top w:val="none" w:sz="0" w:space="0" w:color="auto"/>
        <w:left w:val="none" w:sz="0" w:space="0" w:color="auto"/>
        <w:bottom w:val="none" w:sz="0" w:space="0" w:color="auto"/>
        <w:right w:val="none" w:sz="0" w:space="0" w:color="auto"/>
      </w:divBdr>
    </w:div>
    <w:div w:id="1650548987">
      <w:bodyDiv w:val="1"/>
      <w:marLeft w:val="0"/>
      <w:marRight w:val="0"/>
      <w:marTop w:val="0"/>
      <w:marBottom w:val="0"/>
      <w:divBdr>
        <w:top w:val="none" w:sz="0" w:space="0" w:color="auto"/>
        <w:left w:val="none" w:sz="0" w:space="0" w:color="auto"/>
        <w:bottom w:val="none" w:sz="0" w:space="0" w:color="auto"/>
        <w:right w:val="none" w:sz="0" w:space="0" w:color="auto"/>
      </w:divBdr>
    </w:div>
    <w:div w:id="1652980750">
      <w:bodyDiv w:val="1"/>
      <w:marLeft w:val="0"/>
      <w:marRight w:val="0"/>
      <w:marTop w:val="0"/>
      <w:marBottom w:val="0"/>
      <w:divBdr>
        <w:top w:val="none" w:sz="0" w:space="0" w:color="auto"/>
        <w:left w:val="none" w:sz="0" w:space="0" w:color="auto"/>
        <w:bottom w:val="none" w:sz="0" w:space="0" w:color="auto"/>
        <w:right w:val="none" w:sz="0" w:space="0" w:color="auto"/>
      </w:divBdr>
    </w:div>
    <w:div w:id="1653825289">
      <w:bodyDiv w:val="1"/>
      <w:marLeft w:val="0"/>
      <w:marRight w:val="0"/>
      <w:marTop w:val="0"/>
      <w:marBottom w:val="0"/>
      <w:divBdr>
        <w:top w:val="none" w:sz="0" w:space="0" w:color="auto"/>
        <w:left w:val="none" w:sz="0" w:space="0" w:color="auto"/>
        <w:bottom w:val="none" w:sz="0" w:space="0" w:color="auto"/>
        <w:right w:val="none" w:sz="0" w:space="0" w:color="auto"/>
      </w:divBdr>
    </w:div>
    <w:div w:id="1659072290">
      <w:bodyDiv w:val="1"/>
      <w:marLeft w:val="0"/>
      <w:marRight w:val="0"/>
      <w:marTop w:val="0"/>
      <w:marBottom w:val="0"/>
      <w:divBdr>
        <w:top w:val="none" w:sz="0" w:space="0" w:color="auto"/>
        <w:left w:val="none" w:sz="0" w:space="0" w:color="auto"/>
        <w:bottom w:val="none" w:sz="0" w:space="0" w:color="auto"/>
        <w:right w:val="none" w:sz="0" w:space="0" w:color="auto"/>
      </w:divBdr>
    </w:div>
    <w:div w:id="1662150490">
      <w:bodyDiv w:val="1"/>
      <w:marLeft w:val="0"/>
      <w:marRight w:val="0"/>
      <w:marTop w:val="0"/>
      <w:marBottom w:val="0"/>
      <w:divBdr>
        <w:top w:val="none" w:sz="0" w:space="0" w:color="auto"/>
        <w:left w:val="none" w:sz="0" w:space="0" w:color="auto"/>
        <w:bottom w:val="none" w:sz="0" w:space="0" w:color="auto"/>
        <w:right w:val="none" w:sz="0" w:space="0" w:color="auto"/>
      </w:divBdr>
    </w:div>
    <w:div w:id="1669400713">
      <w:bodyDiv w:val="1"/>
      <w:marLeft w:val="0"/>
      <w:marRight w:val="0"/>
      <w:marTop w:val="0"/>
      <w:marBottom w:val="0"/>
      <w:divBdr>
        <w:top w:val="none" w:sz="0" w:space="0" w:color="auto"/>
        <w:left w:val="none" w:sz="0" w:space="0" w:color="auto"/>
        <w:bottom w:val="none" w:sz="0" w:space="0" w:color="auto"/>
        <w:right w:val="none" w:sz="0" w:space="0" w:color="auto"/>
      </w:divBdr>
    </w:div>
    <w:div w:id="1671911993">
      <w:bodyDiv w:val="1"/>
      <w:marLeft w:val="0"/>
      <w:marRight w:val="0"/>
      <w:marTop w:val="0"/>
      <w:marBottom w:val="0"/>
      <w:divBdr>
        <w:top w:val="none" w:sz="0" w:space="0" w:color="auto"/>
        <w:left w:val="none" w:sz="0" w:space="0" w:color="auto"/>
        <w:bottom w:val="none" w:sz="0" w:space="0" w:color="auto"/>
        <w:right w:val="none" w:sz="0" w:space="0" w:color="auto"/>
      </w:divBdr>
    </w:div>
    <w:div w:id="1673332122">
      <w:bodyDiv w:val="1"/>
      <w:marLeft w:val="0"/>
      <w:marRight w:val="0"/>
      <w:marTop w:val="0"/>
      <w:marBottom w:val="0"/>
      <w:divBdr>
        <w:top w:val="none" w:sz="0" w:space="0" w:color="auto"/>
        <w:left w:val="none" w:sz="0" w:space="0" w:color="auto"/>
        <w:bottom w:val="none" w:sz="0" w:space="0" w:color="auto"/>
        <w:right w:val="none" w:sz="0" w:space="0" w:color="auto"/>
      </w:divBdr>
    </w:div>
    <w:div w:id="1674259561">
      <w:bodyDiv w:val="1"/>
      <w:marLeft w:val="0"/>
      <w:marRight w:val="0"/>
      <w:marTop w:val="0"/>
      <w:marBottom w:val="0"/>
      <w:divBdr>
        <w:top w:val="none" w:sz="0" w:space="0" w:color="auto"/>
        <w:left w:val="none" w:sz="0" w:space="0" w:color="auto"/>
        <w:bottom w:val="none" w:sz="0" w:space="0" w:color="auto"/>
        <w:right w:val="none" w:sz="0" w:space="0" w:color="auto"/>
      </w:divBdr>
    </w:div>
    <w:div w:id="1686786118">
      <w:bodyDiv w:val="1"/>
      <w:marLeft w:val="0"/>
      <w:marRight w:val="0"/>
      <w:marTop w:val="0"/>
      <w:marBottom w:val="0"/>
      <w:divBdr>
        <w:top w:val="none" w:sz="0" w:space="0" w:color="auto"/>
        <w:left w:val="none" w:sz="0" w:space="0" w:color="auto"/>
        <w:bottom w:val="none" w:sz="0" w:space="0" w:color="auto"/>
        <w:right w:val="none" w:sz="0" w:space="0" w:color="auto"/>
      </w:divBdr>
    </w:div>
    <w:div w:id="1686905192">
      <w:bodyDiv w:val="1"/>
      <w:marLeft w:val="0"/>
      <w:marRight w:val="0"/>
      <w:marTop w:val="0"/>
      <w:marBottom w:val="0"/>
      <w:divBdr>
        <w:top w:val="none" w:sz="0" w:space="0" w:color="auto"/>
        <w:left w:val="none" w:sz="0" w:space="0" w:color="auto"/>
        <w:bottom w:val="none" w:sz="0" w:space="0" w:color="auto"/>
        <w:right w:val="none" w:sz="0" w:space="0" w:color="auto"/>
      </w:divBdr>
    </w:div>
    <w:div w:id="1696686006">
      <w:bodyDiv w:val="1"/>
      <w:marLeft w:val="0"/>
      <w:marRight w:val="0"/>
      <w:marTop w:val="0"/>
      <w:marBottom w:val="0"/>
      <w:divBdr>
        <w:top w:val="none" w:sz="0" w:space="0" w:color="auto"/>
        <w:left w:val="none" w:sz="0" w:space="0" w:color="auto"/>
        <w:bottom w:val="none" w:sz="0" w:space="0" w:color="auto"/>
        <w:right w:val="none" w:sz="0" w:space="0" w:color="auto"/>
      </w:divBdr>
    </w:div>
    <w:div w:id="1700089005">
      <w:bodyDiv w:val="1"/>
      <w:marLeft w:val="0"/>
      <w:marRight w:val="0"/>
      <w:marTop w:val="0"/>
      <w:marBottom w:val="0"/>
      <w:divBdr>
        <w:top w:val="none" w:sz="0" w:space="0" w:color="auto"/>
        <w:left w:val="none" w:sz="0" w:space="0" w:color="auto"/>
        <w:bottom w:val="none" w:sz="0" w:space="0" w:color="auto"/>
        <w:right w:val="none" w:sz="0" w:space="0" w:color="auto"/>
      </w:divBdr>
    </w:div>
    <w:div w:id="1702239904">
      <w:bodyDiv w:val="1"/>
      <w:marLeft w:val="0"/>
      <w:marRight w:val="0"/>
      <w:marTop w:val="0"/>
      <w:marBottom w:val="0"/>
      <w:divBdr>
        <w:top w:val="none" w:sz="0" w:space="0" w:color="auto"/>
        <w:left w:val="none" w:sz="0" w:space="0" w:color="auto"/>
        <w:bottom w:val="none" w:sz="0" w:space="0" w:color="auto"/>
        <w:right w:val="none" w:sz="0" w:space="0" w:color="auto"/>
      </w:divBdr>
    </w:div>
    <w:div w:id="1703362413">
      <w:bodyDiv w:val="1"/>
      <w:marLeft w:val="0"/>
      <w:marRight w:val="0"/>
      <w:marTop w:val="0"/>
      <w:marBottom w:val="0"/>
      <w:divBdr>
        <w:top w:val="none" w:sz="0" w:space="0" w:color="auto"/>
        <w:left w:val="none" w:sz="0" w:space="0" w:color="auto"/>
        <w:bottom w:val="none" w:sz="0" w:space="0" w:color="auto"/>
        <w:right w:val="none" w:sz="0" w:space="0" w:color="auto"/>
      </w:divBdr>
    </w:div>
    <w:div w:id="1703506690">
      <w:bodyDiv w:val="1"/>
      <w:marLeft w:val="0"/>
      <w:marRight w:val="0"/>
      <w:marTop w:val="0"/>
      <w:marBottom w:val="0"/>
      <w:divBdr>
        <w:top w:val="none" w:sz="0" w:space="0" w:color="auto"/>
        <w:left w:val="none" w:sz="0" w:space="0" w:color="auto"/>
        <w:bottom w:val="none" w:sz="0" w:space="0" w:color="auto"/>
        <w:right w:val="none" w:sz="0" w:space="0" w:color="auto"/>
      </w:divBdr>
    </w:div>
    <w:div w:id="1719009638">
      <w:bodyDiv w:val="1"/>
      <w:marLeft w:val="0"/>
      <w:marRight w:val="0"/>
      <w:marTop w:val="0"/>
      <w:marBottom w:val="0"/>
      <w:divBdr>
        <w:top w:val="none" w:sz="0" w:space="0" w:color="auto"/>
        <w:left w:val="none" w:sz="0" w:space="0" w:color="auto"/>
        <w:bottom w:val="none" w:sz="0" w:space="0" w:color="auto"/>
        <w:right w:val="none" w:sz="0" w:space="0" w:color="auto"/>
      </w:divBdr>
    </w:div>
    <w:div w:id="1719471448">
      <w:bodyDiv w:val="1"/>
      <w:marLeft w:val="0"/>
      <w:marRight w:val="0"/>
      <w:marTop w:val="0"/>
      <w:marBottom w:val="0"/>
      <w:divBdr>
        <w:top w:val="none" w:sz="0" w:space="0" w:color="auto"/>
        <w:left w:val="none" w:sz="0" w:space="0" w:color="auto"/>
        <w:bottom w:val="none" w:sz="0" w:space="0" w:color="auto"/>
        <w:right w:val="none" w:sz="0" w:space="0" w:color="auto"/>
      </w:divBdr>
    </w:div>
    <w:div w:id="1719477642">
      <w:bodyDiv w:val="1"/>
      <w:marLeft w:val="0"/>
      <w:marRight w:val="0"/>
      <w:marTop w:val="0"/>
      <w:marBottom w:val="0"/>
      <w:divBdr>
        <w:top w:val="none" w:sz="0" w:space="0" w:color="auto"/>
        <w:left w:val="none" w:sz="0" w:space="0" w:color="auto"/>
        <w:bottom w:val="none" w:sz="0" w:space="0" w:color="auto"/>
        <w:right w:val="none" w:sz="0" w:space="0" w:color="auto"/>
      </w:divBdr>
    </w:div>
    <w:div w:id="1719695707">
      <w:bodyDiv w:val="1"/>
      <w:marLeft w:val="0"/>
      <w:marRight w:val="0"/>
      <w:marTop w:val="0"/>
      <w:marBottom w:val="0"/>
      <w:divBdr>
        <w:top w:val="none" w:sz="0" w:space="0" w:color="auto"/>
        <w:left w:val="none" w:sz="0" w:space="0" w:color="auto"/>
        <w:bottom w:val="none" w:sz="0" w:space="0" w:color="auto"/>
        <w:right w:val="none" w:sz="0" w:space="0" w:color="auto"/>
      </w:divBdr>
    </w:div>
    <w:div w:id="1720935557">
      <w:bodyDiv w:val="1"/>
      <w:marLeft w:val="0"/>
      <w:marRight w:val="0"/>
      <w:marTop w:val="0"/>
      <w:marBottom w:val="0"/>
      <w:divBdr>
        <w:top w:val="none" w:sz="0" w:space="0" w:color="auto"/>
        <w:left w:val="none" w:sz="0" w:space="0" w:color="auto"/>
        <w:bottom w:val="none" w:sz="0" w:space="0" w:color="auto"/>
        <w:right w:val="none" w:sz="0" w:space="0" w:color="auto"/>
      </w:divBdr>
    </w:div>
    <w:div w:id="1724326602">
      <w:bodyDiv w:val="1"/>
      <w:marLeft w:val="0"/>
      <w:marRight w:val="0"/>
      <w:marTop w:val="0"/>
      <w:marBottom w:val="0"/>
      <w:divBdr>
        <w:top w:val="none" w:sz="0" w:space="0" w:color="auto"/>
        <w:left w:val="none" w:sz="0" w:space="0" w:color="auto"/>
        <w:bottom w:val="none" w:sz="0" w:space="0" w:color="auto"/>
        <w:right w:val="none" w:sz="0" w:space="0" w:color="auto"/>
      </w:divBdr>
    </w:div>
    <w:div w:id="1734423006">
      <w:bodyDiv w:val="1"/>
      <w:marLeft w:val="0"/>
      <w:marRight w:val="0"/>
      <w:marTop w:val="0"/>
      <w:marBottom w:val="0"/>
      <w:divBdr>
        <w:top w:val="none" w:sz="0" w:space="0" w:color="auto"/>
        <w:left w:val="none" w:sz="0" w:space="0" w:color="auto"/>
        <w:bottom w:val="none" w:sz="0" w:space="0" w:color="auto"/>
        <w:right w:val="none" w:sz="0" w:space="0" w:color="auto"/>
      </w:divBdr>
    </w:div>
    <w:div w:id="1739984894">
      <w:bodyDiv w:val="1"/>
      <w:marLeft w:val="0"/>
      <w:marRight w:val="0"/>
      <w:marTop w:val="0"/>
      <w:marBottom w:val="0"/>
      <w:divBdr>
        <w:top w:val="none" w:sz="0" w:space="0" w:color="auto"/>
        <w:left w:val="none" w:sz="0" w:space="0" w:color="auto"/>
        <w:bottom w:val="none" w:sz="0" w:space="0" w:color="auto"/>
        <w:right w:val="none" w:sz="0" w:space="0" w:color="auto"/>
      </w:divBdr>
    </w:div>
    <w:div w:id="1744259585">
      <w:bodyDiv w:val="1"/>
      <w:marLeft w:val="0"/>
      <w:marRight w:val="0"/>
      <w:marTop w:val="0"/>
      <w:marBottom w:val="0"/>
      <w:divBdr>
        <w:top w:val="none" w:sz="0" w:space="0" w:color="auto"/>
        <w:left w:val="none" w:sz="0" w:space="0" w:color="auto"/>
        <w:bottom w:val="none" w:sz="0" w:space="0" w:color="auto"/>
        <w:right w:val="none" w:sz="0" w:space="0" w:color="auto"/>
      </w:divBdr>
    </w:div>
    <w:div w:id="1745761302">
      <w:bodyDiv w:val="1"/>
      <w:marLeft w:val="0"/>
      <w:marRight w:val="0"/>
      <w:marTop w:val="0"/>
      <w:marBottom w:val="0"/>
      <w:divBdr>
        <w:top w:val="none" w:sz="0" w:space="0" w:color="auto"/>
        <w:left w:val="none" w:sz="0" w:space="0" w:color="auto"/>
        <w:bottom w:val="none" w:sz="0" w:space="0" w:color="auto"/>
        <w:right w:val="none" w:sz="0" w:space="0" w:color="auto"/>
      </w:divBdr>
    </w:div>
    <w:div w:id="1752577525">
      <w:bodyDiv w:val="1"/>
      <w:marLeft w:val="0"/>
      <w:marRight w:val="0"/>
      <w:marTop w:val="0"/>
      <w:marBottom w:val="0"/>
      <w:divBdr>
        <w:top w:val="none" w:sz="0" w:space="0" w:color="auto"/>
        <w:left w:val="none" w:sz="0" w:space="0" w:color="auto"/>
        <w:bottom w:val="none" w:sz="0" w:space="0" w:color="auto"/>
        <w:right w:val="none" w:sz="0" w:space="0" w:color="auto"/>
      </w:divBdr>
    </w:div>
    <w:div w:id="1753306955">
      <w:bodyDiv w:val="1"/>
      <w:marLeft w:val="0"/>
      <w:marRight w:val="0"/>
      <w:marTop w:val="0"/>
      <w:marBottom w:val="0"/>
      <w:divBdr>
        <w:top w:val="none" w:sz="0" w:space="0" w:color="auto"/>
        <w:left w:val="none" w:sz="0" w:space="0" w:color="auto"/>
        <w:bottom w:val="none" w:sz="0" w:space="0" w:color="auto"/>
        <w:right w:val="none" w:sz="0" w:space="0" w:color="auto"/>
      </w:divBdr>
    </w:div>
    <w:div w:id="1757630102">
      <w:bodyDiv w:val="1"/>
      <w:marLeft w:val="0"/>
      <w:marRight w:val="0"/>
      <w:marTop w:val="0"/>
      <w:marBottom w:val="0"/>
      <w:divBdr>
        <w:top w:val="none" w:sz="0" w:space="0" w:color="auto"/>
        <w:left w:val="none" w:sz="0" w:space="0" w:color="auto"/>
        <w:bottom w:val="none" w:sz="0" w:space="0" w:color="auto"/>
        <w:right w:val="none" w:sz="0" w:space="0" w:color="auto"/>
      </w:divBdr>
    </w:div>
    <w:div w:id="1768383619">
      <w:bodyDiv w:val="1"/>
      <w:marLeft w:val="0"/>
      <w:marRight w:val="0"/>
      <w:marTop w:val="0"/>
      <w:marBottom w:val="0"/>
      <w:divBdr>
        <w:top w:val="none" w:sz="0" w:space="0" w:color="auto"/>
        <w:left w:val="none" w:sz="0" w:space="0" w:color="auto"/>
        <w:bottom w:val="none" w:sz="0" w:space="0" w:color="auto"/>
        <w:right w:val="none" w:sz="0" w:space="0" w:color="auto"/>
      </w:divBdr>
    </w:div>
    <w:div w:id="1778483005">
      <w:bodyDiv w:val="1"/>
      <w:marLeft w:val="0"/>
      <w:marRight w:val="0"/>
      <w:marTop w:val="0"/>
      <w:marBottom w:val="0"/>
      <w:divBdr>
        <w:top w:val="none" w:sz="0" w:space="0" w:color="auto"/>
        <w:left w:val="none" w:sz="0" w:space="0" w:color="auto"/>
        <w:bottom w:val="none" w:sz="0" w:space="0" w:color="auto"/>
        <w:right w:val="none" w:sz="0" w:space="0" w:color="auto"/>
      </w:divBdr>
    </w:div>
    <w:div w:id="1782603028">
      <w:bodyDiv w:val="1"/>
      <w:marLeft w:val="0"/>
      <w:marRight w:val="0"/>
      <w:marTop w:val="0"/>
      <w:marBottom w:val="0"/>
      <w:divBdr>
        <w:top w:val="none" w:sz="0" w:space="0" w:color="auto"/>
        <w:left w:val="none" w:sz="0" w:space="0" w:color="auto"/>
        <w:bottom w:val="none" w:sz="0" w:space="0" w:color="auto"/>
        <w:right w:val="none" w:sz="0" w:space="0" w:color="auto"/>
      </w:divBdr>
    </w:div>
    <w:div w:id="1784962554">
      <w:bodyDiv w:val="1"/>
      <w:marLeft w:val="0"/>
      <w:marRight w:val="0"/>
      <w:marTop w:val="0"/>
      <w:marBottom w:val="0"/>
      <w:divBdr>
        <w:top w:val="none" w:sz="0" w:space="0" w:color="auto"/>
        <w:left w:val="none" w:sz="0" w:space="0" w:color="auto"/>
        <w:bottom w:val="none" w:sz="0" w:space="0" w:color="auto"/>
        <w:right w:val="none" w:sz="0" w:space="0" w:color="auto"/>
      </w:divBdr>
    </w:div>
    <w:div w:id="1794712797">
      <w:bodyDiv w:val="1"/>
      <w:marLeft w:val="0"/>
      <w:marRight w:val="0"/>
      <w:marTop w:val="0"/>
      <w:marBottom w:val="0"/>
      <w:divBdr>
        <w:top w:val="none" w:sz="0" w:space="0" w:color="auto"/>
        <w:left w:val="none" w:sz="0" w:space="0" w:color="auto"/>
        <w:bottom w:val="none" w:sz="0" w:space="0" w:color="auto"/>
        <w:right w:val="none" w:sz="0" w:space="0" w:color="auto"/>
      </w:divBdr>
    </w:div>
    <w:div w:id="1809544145">
      <w:bodyDiv w:val="1"/>
      <w:marLeft w:val="0"/>
      <w:marRight w:val="0"/>
      <w:marTop w:val="0"/>
      <w:marBottom w:val="0"/>
      <w:divBdr>
        <w:top w:val="none" w:sz="0" w:space="0" w:color="auto"/>
        <w:left w:val="none" w:sz="0" w:space="0" w:color="auto"/>
        <w:bottom w:val="none" w:sz="0" w:space="0" w:color="auto"/>
        <w:right w:val="none" w:sz="0" w:space="0" w:color="auto"/>
      </w:divBdr>
    </w:div>
    <w:div w:id="1816292515">
      <w:bodyDiv w:val="1"/>
      <w:marLeft w:val="0"/>
      <w:marRight w:val="0"/>
      <w:marTop w:val="0"/>
      <w:marBottom w:val="0"/>
      <w:divBdr>
        <w:top w:val="none" w:sz="0" w:space="0" w:color="auto"/>
        <w:left w:val="none" w:sz="0" w:space="0" w:color="auto"/>
        <w:bottom w:val="none" w:sz="0" w:space="0" w:color="auto"/>
        <w:right w:val="none" w:sz="0" w:space="0" w:color="auto"/>
      </w:divBdr>
    </w:div>
    <w:div w:id="1818767223">
      <w:bodyDiv w:val="1"/>
      <w:marLeft w:val="0"/>
      <w:marRight w:val="0"/>
      <w:marTop w:val="0"/>
      <w:marBottom w:val="0"/>
      <w:divBdr>
        <w:top w:val="none" w:sz="0" w:space="0" w:color="auto"/>
        <w:left w:val="none" w:sz="0" w:space="0" w:color="auto"/>
        <w:bottom w:val="none" w:sz="0" w:space="0" w:color="auto"/>
        <w:right w:val="none" w:sz="0" w:space="0" w:color="auto"/>
      </w:divBdr>
    </w:div>
    <w:div w:id="1825660094">
      <w:bodyDiv w:val="1"/>
      <w:marLeft w:val="0"/>
      <w:marRight w:val="0"/>
      <w:marTop w:val="0"/>
      <w:marBottom w:val="0"/>
      <w:divBdr>
        <w:top w:val="none" w:sz="0" w:space="0" w:color="auto"/>
        <w:left w:val="none" w:sz="0" w:space="0" w:color="auto"/>
        <w:bottom w:val="none" w:sz="0" w:space="0" w:color="auto"/>
        <w:right w:val="none" w:sz="0" w:space="0" w:color="auto"/>
      </w:divBdr>
    </w:div>
    <w:div w:id="1825664002">
      <w:bodyDiv w:val="1"/>
      <w:marLeft w:val="0"/>
      <w:marRight w:val="0"/>
      <w:marTop w:val="0"/>
      <w:marBottom w:val="0"/>
      <w:divBdr>
        <w:top w:val="none" w:sz="0" w:space="0" w:color="auto"/>
        <w:left w:val="none" w:sz="0" w:space="0" w:color="auto"/>
        <w:bottom w:val="none" w:sz="0" w:space="0" w:color="auto"/>
        <w:right w:val="none" w:sz="0" w:space="0" w:color="auto"/>
      </w:divBdr>
    </w:div>
    <w:div w:id="1831824635">
      <w:bodyDiv w:val="1"/>
      <w:marLeft w:val="0"/>
      <w:marRight w:val="0"/>
      <w:marTop w:val="0"/>
      <w:marBottom w:val="0"/>
      <w:divBdr>
        <w:top w:val="none" w:sz="0" w:space="0" w:color="auto"/>
        <w:left w:val="none" w:sz="0" w:space="0" w:color="auto"/>
        <w:bottom w:val="none" w:sz="0" w:space="0" w:color="auto"/>
        <w:right w:val="none" w:sz="0" w:space="0" w:color="auto"/>
      </w:divBdr>
    </w:div>
    <w:div w:id="1838226932">
      <w:bodyDiv w:val="1"/>
      <w:marLeft w:val="0"/>
      <w:marRight w:val="0"/>
      <w:marTop w:val="0"/>
      <w:marBottom w:val="0"/>
      <w:divBdr>
        <w:top w:val="none" w:sz="0" w:space="0" w:color="auto"/>
        <w:left w:val="none" w:sz="0" w:space="0" w:color="auto"/>
        <w:bottom w:val="none" w:sz="0" w:space="0" w:color="auto"/>
        <w:right w:val="none" w:sz="0" w:space="0" w:color="auto"/>
      </w:divBdr>
    </w:div>
    <w:div w:id="1840077398">
      <w:bodyDiv w:val="1"/>
      <w:marLeft w:val="0"/>
      <w:marRight w:val="0"/>
      <w:marTop w:val="0"/>
      <w:marBottom w:val="0"/>
      <w:divBdr>
        <w:top w:val="none" w:sz="0" w:space="0" w:color="auto"/>
        <w:left w:val="none" w:sz="0" w:space="0" w:color="auto"/>
        <w:bottom w:val="none" w:sz="0" w:space="0" w:color="auto"/>
        <w:right w:val="none" w:sz="0" w:space="0" w:color="auto"/>
      </w:divBdr>
    </w:div>
    <w:div w:id="1844513465">
      <w:bodyDiv w:val="1"/>
      <w:marLeft w:val="0"/>
      <w:marRight w:val="0"/>
      <w:marTop w:val="0"/>
      <w:marBottom w:val="0"/>
      <w:divBdr>
        <w:top w:val="none" w:sz="0" w:space="0" w:color="auto"/>
        <w:left w:val="none" w:sz="0" w:space="0" w:color="auto"/>
        <w:bottom w:val="none" w:sz="0" w:space="0" w:color="auto"/>
        <w:right w:val="none" w:sz="0" w:space="0" w:color="auto"/>
      </w:divBdr>
    </w:div>
    <w:div w:id="1845171246">
      <w:bodyDiv w:val="1"/>
      <w:marLeft w:val="0"/>
      <w:marRight w:val="0"/>
      <w:marTop w:val="0"/>
      <w:marBottom w:val="0"/>
      <w:divBdr>
        <w:top w:val="none" w:sz="0" w:space="0" w:color="auto"/>
        <w:left w:val="none" w:sz="0" w:space="0" w:color="auto"/>
        <w:bottom w:val="none" w:sz="0" w:space="0" w:color="auto"/>
        <w:right w:val="none" w:sz="0" w:space="0" w:color="auto"/>
      </w:divBdr>
    </w:div>
    <w:div w:id="1854950608">
      <w:bodyDiv w:val="1"/>
      <w:marLeft w:val="0"/>
      <w:marRight w:val="0"/>
      <w:marTop w:val="0"/>
      <w:marBottom w:val="0"/>
      <w:divBdr>
        <w:top w:val="none" w:sz="0" w:space="0" w:color="auto"/>
        <w:left w:val="none" w:sz="0" w:space="0" w:color="auto"/>
        <w:bottom w:val="none" w:sz="0" w:space="0" w:color="auto"/>
        <w:right w:val="none" w:sz="0" w:space="0" w:color="auto"/>
      </w:divBdr>
    </w:div>
    <w:div w:id="1857301741">
      <w:bodyDiv w:val="1"/>
      <w:marLeft w:val="0"/>
      <w:marRight w:val="0"/>
      <w:marTop w:val="0"/>
      <w:marBottom w:val="0"/>
      <w:divBdr>
        <w:top w:val="none" w:sz="0" w:space="0" w:color="auto"/>
        <w:left w:val="none" w:sz="0" w:space="0" w:color="auto"/>
        <w:bottom w:val="none" w:sz="0" w:space="0" w:color="auto"/>
        <w:right w:val="none" w:sz="0" w:space="0" w:color="auto"/>
      </w:divBdr>
    </w:div>
    <w:div w:id="1857695444">
      <w:bodyDiv w:val="1"/>
      <w:marLeft w:val="0"/>
      <w:marRight w:val="0"/>
      <w:marTop w:val="0"/>
      <w:marBottom w:val="0"/>
      <w:divBdr>
        <w:top w:val="none" w:sz="0" w:space="0" w:color="auto"/>
        <w:left w:val="none" w:sz="0" w:space="0" w:color="auto"/>
        <w:bottom w:val="none" w:sz="0" w:space="0" w:color="auto"/>
        <w:right w:val="none" w:sz="0" w:space="0" w:color="auto"/>
      </w:divBdr>
    </w:div>
    <w:div w:id="1862544078">
      <w:bodyDiv w:val="1"/>
      <w:marLeft w:val="0"/>
      <w:marRight w:val="0"/>
      <w:marTop w:val="0"/>
      <w:marBottom w:val="0"/>
      <w:divBdr>
        <w:top w:val="none" w:sz="0" w:space="0" w:color="auto"/>
        <w:left w:val="none" w:sz="0" w:space="0" w:color="auto"/>
        <w:bottom w:val="none" w:sz="0" w:space="0" w:color="auto"/>
        <w:right w:val="none" w:sz="0" w:space="0" w:color="auto"/>
      </w:divBdr>
    </w:div>
    <w:div w:id="1865904953">
      <w:bodyDiv w:val="1"/>
      <w:marLeft w:val="0"/>
      <w:marRight w:val="0"/>
      <w:marTop w:val="0"/>
      <w:marBottom w:val="0"/>
      <w:divBdr>
        <w:top w:val="none" w:sz="0" w:space="0" w:color="auto"/>
        <w:left w:val="none" w:sz="0" w:space="0" w:color="auto"/>
        <w:bottom w:val="none" w:sz="0" w:space="0" w:color="auto"/>
        <w:right w:val="none" w:sz="0" w:space="0" w:color="auto"/>
      </w:divBdr>
    </w:div>
    <w:div w:id="1869678559">
      <w:bodyDiv w:val="1"/>
      <w:marLeft w:val="0"/>
      <w:marRight w:val="0"/>
      <w:marTop w:val="0"/>
      <w:marBottom w:val="0"/>
      <w:divBdr>
        <w:top w:val="none" w:sz="0" w:space="0" w:color="auto"/>
        <w:left w:val="none" w:sz="0" w:space="0" w:color="auto"/>
        <w:bottom w:val="none" w:sz="0" w:space="0" w:color="auto"/>
        <w:right w:val="none" w:sz="0" w:space="0" w:color="auto"/>
      </w:divBdr>
    </w:div>
    <w:div w:id="1875539848">
      <w:bodyDiv w:val="1"/>
      <w:marLeft w:val="0"/>
      <w:marRight w:val="0"/>
      <w:marTop w:val="0"/>
      <w:marBottom w:val="0"/>
      <w:divBdr>
        <w:top w:val="none" w:sz="0" w:space="0" w:color="auto"/>
        <w:left w:val="none" w:sz="0" w:space="0" w:color="auto"/>
        <w:bottom w:val="none" w:sz="0" w:space="0" w:color="auto"/>
        <w:right w:val="none" w:sz="0" w:space="0" w:color="auto"/>
      </w:divBdr>
    </w:div>
    <w:div w:id="1878275331">
      <w:bodyDiv w:val="1"/>
      <w:marLeft w:val="0"/>
      <w:marRight w:val="0"/>
      <w:marTop w:val="0"/>
      <w:marBottom w:val="0"/>
      <w:divBdr>
        <w:top w:val="none" w:sz="0" w:space="0" w:color="auto"/>
        <w:left w:val="none" w:sz="0" w:space="0" w:color="auto"/>
        <w:bottom w:val="none" w:sz="0" w:space="0" w:color="auto"/>
        <w:right w:val="none" w:sz="0" w:space="0" w:color="auto"/>
      </w:divBdr>
    </w:div>
    <w:div w:id="1881015837">
      <w:bodyDiv w:val="1"/>
      <w:marLeft w:val="0"/>
      <w:marRight w:val="0"/>
      <w:marTop w:val="0"/>
      <w:marBottom w:val="0"/>
      <w:divBdr>
        <w:top w:val="none" w:sz="0" w:space="0" w:color="auto"/>
        <w:left w:val="none" w:sz="0" w:space="0" w:color="auto"/>
        <w:bottom w:val="none" w:sz="0" w:space="0" w:color="auto"/>
        <w:right w:val="none" w:sz="0" w:space="0" w:color="auto"/>
      </w:divBdr>
    </w:div>
    <w:div w:id="1888299518">
      <w:bodyDiv w:val="1"/>
      <w:marLeft w:val="0"/>
      <w:marRight w:val="0"/>
      <w:marTop w:val="0"/>
      <w:marBottom w:val="0"/>
      <w:divBdr>
        <w:top w:val="none" w:sz="0" w:space="0" w:color="auto"/>
        <w:left w:val="none" w:sz="0" w:space="0" w:color="auto"/>
        <w:bottom w:val="none" w:sz="0" w:space="0" w:color="auto"/>
        <w:right w:val="none" w:sz="0" w:space="0" w:color="auto"/>
      </w:divBdr>
    </w:div>
    <w:div w:id="1889143702">
      <w:bodyDiv w:val="1"/>
      <w:marLeft w:val="0"/>
      <w:marRight w:val="0"/>
      <w:marTop w:val="0"/>
      <w:marBottom w:val="0"/>
      <w:divBdr>
        <w:top w:val="none" w:sz="0" w:space="0" w:color="auto"/>
        <w:left w:val="none" w:sz="0" w:space="0" w:color="auto"/>
        <w:bottom w:val="none" w:sz="0" w:space="0" w:color="auto"/>
        <w:right w:val="none" w:sz="0" w:space="0" w:color="auto"/>
      </w:divBdr>
    </w:div>
    <w:div w:id="1889683228">
      <w:bodyDiv w:val="1"/>
      <w:marLeft w:val="0"/>
      <w:marRight w:val="0"/>
      <w:marTop w:val="0"/>
      <w:marBottom w:val="0"/>
      <w:divBdr>
        <w:top w:val="none" w:sz="0" w:space="0" w:color="auto"/>
        <w:left w:val="none" w:sz="0" w:space="0" w:color="auto"/>
        <w:bottom w:val="none" w:sz="0" w:space="0" w:color="auto"/>
        <w:right w:val="none" w:sz="0" w:space="0" w:color="auto"/>
      </w:divBdr>
    </w:div>
    <w:div w:id="1890526853">
      <w:bodyDiv w:val="1"/>
      <w:marLeft w:val="0"/>
      <w:marRight w:val="0"/>
      <w:marTop w:val="0"/>
      <w:marBottom w:val="0"/>
      <w:divBdr>
        <w:top w:val="none" w:sz="0" w:space="0" w:color="auto"/>
        <w:left w:val="none" w:sz="0" w:space="0" w:color="auto"/>
        <w:bottom w:val="none" w:sz="0" w:space="0" w:color="auto"/>
        <w:right w:val="none" w:sz="0" w:space="0" w:color="auto"/>
      </w:divBdr>
    </w:div>
    <w:div w:id="1892113840">
      <w:bodyDiv w:val="1"/>
      <w:marLeft w:val="0"/>
      <w:marRight w:val="0"/>
      <w:marTop w:val="0"/>
      <w:marBottom w:val="0"/>
      <w:divBdr>
        <w:top w:val="none" w:sz="0" w:space="0" w:color="auto"/>
        <w:left w:val="none" w:sz="0" w:space="0" w:color="auto"/>
        <w:bottom w:val="none" w:sz="0" w:space="0" w:color="auto"/>
        <w:right w:val="none" w:sz="0" w:space="0" w:color="auto"/>
      </w:divBdr>
    </w:div>
    <w:div w:id="1894385887">
      <w:bodyDiv w:val="1"/>
      <w:marLeft w:val="0"/>
      <w:marRight w:val="0"/>
      <w:marTop w:val="0"/>
      <w:marBottom w:val="0"/>
      <w:divBdr>
        <w:top w:val="none" w:sz="0" w:space="0" w:color="auto"/>
        <w:left w:val="none" w:sz="0" w:space="0" w:color="auto"/>
        <w:bottom w:val="none" w:sz="0" w:space="0" w:color="auto"/>
        <w:right w:val="none" w:sz="0" w:space="0" w:color="auto"/>
      </w:divBdr>
    </w:div>
    <w:div w:id="1895315441">
      <w:bodyDiv w:val="1"/>
      <w:marLeft w:val="0"/>
      <w:marRight w:val="0"/>
      <w:marTop w:val="0"/>
      <w:marBottom w:val="0"/>
      <w:divBdr>
        <w:top w:val="none" w:sz="0" w:space="0" w:color="auto"/>
        <w:left w:val="none" w:sz="0" w:space="0" w:color="auto"/>
        <w:bottom w:val="none" w:sz="0" w:space="0" w:color="auto"/>
        <w:right w:val="none" w:sz="0" w:space="0" w:color="auto"/>
      </w:divBdr>
    </w:div>
    <w:div w:id="1898055084">
      <w:bodyDiv w:val="1"/>
      <w:marLeft w:val="0"/>
      <w:marRight w:val="0"/>
      <w:marTop w:val="0"/>
      <w:marBottom w:val="0"/>
      <w:divBdr>
        <w:top w:val="none" w:sz="0" w:space="0" w:color="auto"/>
        <w:left w:val="none" w:sz="0" w:space="0" w:color="auto"/>
        <w:bottom w:val="none" w:sz="0" w:space="0" w:color="auto"/>
        <w:right w:val="none" w:sz="0" w:space="0" w:color="auto"/>
      </w:divBdr>
    </w:div>
    <w:div w:id="1906838285">
      <w:bodyDiv w:val="1"/>
      <w:marLeft w:val="0"/>
      <w:marRight w:val="0"/>
      <w:marTop w:val="0"/>
      <w:marBottom w:val="0"/>
      <w:divBdr>
        <w:top w:val="none" w:sz="0" w:space="0" w:color="auto"/>
        <w:left w:val="none" w:sz="0" w:space="0" w:color="auto"/>
        <w:bottom w:val="none" w:sz="0" w:space="0" w:color="auto"/>
        <w:right w:val="none" w:sz="0" w:space="0" w:color="auto"/>
      </w:divBdr>
    </w:div>
    <w:div w:id="1906990311">
      <w:bodyDiv w:val="1"/>
      <w:marLeft w:val="0"/>
      <w:marRight w:val="0"/>
      <w:marTop w:val="0"/>
      <w:marBottom w:val="0"/>
      <w:divBdr>
        <w:top w:val="none" w:sz="0" w:space="0" w:color="auto"/>
        <w:left w:val="none" w:sz="0" w:space="0" w:color="auto"/>
        <w:bottom w:val="none" w:sz="0" w:space="0" w:color="auto"/>
        <w:right w:val="none" w:sz="0" w:space="0" w:color="auto"/>
      </w:divBdr>
    </w:div>
    <w:div w:id="1919947629">
      <w:bodyDiv w:val="1"/>
      <w:marLeft w:val="0"/>
      <w:marRight w:val="0"/>
      <w:marTop w:val="0"/>
      <w:marBottom w:val="0"/>
      <w:divBdr>
        <w:top w:val="none" w:sz="0" w:space="0" w:color="auto"/>
        <w:left w:val="none" w:sz="0" w:space="0" w:color="auto"/>
        <w:bottom w:val="none" w:sz="0" w:space="0" w:color="auto"/>
        <w:right w:val="none" w:sz="0" w:space="0" w:color="auto"/>
      </w:divBdr>
    </w:div>
    <w:div w:id="1936402780">
      <w:bodyDiv w:val="1"/>
      <w:marLeft w:val="0"/>
      <w:marRight w:val="0"/>
      <w:marTop w:val="0"/>
      <w:marBottom w:val="0"/>
      <w:divBdr>
        <w:top w:val="none" w:sz="0" w:space="0" w:color="auto"/>
        <w:left w:val="none" w:sz="0" w:space="0" w:color="auto"/>
        <w:bottom w:val="none" w:sz="0" w:space="0" w:color="auto"/>
        <w:right w:val="none" w:sz="0" w:space="0" w:color="auto"/>
      </w:divBdr>
    </w:div>
    <w:div w:id="1938832475">
      <w:bodyDiv w:val="1"/>
      <w:marLeft w:val="0"/>
      <w:marRight w:val="0"/>
      <w:marTop w:val="0"/>
      <w:marBottom w:val="0"/>
      <w:divBdr>
        <w:top w:val="none" w:sz="0" w:space="0" w:color="auto"/>
        <w:left w:val="none" w:sz="0" w:space="0" w:color="auto"/>
        <w:bottom w:val="none" w:sz="0" w:space="0" w:color="auto"/>
        <w:right w:val="none" w:sz="0" w:space="0" w:color="auto"/>
      </w:divBdr>
    </w:div>
    <w:div w:id="1943414973">
      <w:bodyDiv w:val="1"/>
      <w:marLeft w:val="0"/>
      <w:marRight w:val="0"/>
      <w:marTop w:val="0"/>
      <w:marBottom w:val="0"/>
      <w:divBdr>
        <w:top w:val="none" w:sz="0" w:space="0" w:color="auto"/>
        <w:left w:val="none" w:sz="0" w:space="0" w:color="auto"/>
        <w:bottom w:val="none" w:sz="0" w:space="0" w:color="auto"/>
        <w:right w:val="none" w:sz="0" w:space="0" w:color="auto"/>
      </w:divBdr>
    </w:div>
    <w:div w:id="1966501301">
      <w:bodyDiv w:val="1"/>
      <w:marLeft w:val="0"/>
      <w:marRight w:val="0"/>
      <w:marTop w:val="0"/>
      <w:marBottom w:val="0"/>
      <w:divBdr>
        <w:top w:val="none" w:sz="0" w:space="0" w:color="auto"/>
        <w:left w:val="none" w:sz="0" w:space="0" w:color="auto"/>
        <w:bottom w:val="none" w:sz="0" w:space="0" w:color="auto"/>
        <w:right w:val="none" w:sz="0" w:space="0" w:color="auto"/>
      </w:divBdr>
    </w:div>
    <w:div w:id="1966622011">
      <w:bodyDiv w:val="1"/>
      <w:marLeft w:val="0"/>
      <w:marRight w:val="0"/>
      <w:marTop w:val="0"/>
      <w:marBottom w:val="0"/>
      <w:divBdr>
        <w:top w:val="none" w:sz="0" w:space="0" w:color="auto"/>
        <w:left w:val="none" w:sz="0" w:space="0" w:color="auto"/>
        <w:bottom w:val="none" w:sz="0" w:space="0" w:color="auto"/>
        <w:right w:val="none" w:sz="0" w:space="0" w:color="auto"/>
      </w:divBdr>
    </w:div>
    <w:div w:id="1968586137">
      <w:bodyDiv w:val="1"/>
      <w:marLeft w:val="0"/>
      <w:marRight w:val="0"/>
      <w:marTop w:val="0"/>
      <w:marBottom w:val="0"/>
      <w:divBdr>
        <w:top w:val="none" w:sz="0" w:space="0" w:color="auto"/>
        <w:left w:val="none" w:sz="0" w:space="0" w:color="auto"/>
        <w:bottom w:val="none" w:sz="0" w:space="0" w:color="auto"/>
        <w:right w:val="none" w:sz="0" w:space="0" w:color="auto"/>
      </w:divBdr>
    </w:div>
    <w:div w:id="1970743819">
      <w:bodyDiv w:val="1"/>
      <w:marLeft w:val="0"/>
      <w:marRight w:val="0"/>
      <w:marTop w:val="0"/>
      <w:marBottom w:val="0"/>
      <w:divBdr>
        <w:top w:val="none" w:sz="0" w:space="0" w:color="auto"/>
        <w:left w:val="none" w:sz="0" w:space="0" w:color="auto"/>
        <w:bottom w:val="none" w:sz="0" w:space="0" w:color="auto"/>
        <w:right w:val="none" w:sz="0" w:space="0" w:color="auto"/>
      </w:divBdr>
    </w:div>
    <w:div w:id="1984188633">
      <w:bodyDiv w:val="1"/>
      <w:marLeft w:val="0"/>
      <w:marRight w:val="0"/>
      <w:marTop w:val="0"/>
      <w:marBottom w:val="0"/>
      <w:divBdr>
        <w:top w:val="none" w:sz="0" w:space="0" w:color="auto"/>
        <w:left w:val="none" w:sz="0" w:space="0" w:color="auto"/>
        <w:bottom w:val="none" w:sz="0" w:space="0" w:color="auto"/>
        <w:right w:val="none" w:sz="0" w:space="0" w:color="auto"/>
      </w:divBdr>
    </w:div>
    <w:div w:id="1988975225">
      <w:bodyDiv w:val="1"/>
      <w:marLeft w:val="0"/>
      <w:marRight w:val="0"/>
      <w:marTop w:val="0"/>
      <w:marBottom w:val="0"/>
      <w:divBdr>
        <w:top w:val="none" w:sz="0" w:space="0" w:color="auto"/>
        <w:left w:val="none" w:sz="0" w:space="0" w:color="auto"/>
        <w:bottom w:val="none" w:sz="0" w:space="0" w:color="auto"/>
        <w:right w:val="none" w:sz="0" w:space="0" w:color="auto"/>
      </w:divBdr>
    </w:div>
    <w:div w:id="1992951171">
      <w:bodyDiv w:val="1"/>
      <w:marLeft w:val="0"/>
      <w:marRight w:val="0"/>
      <w:marTop w:val="0"/>
      <w:marBottom w:val="0"/>
      <w:divBdr>
        <w:top w:val="none" w:sz="0" w:space="0" w:color="auto"/>
        <w:left w:val="none" w:sz="0" w:space="0" w:color="auto"/>
        <w:bottom w:val="none" w:sz="0" w:space="0" w:color="auto"/>
        <w:right w:val="none" w:sz="0" w:space="0" w:color="auto"/>
      </w:divBdr>
    </w:div>
    <w:div w:id="2006469606">
      <w:bodyDiv w:val="1"/>
      <w:marLeft w:val="0"/>
      <w:marRight w:val="0"/>
      <w:marTop w:val="0"/>
      <w:marBottom w:val="0"/>
      <w:divBdr>
        <w:top w:val="none" w:sz="0" w:space="0" w:color="auto"/>
        <w:left w:val="none" w:sz="0" w:space="0" w:color="auto"/>
        <w:bottom w:val="none" w:sz="0" w:space="0" w:color="auto"/>
        <w:right w:val="none" w:sz="0" w:space="0" w:color="auto"/>
      </w:divBdr>
    </w:div>
    <w:div w:id="2012101133">
      <w:bodyDiv w:val="1"/>
      <w:marLeft w:val="0"/>
      <w:marRight w:val="0"/>
      <w:marTop w:val="0"/>
      <w:marBottom w:val="0"/>
      <w:divBdr>
        <w:top w:val="none" w:sz="0" w:space="0" w:color="auto"/>
        <w:left w:val="none" w:sz="0" w:space="0" w:color="auto"/>
        <w:bottom w:val="none" w:sz="0" w:space="0" w:color="auto"/>
        <w:right w:val="none" w:sz="0" w:space="0" w:color="auto"/>
      </w:divBdr>
    </w:div>
    <w:div w:id="2014526416">
      <w:bodyDiv w:val="1"/>
      <w:marLeft w:val="0"/>
      <w:marRight w:val="0"/>
      <w:marTop w:val="0"/>
      <w:marBottom w:val="0"/>
      <w:divBdr>
        <w:top w:val="none" w:sz="0" w:space="0" w:color="auto"/>
        <w:left w:val="none" w:sz="0" w:space="0" w:color="auto"/>
        <w:bottom w:val="none" w:sz="0" w:space="0" w:color="auto"/>
        <w:right w:val="none" w:sz="0" w:space="0" w:color="auto"/>
      </w:divBdr>
    </w:div>
    <w:div w:id="2015915987">
      <w:bodyDiv w:val="1"/>
      <w:marLeft w:val="0"/>
      <w:marRight w:val="0"/>
      <w:marTop w:val="0"/>
      <w:marBottom w:val="0"/>
      <w:divBdr>
        <w:top w:val="none" w:sz="0" w:space="0" w:color="auto"/>
        <w:left w:val="none" w:sz="0" w:space="0" w:color="auto"/>
        <w:bottom w:val="none" w:sz="0" w:space="0" w:color="auto"/>
        <w:right w:val="none" w:sz="0" w:space="0" w:color="auto"/>
      </w:divBdr>
    </w:div>
    <w:div w:id="2016103989">
      <w:bodyDiv w:val="1"/>
      <w:marLeft w:val="0"/>
      <w:marRight w:val="0"/>
      <w:marTop w:val="0"/>
      <w:marBottom w:val="0"/>
      <w:divBdr>
        <w:top w:val="none" w:sz="0" w:space="0" w:color="auto"/>
        <w:left w:val="none" w:sz="0" w:space="0" w:color="auto"/>
        <w:bottom w:val="none" w:sz="0" w:space="0" w:color="auto"/>
        <w:right w:val="none" w:sz="0" w:space="0" w:color="auto"/>
      </w:divBdr>
    </w:div>
    <w:div w:id="2024891021">
      <w:bodyDiv w:val="1"/>
      <w:marLeft w:val="0"/>
      <w:marRight w:val="0"/>
      <w:marTop w:val="0"/>
      <w:marBottom w:val="0"/>
      <w:divBdr>
        <w:top w:val="none" w:sz="0" w:space="0" w:color="auto"/>
        <w:left w:val="none" w:sz="0" w:space="0" w:color="auto"/>
        <w:bottom w:val="none" w:sz="0" w:space="0" w:color="auto"/>
        <w:right w:val="none" w:sz="0" w:space="0" w:color="auto"/>
      </w:divBdr>
    </w:div>
    <w:div w:id="2025356722">
      <w:bodyDiv w:val="1"/>
      <w:marLeft w:val="0"/>
      <w:marRight w:val="0"/>
      <w:marTop w:val="0"/>
      <w:marBottom w:val="0"/>
      <w:divBdr>
        <w:top w:val="none" w:sz="0" w:space="0" w:color="auto"/>
        <w:left w:val="none" w:sz="0" w:space="0" w:color="auto"/>
        <w:bottom w:val="none" w:sz="0" w:space="0" w:color="auto"/>
        <w:right w:val="none" w:sz="0" w:space="0" w:color="auto"/>
      </w:divBdr>
    </w:div>
    <w:div w:id="2031956581">
      <w:bodyDiv w:val="1"/>
      <w:marLeft w:val="0"/>
      <w:marRight w:val="0"/>
      <w:marTop w:val="0"/>
      <w:marBottom w:val="0"/>
      <w:divBdr>
        <w:top w:val="none" w:sz="0" w:space="0" w:color="auto"/>
        <w:left w:val="none" w:sz="0" w:space="0" w:color="auto"/>
        <w:bottom w:val="none" w:sz="0" w:space="0" w:color="auto"/>
        <w:right w:val="none" w:sz="0" w:space="0" w:color="auto"/>
      </w:divBdr>
    </w:div>
    <w:div w:id="2032142785">
      <w:bodyDiv w:val="1"/>
      <w:marLeft w:val="0"/>
      <w:marRight w:val="0"/>
      <w:marTop w:val="0"/>
      <w:marBottom w:val="0"/>
      <w:divBdr>
        <w:top w:val="none" w:sz="0" w:space="0" w:color="auto"/>
        <w:left w:val="none" w:sz="0" w:space="0" w:color="auto"/>
        <w:bottom w:val="none" w:sz="0" w:space="0" w:color="auto"/>
        <w:right w:val="none" w:sz="0" w:space="0" w:color="auto"/>
      </w:divBdr>
    </w:div>
    <w:div w:id="2039041797">
      <w:bodyDiv w:val="1"/>
      <w:marLeft w:val="0"/>
      <w:marRight w:val="0"/>
      <w:marTop w:val="0"/>
      <w:marBottom w:val="0"/>
      <w:divBdr>
        <w:top w:val="none" w:sz="0" w:space="0" w:color="auto"/>
        <w:left w:val="none" w:sz="0" w:space="0" w:color="auto"/>
        <w:bottom w:val="none" w:sz="0" w:space="0" w:color="auto"/>
        <w:right w:val="none" w:sz="0" w:space="0" w:color="auto"/>
      </w:divBdr>
    </w:div>
    <w:div w:id="2043705695">
      <w:bodyDiv w:val="1"/>
      <w:marLeft w:val="0"/>
      <w:marRight w:val="0"/>
      <w:marTop w:val="0"/>
      <w:marBottom w:val="0"/>
      <w:divBdr>
        <w:top w:val="none" w:sz="0" w:space="0" w:color="auto"/>
        <w:left w:val="none" w:sz="0" w:space="0" w:color="auto"/>
        <w:bottom w:val="none" w:sz="0" w:space="0" w:color="auto"/>
        <w:right w:val="none" w:sz="0" w:space="0" w:color="auto"/>
      </w:divBdr>
    </w:div>
    <w:div w:id="2050300760">
      <w:bodyDiv w:val="1"/>
      <w:marLeft w:val="0"/>
      <w:marRight w:val="0"/>
      <w:marTop w:val="0"/>
      <w:marBottom w:val="0"/>
      <w:divBdr>
        <w:top w:val="none" w:sz="0" w:space="0" w:color="auto"/>
        <w:left w:val="none" w:sz="0" w:space="0" w:color="auto"/>
        <w:bottom w:val="none" w:sz="0" w:space="0" w:color="auto"/>
        <w:right w:val="none" w:sz="0" w:space="0" w:color="auto"/>
      </w:divBdr>
    </w:div>
    <w:div w:id="2052798576">
      <w:bodyDiv w:val="1"/>
      <w:marLeft w:val="0"/>
      <w:marRight w:val="0"/>
      <w:marTop w:val="0"/>
      <w:marBottom w:val="0"/>
      <w:divBdr>
        <w:top w:val="none" w:sz="0" w:space="0" w:color="auto"/>
        <w:left w:val="none" w:sz="0" w:space="0" w:color="auto"/>
        <w:bottom w:val="none" w:sz="0" w:space="0" w:color="auto"/>
        <w:right w:val="none" w:sz="0" w:space="0" w:color="auto"/>
      </w:divBdr>
    </w:div>
    <w:div w:id="2065637152">
      <w:bodyDiv w:val="1"/>
      <w:marLeft w:val="0"/>
      <w:marRight w:val="0"/>
      <w:marTop w:val="0"/>
      <w:marBottom w:val="0"/>
      <w:divBdr>
        <w:top w:val="none" w:sz="0" w:space="0" w:color="auto"/>
        <w:left w:val="none" w:sz="0" w:space="0" w:color="auto"/>
        <w:bottom w:val="none" w:sz="0" w:space="0" w:color="auto"/>
        <w:right w:val="none" w:sz="0" w:space="0" w:color="auto"/>
      </w:divBdr>
    </w:div>
    <w:div w:id="2066953297">
      <w:bodyDiv w:val="1"/>
      <w:marLeft w:val="0"/>
      <w:marRight w:val="0"/>
      <w:marTop w:val="0"/>
      <w:marBottom w:val="0"/>
      <w:divBdr>
        <w:top w:val="none" w:sz="0" w:space="0" w:color="auto"/>
        <w:left w:val="none" w:sz="0" w:space="0" w:color="auto"/>
        <w:bottom w:val="none" w:sz="0" w:space="0" w:color="auto"/>
        <w:right w:val="none" w:sz="0" w:space="0" w:color="auto"/>
      </w:divBdr>
    </w:div>
    <w:div w:id="2067340427">
      <w:bodyDiv w:val="1"/>
      <w:marLeft w:val="0"/>
      <w:marRight w:val="0"/>
      <w:marTop w:val="0"/>
      <w:marBottom w:val="0"/>
      <w:divBdr>
        <w:top w:val="none" w:sz="0" w:space="0" w:color="auto"/>
        <w:left w:val="none" w:sz="0" w:space="0" w:color="auto"/>
        <w:bottom w:val="none" w:sz="0" w:space="0" w:color="auto"/>
        <w:right w:val="none" w:sz="0" w:space="0" w:color="auto"/>
      </w:divBdr>
    </w:div>
    <w:div w:id="2074505442">
      <w:bodyDiv w:val="1"/>
      <w:marLeft w:val="0"/>
      <w:marRight w:val="0"/>
      <w:marTop w:val="0"/>
      <w:marBottom w:val="0"/>
      <w:divBdr>
        <w:top w:val="none" w:sz="0" w:space="0" w:color="auto"/>
        <w:left w:val="none" w:sz="0" w:space="0" w:color="auto"/>
        <w:bottom w:val="none" w:sz="0" w:space="0" w:color="auto"/>
        <w:right w:val="none" w:sz="0" w:space="0" w:color="auto"/>
      </w:divBdr>
    </w:div>
    <w:div w:id="2076780102">
      <w:bodyDiv w:val="1"/>
      <w:marLeft w:val="0"/>
      <w:marRight w:val="0"/>
      <w:marTop w:val="0"/>
      <w:marBottom w:val="0"/>
      <w:divBdr>
        <w:top w:val="none" w:sz="0" w:space="0" w:color="auto"/>
        <w:left w:val="none" w:sz="0" w:space="0" w:color="auto"/>
        <w:bottom w:val="none" w:sz="0" w:space="0" w:color="auto"/>
        <w:right w:val="none" w:sz="0" w:space="0" w:color="auto"/>
      </w:divBdr>
    </w:div>
    <w:div w:id="2079404170">
      <w:bodyDiv w:val="1"/>
      <w:marLeft w:val="0"/>
      <w:marRight w:val="0"/>
      <w:marTop w:val="0"/>
      <w:marBottom w:val="0"/>
      <w:divBdr>
        <w:top w:val="none" w:sz="0" w:space="0" w:color="auto"/>
        <w:left w:val="none" w:sz="0" w:space="0" w:color="auto"/>
        <w:bottom w:val="none" w:sz="0" w:space="0" w:color="auto"/>
        <w:right w:val="none" w:sz="0" w:space="0" w:color="auto"/>
      </w:divBdr>
    </w:div>
    <w:div w:id="2081713518">
      <w:bodyDiv w:val="1"/>
      <w:marLeft w:val="0"/>
      <w:marRight w:val="0"/>
      <w:marTop w:val="0"/>
      <w:marBottom w:val="0"/>
      <w:divBdr>
        <w:top w:val="none" w:sz="0" w:space="0" w:color="auto"/>
        <w:left w:val="none" w:sz="0" w:space="0" w:color="auto"/>
        <w:bottom w:val="none" w:sz="0" w:space="0" w:color="auto"/>
        <w:right w:val="none" w:sz="0" w:space="0" w:color="auto"/>
      </w:divBdr>
    </w:div>
    <w:div w:id="2082292927">
      <w:bodyDiv w:val="1"/>
      <w:marLeft w:val="0"/>
      <w:marRight w:val="0"/>
      <w:marTop w:val="0"/>
      <w:marBottom w:val="0"/>
      <w:divBdr>
        <w:top w:val="none" w:sz="0" w:space="0" w:color="auto"/>
        <w:left w:val="none" w:sz="0" w:space="0" w:color="auto"/>
        <w:bottom w:val="none" w:sz="0" w:space="0" w:color="auto"/>
        <w:right w:val="none" w:sz="0" w:space="0" w:color="auto"/>
      </w:divBdr>
    </w:div>
    <w:div w:id="2084990222">
      <w:bodyDiv w:val="1"/>
      <w:marLeft w:val="0"/>
      <w:marRight w:val="0"/>
      <w:marTop w:val="0"/>
      <w:marBottom w:val="0"/>
      <w:divBdr>
        <w:top w:val="none" w:sz="0" w:space="0" w:color="auto"/>
        <w:left w:val="none" w:sz="0" w:space="0" w:color="auto"/>
        <w:bottom w:val="none" w:sz="0" w:space="0" w:color="auto"/>
        <w:right w:val="none" w:sz="0" w:space="0" w:color="auto"/>
      </w:divBdr>
    </w:div>
    <w:div w:id="2092047522">
      <w:bodyDiv w:val="1"/>
      <w:marLeft w:val="0"/>
      <w:marRight w:val="0"/>
      <w:marTop w:val="0"/>
      <w:marBottom w:val="0"/>
      <w:divBdr>
        <w:top w:val="none" w:sz="0" w:space="0" w:color="auto"/>
        <w:left w:val="none" w:sz="0" w:space="0" w:color="auto"/>
        <w:bottom w:val="none" w:sz="0" w:space="0" w:color="auto"/>
        <w:right w:val="none" w:sz="0" w:space="0" w:color="auto"/>
      </w:divBdr>
    </w:div>
    <w:div w:id="2094161611">
      <w:bodyDiv w:val="1"/>
      <w:marLeft w:val="0"/>
      <w:marRight w:val="0"/>
      <w:marTop w:val="0"/>
      <w:marBottom w:val="0"/>
      <w:divBdr>
        <w:top w:val="none" w:sz="0" w:space="0" w:color="auto"/>
        <w:left w:val="none" w:sz="0" w:space="0" w:color="auto"/>
        <w:bottom w:val="none" w:sz="0" w:space="0" w:color="auto"/>
        <w:right w:val="none" w:sz="0" w:space="0" w:color="auto"/>
      </w:divBdr>
    </w:div>
    <w:div w:id="2097970041">
      <w:bodyDiv w:val="1"/>
      <w:marLeft w:val="0"/>
      <w:marRight w:val="0"/>
      <w:marTop w:val="0"/>
      <w:marBottom w:val="0"/>
      <w:divBdr>
        <w:top w:val="none" w:sz="0" w:space="0" w:color="auto"/>
        <w:left w:val="none" w:sz="0" w:space="0" w:color="auto"/>
        <w:bottom w:val="none" w:sz="0" w:space="0" w:color="auto"/>
        <w:right w:val="none" w:sz="0" w:space="0" w:color="auto"/>
      </w:divBdr>
    </w:div>
    <w:div w:id="2104911167">
      <w:bodyDiv w:val="1"/>
      <w:marLeft w:val="0"/>
      <w:marRight w:val="0"/>
      <w:marTop w:val="0"/>
      <w:marBottom w:val="0"/>
      <w:divBdr>
        <w:top w:val="none" w:sz="0" w:space="0" w:color="auto"/>
        <w:left w:val="none" w:sz="0" w:space="0" w:color="auto"/>
        <w:bottom w:val="none" w:sz="0" w:space="0" w:color="auto"/>
        <w:right w:val="none" w:sz="0" w:space="0" w:color="auto"/>
      </w:divBdr>
    </w:div>
    <w:div w:id="2113083533">
      <w:bodyDiv w:val="1"/>
      <w:marLeft w:val="0"/>
      <w:marRight w:val="0"/>
      <w:marTop w:val="0"/>
      <w:marBottom w:val="0"/>
      <w:divBdr>
        <w:top w:val="none" w:sz="0" w:space="0" w:color="auto"/>
        <w:left w:val="none" w:sz="0" w:space="0" w:color="auto"/>
        <w:bottom w:val="none" w:sz="0" w:space="0" w:color="auto"/>
        <w:right w:val="none" w:sz="0" w:space="0" w:color="auto"/>
      </w:divBdr>
    </w:div>
    <w:div w:id="2113478556">
      <w:bodyDiv w:val="1"/>
      <w:marLeft w:val="0"/>
      <w:marRight w:val="0"/>
      <w:marTop w:val="0"/>
      <w:marBottom w:val="0"/>
      <w:divBdr>
        <w:top w:val="none" w:sz="0" w:space="0" w:color="auto"/>
        <w:left w:val="none" w:sz="0" w:space="0" w:color="auto"/>
        <w:bottom w:val="none" w:sz="0" w:space="0" w:color="auto"/>
        <w:right w:val="none" w:sz="0" w:space="0" w:color="auto"/>
      </w:divBdr>
    </w:div>
    <w:div w:id="2114473284">
      <w:bodyDiv w:val="1"/>
      <w:marLeft w:val="0"/>
      <w:marRight w:val="0"/>
      <w:marTop w:val="0"/>
      <w:marBottom w:val="0"/>
      <w:divBdr>
        <w:top w:val="none" w:sz="0" w:space="0" w:color="auto"/>
        <w:left w:val="none" w:sz="0" w:space="0" w:color="auto"/>
        <w:bottom w:val="none" w:sz="0" w:space="0" w:color="auto"/>
        <w:right w:val="none" w:sz="0" w:space="0" w:color="auto"/>
      </w:divBdr>
    </w:div>
    <w:div w:id="2114863098">
      <w:bodyDiv w:val="1"/>
      <w:marLeft w:val="0"/>
      <w:marRight w:val="0"/>
      <w:marTop w:val="0"/>
      <w:marBottom w:val="0"/>
      <w:divBdr>
        <w:top w:val="none" w:sz="0" w:space="0" w:color="auto"/>
        <w:left w:val="none" w:sz="0" w:space="0" w:color="auto"/>
        <w:bottom w:val="none" w:sz="0" w:space="0" w:color="auto"/>
        <w:right w:val="none" w:sz="0" w:space="0" w:color="auto"/>
      </w:divBdr>
    </w:div>
    <w:div w:id="2120904698">
      <w:bodyDiv w:val="1"/>
      <w:marLeft w:val="0"/>
      <w:marRight w:val="0"/>
      <w:marTop w:val="0"/>
      <w:marBottom w:val="0"/>
      <w:divBdr>
        <w:top w:val="none" w:sz="0" w:space="0" w:color="auto"/>
        <w:left w:val="none" w:sz="0" w:space="0" w:color="auto"/>
        <w:bottom w:val="none" w:sz="0" w:space="0" w:color="auto"/>
        <w:right w:val="none" w:sz="0" w:space="0" w:color="auto"/>
      </w:divBdr>
    </w:div>
    <w:div w:id="2125299706">
      <w:bodyDiv w:val="1"/>
      <w:marLeft w:val="0"/>
      <w:marRight w:val="0"/>
      <w:marTop w:val="0"/>
      <w:marBottom w:val="0"/>
      <w:divBdr>
        <w:top w:val="none" w:sz="0" w:space="0" w:color="auto"/>
        <w:left w:val="none" w:sz="0" w:space="0" w:color="auto"/>
        <w:bottom w:val="none" w:sz="0" w:space="0" w:color="auto"/>
        <w:right w:val="none" w:sz="0" w:space="0" w:color="auto"/>
      </w:divBdr>
    </w:div>
    <w:div w:id="2125608557">
      <w:bodyDiv w:val="1"/>
      <w:marLeft w:val="0"/>
      <w:marRight w:val="0"/>
      <w:marTop w:val="0"/>
      <w:marBottom w:val="0"/>
      <w:divBdr>
        <w:top w:val="none" w:sz="0" w:space="0" w:color="auto"/>
        <w:left w:val="none" w:sz="0" w:space="0" w:color="auto"/>
        <w:bottom w:val="none" w:sz="0" w:space="0" w:color="auto"/>
        <w:right w:val="none" w:sz="0" w:space="0" w:color="auto"/>
      </w:divBdr>
    </w:div>
    <w:div w:id="2126382791">
      <w:bodyDiv w:val="1"/>
      <w:marLeft w:val="0"/>
      <w:marRight w:val="0"/>
      <w:marTop w:val="0"/>
      <w:marBottom w:val="0"/>
      <w:divBdr>
        <w:top w:val="none" w:sz="0" w:space="0" w:color="auto"/>
        <w:left w:val="none" w:sz="0" w:space="0" w:color="auto"/>
        <w:bottom w:val="none" w:sz="0" w:space="0" w:color="auto"/>
        <w:right w:val="none" w:sz="0" w:space="0" w:color="auto"/>
      </w:divBdr>
    </w:div>
    <w:div w:id="2126925410">
      <w:bodyDiv w:val="1"/>
      <w:marLeft w:val="0"/>
      <w:marRight w:val="0"/>
      <w:marTop w:val="0"/>
      <w:marBottom w:val="0"/>
      <w:divBdr>
        <w:top w:val="none" w:sz="0" w:space="0" w:color="auto"/>
        <w:left w:val="none" w:sz="0" w:space="0" w:color="auto"/>
        <w:bottom w:val="none" w:sz="0" w:space="0" w:color="auto"/>
        <w:right w:val="none" w:sz="0" w:space="0" w:color="auto"/>
      </w:divBdr>
    </w:div>
    <w:div w:id="2127431881">
      <w:bodyDiv w:val="1"/>
      <w:marLeft w:val="0"/>
      <w:marRight w:val="0"/>
      <w:marTop w:val="0"/>
      <w:marBottom w:val="0"/>
      <w:divBdr>
        <w:top w:val="none" w:sz="0" w:space="0" w:color="auto"/>
        <w:left w:val="none" w:sz="0" w:space="0" w:color="auto"/>
        <w:bottom w:val="none" w:sz="0" w:space="0" w:color="auto"/>
        <w:right w:val="none" w:sz="0" w:space="0" w:color="auto"/>
      </w:divBdr>
    </w:div>
    <w:div w:id="2127650638">
      <w:bodyDiv w:val="1"/>
      <w:marLeft w:val="0"/>
      <w:marRight w:val="0"/>
      <w:marTop w:val="0"/>
      <w:marBottom w:val="0"/>
      <w:divBdr>
        <w:top w:val="none" w:sz="0" w:space="0" w:color="auto"/>
        <w:left w:val="none" w:sz="0" w:space="0" w:color="auto"/>
        <w:bottom w:val="none" w:sz="0" w:space="0" w:color="auto"/>
        <w:right w:val="none" w:sz="0" w:space="0" w:color="auto"/>
      </w:divBdr>
    </w:div>
    <w:div w:id="2131507546">
      <w:bodyDiv w:val="1"/>
      <w:marLeft w:val="0"/>
      <w:marRight w:val="0"/>
      <w:marTop w:val="0"/>
      <w:marBottom w:val="0"/>
      <w:divBdr>
        <w:top w:val="none" w:sz="0" w:space="0" w:color="auto"/>
        <w:left w:val="none" w:sz="0" w:space="0" w:color="auto"/>
        <w:bottom w:val="none" w:sz="0" w:space="0" w:color="auto"/>
        <w:right w:val="none" w:sz="0" w:space="0" w:color="auto"/>
      </w:divBdr>
    </w:div>
    <w:div w:id="2133747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Ack11</b:Tag>
    <b:SourceType>Report</b:SourceType>
    <b:Guid>{B29ED0E2-C5F3-A148-A600-0CFB07CEEB45}</b:Guid>
    <b:Author>
      <b:Author>
        <b:NameList>
          <b:Person>
            <b:Last>Saxena</b:Last>
            <b:First>A.</b:First>
          </b:Person>
          <b:Person>
            <b:Last>Goebel</b:Last>
            <b:First>K.</b:First>
          </b:Person>
        </b:NameList>
      </b:Author>
    </b:Author>
    <b:Title>Turbofan Engine Degradation Simulation Data Set</b:Title>
    <b:Year>2008</b:Year>
    <b:City>Moffett Field, CA</b:City>
    <b:Publisher>NASA Ames Prognostics Data Repository, NASA Ames Research Center</b:Publisher>
    <b:RefOrder>1</b:RefOrder>
  </b:Source>
  <b:Source>
    <b:Tag>Min45</b:Tag>
    <b:SourceType>JournalArticle</b:SourceType>
    <b:Guid>{AF489A40-FF18-7F41-AA9C-744E575CCFAB}</b:Guid>
    <b:Title>Cumulative Damage in Fatigue</b:Title>
    <b:Year>1945</b:Year>
    <b:JournalName>Journal of Applied Mechanics</b:JournalName>
    <b:Volume>12</b:Volume>
    <b:Pages>A159-A164</b:Pages>
    <b:Author>
      <b:Author>
        <b:NameList>
          <b:Person>
            <b:Last>Miner</b:Last>
            <b:First>M. A.</b:First>
          </b:Person>
        </b:NameList>
      </b:Author>
    </b:Author>
    <b:RefOrder>2</b:RefOrder>
  </b:Source>
  <b:Source>
    <b:Tag>Hei08</b:Tag>
    <b:SourceType>JournalArticle</b:SourceType>
    <b:Guid>{65046619-E2D3-DF4D-B0C6-6E51273C75E6}</b:Guid>
    <b:Author>
      <b:Author>
        <b:NameList>
          <b:Person>
            <b:Last>Heimes</b:Last>
            <b:First>F. O.</b:First>
          </b:Person>
        </b:NameList>
      </b:Author>
    </b:Author>
    <b:Title>Recurrent Neural Networks for Remaining Useful Life Estimation</b:Title>
    <b:Publisher>IEEE</b:Publisher>
    <b:Year>2008</b:Year>
    <b:ConferenceName>Proceedings of the International Conference on Prognostics and Health Management (PHM 2008)</b:ConferenceName>
    <b:Pages>1-6</b:Pages>
    <b:City>Denver, CO</b:City>
    <b:JournalName>Proceedings of the International Conference on Prognostics and Health Management</b:JournalName>
    <b:RefOrder>3</b:RefOrder>
  </b:Source>
  <b:Source>
    <b:Tag>Che16</b:Tag>
    <b:SourceType>ConferenceProceedings</b:SourceType>
    <b:Guid>{8BABCB01-872C-BE46-B12C-CF02D7E78BA1}</b:Guid>
    <b:Title>XGBoost: A Scalable Tree Boosting System</b:Title>
    <b:Year>2016</b:Year>
    <b:Pages>785-794</b:Pages>
    <b:Author>
      <b:Author>
        <b:NameList>
          <b:Person>
            <b:Last>Chen</b:Last>
            <b:First>T.</b:First>
          </b:Person>
        </b:NameList>
      </b:Author>
    </b:Author>
    <b:City>San Francisco, CA</b:City>
    <b:ConferenceName>Proc. 22nd ACM SIGKDD International Conference of Knowledge Discorvery and Data Mining</b:ConferenceName>
    <b:RefOrder>4</b:RefOrder>
  </b:Source>
  <b:Source>
    <b:Tag>Now78</b:Tag>
    <b:SourceType>Book</b:SourceType>
    <b:Guid>{12F63F31-D648-6C4C-9113-4586A4C594DB}</b:Guid>
    <b:Title>Reliability-Centred Maintenance</b:Title>
    <b:Publisher>United Airlines / United States Department of Defense</b:Publisher>
    <b:Year>1978</b:Year>
    <b:Author>
      <b:Author>
        <b:NameList>
          <b:Person>
            <b:Last>Nowlan</b:Last>
            <b:First>F. S.</b:First>
          </b:Person>
          <b:Person>
            <b:Last>Heap</b:Last>
            <b:First>H. F.</b:First>
          </b:Person>
        </b:NameList>
      </b:Author>
    </b:Author>
    <b:Volume>Report No. AD-A066579</b:Volume>
    <b:RefOrder>19</b:RefOrder>
  </b:Source>
  <b:Source>
    <b:Tag>Wal04</b:Tag>
    <b:SourceType>Book</b:SourceType>
    <b:Guid>{0C69CA73-1AB9-414B-9C60-63DD9055AFDA}</b:Guid>
    <b:Title>Gas Turbine Performance</b:Title>
    <b:Publisher>Blackwell Science</b:Publisher>
    <b:Year>2004</b:Year>
    <b:Author>
      <b:Author>
        <b:NameList>
          <b:Person>
            <b:Last>Walsh</b:Last>
            <b:First>P. P.</b:First>
          </b:Person>
          <b:Person>
            <b:Last>Fletcher</b:Last>
            <b:First>P.</b:First>
          </b:Person>
        </b:NameList>
      </b:Author>
    </b:Author>
    <b:Volume>2nd Edition</b:Volume>
    <b:RefOrder>5</b:RefOrder>
  </b:Source>
  <b:Source>
    <b:Tag>Fox16</b:Tag>
    <b:SourceType>Book</b:SourceType>
    <b:Guid>{1B59AAE8-EFD6-F644-BD15-47D577E13617}</b:Guid>
    <b:Title>Applied Regression Analysis and Generalized Linear Models</b:Title>
    <b:City>Thousand Oaks, CA</b:City>
    <b:Publisher>SAGE Publications</b:Publisher>
    <b:Year>2016</b:Year>
    <b:Author>
      <b:Author>
        <b:NameList>
          <b:Person>
            <b:Last>Fox</b:Last>
            <b:First>J.</b:First>
          </b:Person>
        </b:NameList>
      </b:Author>
    </b:Author>
    <b:RefOrder>25</b:RefOrder>
  </b:Source>
  <b:Source>
    <b:Tag>Mon12</b:Tag>
    <b:SourceType>Book</b:SourceType>
    <b:Guid>{0F6E3908-B77B-D343-B2D9-8023548976E4}</b:Guid>
    <b:Title>Introduction to Linear Regression Analysis</b:Title>
    <b:Publisher>5th Edition, Wiley</b:Publisher>
    <b:Year>2012</b:Year>
    <b:Author>
      <b:Author>
        <b:NameList>
          <b:Person>
            <b:Last>Montgomery</b:Last>
            <b:First>D. C.</b:First>
          </b:Person>
          <b:Person>
            <b:Last>Peck</b:Last>
            <b:First>E. A.</b:First>
          </b:Person>
          <b:Person>
            <b:Last>Vining</b:Last>
            <b:First>G. G.</b:First>
          </b:Person>
        </b:NameList>
      </b:Author>
    </b:Author>
    <b:RefOrder>6</b:RefOrder>
  </b:Source>
  <b:Source>
    <b:Tag>Lun17</b:Tag>
    <b:SourceType>JournalArticle</b:SourceType>
    <b:Guid>{4730947F-C45E-D143-80E6-EC1917F060D1}</b:Guid>
    <b:Title>A unified approach to interpreting model predictions</b:Title>
    <b:Year>2017</b:Year>
    <b:Author>
      <b:Author>
        <b:NameList>
          <b:Person>
            <b:Last>Lundberg</b:Last>
            <b:First>S. M.</b:First>
          </b:Person>
          <b:Person>
            <b:Last>Lee</b:Last>
            <b:First>S-I</b:First>
          </b:Person>
        </b:NameList>
      </b:Author>
    </b:Author>
    <b:JournalName>Advances in Neural Information Processing Systems</b:JournalName>
    <b:Volume>30</b:Volume>
    <b:RefOrder>7</b:RefOrder>
  </b:Source>
  <b:Source>
    <b:Tag>Vol14</b:Tag>
    <b:SourceType>JournalArticle</b:SourceType>
    <b:Guid>{6679A516-9695-B548-81C7-6E29F4A4ED56}</b:Guid>
    <b:Title>Gas Turbine Engine Health Management: Past, Present, and Future Trends</b:Title>
    <b:JournalName>Journal of Engineering for Gas Turbines and Power</b:JournalName>
    <b:Year>2014</b:Year>
    <b:Volume>136(5)</b:Volume>
    <b:Author>
      <b:Author>
        <b:NameList>
          <b:Person>
            <b:Last>Volponi</b:Last>
            <b:First>A. J. B.</b:First>
          </b:Person>
        </b:NameList>
      </b:Author>
    </b:Author>
    <b:RefOrder>8</b:RefOrder>
  </b:Source>
  <b:Source>
    <b:Tag>Jaw09</b:Tag>
    <b:SourceType>Book</b:SourceType>
    <b:Guid>{06F9001D-7922-D249-9D10-4DA3B40F16DD}</b:Guid>
    <b:Title>Aircraft Engine Controls: Design, System Analysis, and Health Monitoring</b:Title>
    <b:Year>2009</b:Year>
    <b:Author>
      <b:Author>
        <b:NameList>
          <b:Person>
            <b:Last>Jaw</b:Last>
            <b:First>A. G.</b:First>
          </b:Person>
          <b:Person>
            <b:Last>Mattingly</b:Last>
            <b:First>J. D.</b:First>
          </b:Person>
        </b:NameList>
      </b:Author>
    </b:Author>
    <b:City>Reston, VA</b:City>
    <b:Publisher>AIAA</b:Publisher>
    <b:RefOrder>9</b:RefOrder>
  </b:Source>
  <b:Source>
    <b:Tag>Ari21</b:Tag>
    <b:SourceType>JournalArticle</b:SourceType>
    <b:Guid>{66E363DF-BFE7-9747-8CCB-B22F73B56B39}</b:Guid>
    <b:Title>Aircraft Engine Run-to-Failure Dataset under Real Flight Conditions for Prognostics and Diagnostics</b:Title>
    <b:Year>2021</b:Year>
    <b:Author>
      <b:Author>
        <b:NameList>
          <b:Person>
            <b:Last>Arias Chao</b:Last>
            <b:First>M.</b:First>
          </b:Person>
          <b:Person>
            <b:Last>Kulkarni</b:Last>
            <b:First>C.</b:First>
          </b:Person>
          <b:Person>
            <b:Last>Goebel</b:Last>
            <b:First>K.</b:First>
          </b:Person>
          <b:Person>
            <b:Last>Fink</b:Last>
            <b:First>O.</b:First>
          </b:Person>
        </b:NameList>
      </b:Author>
    </b:Author>
    <b:Volume>6(1)</b:Volume>
    <b:JournalName>Data</b:JournalName>
    <b:RefOrder>23</b:RefOrder>
  </b:Source>
  <b:Source>
    <b:Tag>Box16</b:Tag>
    <b:SourceType>Book</b:SourceType>
    <b:Guid>{24EBF78F-6EC0-9F49-B53E-8A9615F1213B}</b:Guid>
    <b:Title>Time Series Analysis: Forecasting and Control</b:Title>
    <b:Year>2016</b:Year>
    <b:Author>
      <b:Author>
        <b:NameList>
          <b:Person>
            <b:Last>Box</b:Last>
            <b:First>G. E. P.</b:First>
          </b:Person>
          <b:Person>
            <b:Last>Jenkins</b:Last>
            <b:First>G. M.</b:First>
          </b:Person>
          <b:Person>
            <b:Last>Reinsel</b:Last>
            <b:First>G. C.</b:First>
          </b:Person>
          <b:Person>
            <b:Last>Ljung</b:Last>
            <b:First>G. M.</b:First>
          </b:Person>
        </b:NameList>
      </b:Author>
    </b:Author>
    <b:City>Hoboken, NJ</b:City>
    <b:Publisher>Wiley</b:Publisher>
    <b:RefOrder>14</b:RefOrder>
  </b:Source>
  <b:Source>
    <b:Tag>Tak81</b:Tag>
    <b:SourceType>Book</b:SourceType>
    <b:Guid>{9FCEB4AD-58B5-8D41-93E3-E30687926A21}</b:Guid>
    <b:Title>Detecting Strange Attractors in Turbulence</b:Title>
    <b:City>Berlin</b:City>
    <b:Publisher>Springer</b:Publisher>
    <b:Year>1981</b:Year>
    <b:Author>
      <b:Author>
        <b:NameList>
          <b:Person>
            <b:Last>Takens</b:Last>
            <b:First>F.</b:First>
          </b:Person>
        </b:NameList>
      </b:Author>
    </b:Author>
    <b:Volume>Dynamical Systems and Turbulence.</b:Volume>
    <b:Pages>366-381</b:Pages>
    <b:RefOrder>15</b:RefOrder>
  </b:Source>
  <b:Source>
    <b:Tag>Ant06</b:Tag>
    <b:SourceType>Book</b:SourceType>
    <b:Guid>{EB3DFFC5-3B41-CB4A-871B-D93216E055AE}</b:Guid>
    <b:Title>The Spectral Kurtosis: A Useful Tool for Characterising Non-stationary Signals</b:Title>
    <b:Year>2006</b:Year>
    <b:Author>
      <b:Author>
        <b:NameList>
          <b:Person>
            <b:Last>Antoni</b:Last>
            <b:First>J.</b:First>
          </b:Person>
        </b:NameList>
      </b:Author>
    </b:Author>
    <b:Volume>Mechanical Systems and Signal Processing</b:Volume>
    <b:NumberVolumes>20(2)</b:NumberVolumes>
    <b:Pages>282-307</b:Pages>
    <b:RefOrder>16</b:RefOrder>
  </b:Source>
  <b:Source>
    <b:Tag>AST17</b:Tag>
    <b:SourceType>Misc</b:SourceType>
    <b:Guid>{47F6918D-38D6-6B4E-BCB5-ADDF39B245C6}</b:Guid>
    <b:Title>Standard Practices for Cycle Counting in Fatigue Analysis</b:Title>
    <b:City>West Conshohocken, PA</b:City>
    <b:Publisher>ASTM International</b:Publisher>
    <b:Year>2017</b:Year>
    <b:Author>
      <b:Author>
        <b:Corporate>ASTM E1049-85</b:Corporate>
      </b:Author>
    </b:Author>
    <b:RefOrder>18</b:RefOrder>
  </b:Source>
  <b:Source>
    <b:Tag>Yeo00</b:Tag>
    <b:SourceType>Book</b:SourceType>
    <b:Guid>{ECB0E910-BF86-5948-A396-AE40C540B1AE}</b:Guid>
    <b:Title>A New Family of Power Transformations to Improve Normality or Symmetry</b:Title>
    <b:Year>2000</b:Year>
    <b:Publisher>Biometrika</b:Publisher>
    <b:Author>
      <b:Author>
        <b:NameList>
          <b:Person>
            <b:Last>Yeo</b:Last>
            <b:First>I. K.</b:First>
          </b:Person>
          <b:Person>
            <b:Last>Johnson</b:Last>
            <b:First>R. A.</b:First>
          </b:Person>
        </b:NameList>
      </b:Author>
    </b:Author>
    <b:Volume>87</b:Volume>
    <b:NumberVolumes>4</b:NumberVolumes>
    <b:Pages>954-959</b:Pages>
    <b:RefOrder>17</b:RefOrder>
  </b:Source>
  <b:Source>
    <b:Tag>Mou97</b:Tag>
    <b:SourceType>Book</b:SourceType>
    <b:Guid>{CDC2309A-D1C4-0A41-BC3C-45DC60726BD6}</b:Guid>
    <b:Title>Reliability-Centred Maintenance</b:Title>
    <b:City>Oxford</b:City>
    <b:Publisher>Butterworth-Heinemann</b:Publisher>
    <b:Year>1997</b:Year>
    <b:Author>
      <b:Author>
        <b:NameList>
          <b:Person>
            <b:Last>Moubray</b:Last>
            <b:First>J.</b:First>
          </b:Person>
        </b:NameList>
      </b:Author>
    </b:Author>
    <b:RefOrder>20</b:RefOrder>
  </b:Source>
  <b:Source>
    <b:Tag>Int22</b:Tag>
    <b:SourceType>Report</b:SourceType>
    <b:Guid>{B0008BE8-3728-0144-B622-2990700BCDAE}</b:Guid>
    <b:Author>
      <b:Author>
        <b:Corporate>International Air Transport Association (IATA)</b:Corporate>
      </b:Author>
    </b:Author>
    <b:Title>Engine Shop Visit Cost Benchmarking</b:Title>
    <b:City>Montreal</b:City>
    <b:Publisher>IATA, Technical Operations White Paper</b:Publisher>
    <b:Year>2022</b:Year>
    <b:RefOrder>21</b:RefOrder>
  </b:Source>
  <b:Source>
    <b:Tag>Eur14</b:Tag>
    <b:SourceType>Misc</b:SourceType>
    <b:Guid>{4FE84AEE-1619-314E-B0D1-A941C703F832}</b:Guid>
    <b:Title>Part-M: Continuing Airworthiness</b:Title>
    <b:Publisher>Annex I to Commission Regulation (EU) No 1321/2014</b:Publisher>
    <b:City>Brussels</b:City>
    <b:Year>2014</b:Year>
    <b:Author>
      <b:Author>
        <b:Corporate>European Union Aviation Safety Agency (EASA)</b:Corporate>
      </b:Author>
    </b:Author>
    <b:RefOrder>22</b:RefOrder>
  </b:Source>
  <b:Source>
    <b:Tag>Kap58</b:Tag>
    <b:SourceType>JournalArticle</b:SourceType>
    <b:Guid>{CBD16A17-7970-C641-A900-0BD73D95DE41}</b:Guid>
    <b:Title>Nonparametric Estimation from Incomplete Observations</b:Title>
    <b:Year>1958</b:Year>
    <b:Author>
      <b:Author>
        <b:NameList>
          <b:Person>
            <b:Last>Kaplan </b:Last>
            <b:First>E. L.</b:First>
          </b:Person>
          <b:Person>
            <b:Last>Meier</b:Last>
            <b:First>P.</b:First>
          </b:Person>
        </b:NameList>
      </b:Author>
    </b:Author>
    <b:JournalName>Journal of the American Statistical Association</b:JournalName>
    <b:Volume>53(282)</b:Volume>
    <b:Pages>457-481</b:Pages>
    <b:RefOrder>10</b:RefOrder>
  </b:Source>
  <b:Source>
    <b:Tag>Man66</b:Tag>
    <b:SourceType>JournalArticle</b:SourceType>
    <b:Guid>{2FA649B3-425D-D946-8415-1A6633BACC34}</b:Guid>
    <b:Title>Evaluation of Survival Data and Two New Rank Order Statistics Arising in Its Consideration</b:Title>
    <b:JournalName>Cancer Chemotherapy Reports</b:JournalName>
    <b:Year>1966</b:Year>
    <b:Volume>50(3)</b:Volume>
    <b:Pages>163-170</b:Pages>
    <b:Author>
      <b:Author>
        <b:NameList>
          <b:Person>
            <b:Last>Mantel</b:Last>
            <b:First>N.</b:First>
          </b:Person>
        </b:NameList>
      </b:Author>
    </b:Author>
    <b:RefOrder>11</b:RefOrder>
  </b:Source>
  <b:Source>
    <b:Tag>Cox72</b:Tag>
    <b:SourceType>JournalArticle</b:SourceType>
    <b:Guid>{853A49CB-62AD-4F4D-966E-E5D6E93D693A}</b:Guid>
    <b:Title>Regression Models and Life-Tables</b:Title>
    <b:JournalName>Journal of the Royal Statistical Society: Series B (Methodological)</b:JournalName>
    <b:Year>1972</b:Year>
    <b:Volume>34(2)</b:Volume>
    <b:Pages>187-220</b:Pages>
    <b:Author>
      <b:Author>
        <b:NameList>
          <b:Person>
            <b:Last>Cox</b:Last>
            <b:First>D. R.</b:First>
          </b:Person>
        </b:NameList>
      </b:Author>
    </b:Author>
    <b:RefOrder>12</b:RefOrder>
  </b:Source>
  <b:Source>
    <b:Tag>Bre72</b:Tag>
    <b:SourceType>JournalArticle</b:SourceType>
    <b:Guid>{17121BFC-080F-9043-9BC1-712AC1C5BDE7}</b:Guid>
    <b:Title>Discussion of Professor Cox's Paper</b:Title>
    <b:JournalName>Journal of the Royal Statistical Society: Series B (Methodological)</b:JournalName>
    <b:Year>1972</b:Year>
    <b:Volume>34(2)</b:Volume>
    <b:Pages>216-217</b:Pages>
    <b:Author>
      <b:Author>
        <b:NameList>
          <b:Person>
            <b:Last>Breslow</b:Last>
            <b:First>N. E.</b:First>
          </b:Person>
        </b:NameList>
      </b:Author>
    </b:Author>
    <b:RefOrder>13</b:RefOrder>
  </b:Source>
  <b:Source>
    <b:Tag>Har96</b:Tag>
    <b:SourceType>JournalArticle</b:SourceType>
    <b:Guid>{32C43EE2-9B11-7B42-8D7B-201105086B49}</b:Guid>
    <b:Title>Multivariable Prognostic Models: Issues in Developing Models, Evaluating Assumptions and Adequacy, and Measuring and Reducing Errors</b:Title>
    <b:JournalName>Statistics in Medicine</b:JournalName>
    <b:Year>1996</b:Year>
    <b:Volume>15(4)</b:Volume>
    <b:Pages>361-387</b:Pages>
    <b:Author>
      <b:Author>
        <b:NameList>
          <b:Person>
            <b:Last>Harrell</b:Last>
            <b:First>F. E.</b:First>
          </b:Person>
          <b:Person>
            <b:Last>Lee</b:Last>
            <b:First>K. L.</b:First>
          </b:Person>
          <b:Person>
            <b:Last>Mark</b:Last>
            <b:First>D. B.</b:First>
          </b:Person>
        </b:NameList>
      </b:Author>
    </b:Author>
    <b:RefOrder>24</b:RefOrder>
  </b:Source>
</b:Sources>
</file>

<file path=customXml/itemProps1.xml><?xml version="1.0" encoding="utf-8"?>
<ds:datastoreItem xmlns:ds="http://schemas.openxmlformats.org/officeDocument/2006/customXml" ds:itemID="{6AB8803D-D0FA-2440-8AAA-EDD12B8ED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48</Pages>
  <Words>19382</Words>
  <Characters>114942</Characters>
  <Application>Microsoft Office Word</Application>
  <DocSecurity>0</DocSecurity>
  <Lines>2445</Lines>
  <Paragraphs>1370</Paragraphs>
  <ScaleCrop>false</ScaleCrop>
  <Company/>
  <LinksUpToDate>false</LinksUpToDate>
  <CharactersWithSpaces>132954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Michele Maestrini</cp:lastModifiedBy>
  <cp:revision>28</cp:revision>
  <cp:lastPrinted>2026-03-09T15:44:00Z</cp:lastPrinted>
  <dcterms:created xsi:type="dcterms:W3CDTF">2026-03-05T20:57:00Z</dcterms:created>
  <dcterms:modified xsi:type="dcterms:W3CDTF">2026-03-14T11:09:00Z</dcterms:modified>
</cp:coreProperties>
</file>