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514CDE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Starting from the ASM_template project (available on Portale della Didattica),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values</w:t>
      </w:r>
    </w:p>
    <w:p w14:paraId="0D7902AB" w14:textId="2B27618F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6300F610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14CDE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36BEDD2B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0x10000000</w:t>
            </w:r>
          </w:p>
        </w:tc>
        <w:tc>
          <w:tcPr>
            <w:tcW w:w="1916" w:type="dxa"/>
          </w:tcPr>
          <w:p w14:paraId="7B8BAB68" w14:textId="69731D2A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83BA64C" w14:textId="611A9912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0x000001F4</w:t>
            </w:r>
          </w:p>
        </w:tc>
        <w:tc>
          <w:tcPr>
            <w:tcW w:w="1918" w:type="dxa"/>
          </w:tcPr>
          <w:p w14:paraId="636792A4" w14:textId="1F9FA4BE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0x000000B0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455BE67D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0x1</w:t>
            </w:r>
          </w:p>
        </w:tc>
        <w:tc>
          <w:tcPr>
            <w:tcW w:w="1916" w:type="dxa"/>
          </w:tcPr>
          <w:p w14:paraId="5D293002" w14:textId="1CE4A1B7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0x1</w:t>
            </w:r>
          </w:p>
        </w:tc>
        <w:tc>
          <w:tcPr>
            <w:tcW w:w="1916" w:type="dxa"/>
          </w:tcPr>
          <w:p w14:paraId="1023997E" w14:textId="6F9F0A78" w:rsidR="00393411" w:rsidRPr="00E62C07" w:rsidRDefault="00356A0D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0x00000003</w:t>
            </w:r>
          </w:p>
        </w:tc>
        <w:tc>
          <w:tcPr>
            <w:tcW w:w="1918" w:type="dxa"/>
          </w:tcPr>
          <w:p w14:paraId="40C4254E" w14:textId="767C58FA" w:rsidR="00393411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0x00000004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2E52EE74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20030699" w14:textId="785F3A7E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0x00000002</w:t>
            </w:r>
          </w:p>
        </w:tc>
        <w:tc>
          <w:tcPr>
            <w:tcW w:w="1916" w:type="dxa"/>
          </w:tcPr>
          <w:p w14:paraId="2F20D26E" w14:textId="6958F617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0x000001F4</w:t>
            </w:r>
          </w:p>
        </w:tc>
        <w:tc>
          <w:tcPr>
            <w:tcW w:w="1918" w:type="dxa"/>
          </w:tcPr>
          <w:p w14:paraId="19359E4E" w14:textId="2157E7F5" w:rsidR="002D024F" w:rsidRPr="00E62C07" w:rsidRDefault="00106E91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0x80000001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8417565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5BF66CAE" w14:textId="0483AFF6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17B437AA" w14:textId="10C6EEE7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0x0000000C</w:t>
            </w:r>
          </w:p>
        </w:tc>
        <w:tc>
          <w:tcPr>
            <w:tcW w:w="1918" w:type="dxa"/>
          </w:tcPr>
          <w:p w14:paraId="77C8302C" w14:textId="68A8615F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0x00000154</w:t>
            </w:r>
          </w:p>
        </w:tc>
      </w:tr>
      <w:tr w:rsidR="002D024F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3172D733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</w:t>
            </w:r>
          </w:p>
        </w:tc>
        <w:tc>
          <w:tcPr>
            <w:tcW w:w="1916" w:type="dxa"/>
          </w:tcPr>
          <w:p w14:paraId="770678CB" w14:textId="6227A82C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</w:t>
            </w:r>
          </w:p>
        </w:tc>
        <w:tc>
          <w:tcPr>
            <w:tcW w:w="1916" w:type="dxa"/>
          </w:tcPr>
          <w:p w14:paraId="4E550419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8" w:type="dxa"/>
          </w:tcPr>
          <w:p w14:paraId="2E8B12C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03AFAAE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215536A5" w14:textId="4BFAD806" w:rsidR="00CD271D" w:rsidRDefault="00106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Forzando </w:t>
                            </w:r>
                            <w:r w:rsidRPr="004C1D7C">
                              <w:t>Overflow</w:t>
                            </w:r>
                            <w:r>
                              <w:rPr>
                                <w:lang w:val="en-US"/>
                              </w:rPr>
                              <w:t>, si forza anche Negative</w:t>
                            </w:r>
                            <w:r w:rsidR="00F53593">
                              <w:rPr>
                                <w:lang w:val="en-US"/>
                              </w:rPr>
                              <w:t xml:space="preserve"> (entrambi i casi)</w:t>
                            </w:r>
                          </w:p>
                          <w:p w14:paraId="72B7F830" w14:textId="4C482BC7" w:rsidR="00356A0D" w:rsidRPr="00CD271D" w:rsidRDefault="0035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Carry = 0 insieme a Negative, solo nel secondo caso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7ACDFB9" w14:textId="6D062F65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215536A5" w14:textId="4BFAD806" w:rsidR="00CD271D" w:rsidRDefault="00106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Forzando </w:t>
                      </w:r>
                      <w:r w:rsidRPr="004C1D7C">
                        <w:t>Overflow</w:t>
                      </w:r>
                      <w:r>
                        <w:rPr>
                          <w:lang w:val="en-US"/>
                        </w:rPr>
                        <w:t>, si forza anche Negative</w:t>
                      </w:r>
                      <w:r w:rsidR="00F53593">
                        <w:rPr>
                          <w:lang w:val="en-US"/>
                        </w:rPr>
                        <w:t xml:space="preserve"> (entrambi i casi)</w:t>
                      </w:r>
                    </w:p>
                    <w:p w14:paraId="72B7F830" w14:textId="4C482BC7" w:rsidR="00356A0D" w:rsidRPr="00CD271D" w:rsidRDefault="0035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Carry = 0 insieme a Negative, solo nel secondo caso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(i.e, r4=(r3&lt;&lt;1)+r2).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(ms)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>considering a cpu clock (clk)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MHz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“howto_setup_keil”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28F9983D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2DD72E19" w14:textId="5FC1CD9B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4D72A47C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0D08A58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5164E1FA" w14:textId="0A52295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6CD3DDD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>MHz clk)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514CDE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77777777" w:rsidR="00051209" w:rsidRPr="00E62C07" w:rsidRDefault="00051209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3195AC83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5607E4C5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9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06E91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1276"/>
    <w:rsid w:val="002E7ACD"/>
    <w:rsid w:val="002F58F1"/>
    <w:rsid w:val="0030695C"/>
    <w:rsid w:val="00315CDA"/>
    <w:rsid w:val="00336AC5"/>
    <w:rsid w:val="00356A0D"/>
    <w:rsid w:val="003573D7"/>
    <w:rsid w:val="00364753"/>
    <w:rsid w:val="0036637E"/>
    <w:rsid w:val="00374A4A"/>
    <w:rsid w:val="00387786"/>
    <w:rsid w:val="00393411"/>
    <w:rsid w:val="003C40DC"/>
    <w:rsid w:val="004122A5"/>
    <w:rsid w:val="004127EB"/>
    <w:rsid w:val="004410FF"/>
    <w:rsid w:val="00493B44"/>
    <w:rsid w:val="004B5206"/>
    <w:rsid w:val="004C1D7C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B329E"/>
    <w:rsid w:val="006D30BE"/>
    <w:rsid w:val="006D7D27"/>
    <w:rsid w:val="006F42CE"/>
    <w:rsid w:val="00722028"/>
    <w:rsid w:val="007362A9"/>
    <w:rsid w:val="00737530"/>
    <w:rsid w:val="007A50F6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2EAC"/>
    <w:rsid w:val="00923BE8"/>
    <w:rsid w:val="009C7463"/>
    <w:rsid w:val="009E1A2C"/>
    <w:rsid w:val="009E79E8"/>
    <w:rsid w:val="009F043F"/>
    <w:rsid w:val="00A07341"/>
    <w:rsid w:val="00A07C73"/>
    <w:rsid w:val="00A32C7A"/>
    <w:rsid w:val="00A50285"/>
    <w:rsid w:val="00A52007"/>
    <w:rsid w:val="00A6447B"/>
    <w:rsid w:val="00AA0B9C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F5F43"/>
    <w:rsid w:val="00C0045F"/>
    <w:rsid w:val="00C408F1"/>
    <w:rsid w:val="00C62158"/>
    <w:rsid w:val="00C67B01"/>
    <w:rsid w:val="00C9485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53593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54</cp:revision>
  <cp:lastPrinted>2017-01-10T15:02:00Z</cp:lastPrinted>
  <dcterms:created xsi:type="dcterms:W3CDTF">2019-11-21T15:02:00Z</dcterms:created>
  <dcterms:modified xsi:type="dcterms:W3CDTF">2023-11-22T11:58:00Z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