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Consegna S1-L3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 rete rappresentata in figura ha 6 pc host e 2 switch, 3 pc collegati al primo switch e 3 pc collegati al secondo switch.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Sono stati assegnati ip in classe C che iniziano dal 192.168.1.2/24 all’ip 192.168.1.7/24; l’ip 192.168.1.1/24 è riservato all’ip di default per il gateway.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Gli ip sono stati assegnati in modo statico.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 subnet mask è 255.255.255.0.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33988" cy="235616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2356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Effettuando il ping dei dispositivi è possibile notare che comunicano tra loro e i pacchetti vengono ricevuti al 100% senza alcuna perdita di dati.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57588" cy="212252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2122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73300" cy="1981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33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