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0D85" w14:textId="77777777" w:rsidR="0058748B" w:rsidRDefault="0058748B" w:rsidP="0058748B">
      <w:pPr>
        <w:rPr>
          <w:lang w:val="en-US" w:eastAsia="en-NL"/>
        </w:rPr>
      </w:pPr>
    </w:p>
    <w:p w14:paraId="4F4D673B" w14:textId="77777777" w:rsidR="0058748B" w:rsidRPr="00032F72" w:rsidRDefault="0058748B" w:rsidP="0058748B">
      <w:pPr>
        <w:pStyle w:val="Title"/>
        <w:rPr>
          <w:rFonts w:eastAsia="Times New Roman"/>
          <w:lang w:val="en-US" w:eastAsia="en-NL"/>
        </w:rPr>
      </w:pPr>
      <w:r w:rsidRPr="00032F72">
        <w:rPr>
          <w:rFonts w:eastAsia="Times New Roman"/>
          <w:lang w:val="en-US" w:eastAsia="en-NL"/>
        </w:rPr>
        <w:t>Li</w:t>
      </w:r>
      <w:r>
        <w:rPr>
          <w:rFonts w:eastAsia="Times New Roman"/>
          <w:lang w:val="en-US" w:eastAsia="en-NL"/>
        </w:rPr>
        <w:t>st of articles with missing html file</w:t>
      </w:r>
    </w:p>
    <w:p w14:paraId="505F273F" w14:textId="2BF9349A" w:rsidR="0058748B" w:rsidRPr="0058748B" w:rsidRDefault="0058748B" w:rsidP="0058748B">
      <w:pPr>
        <w:pStyle w:val="Heading1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JEPG</w:t>
      </w:r>
    </w:p>
    <w:p w14:paraId="6BB65F1C" w14:textId="5D20DA2F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2016, Volume 145, Issue 2 (Feb)</w:t>
      </w:r>
    </w:p>
    <w:p w14:paraId="4E6B9B39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4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The role of prescriptive norms and knowledge in children’s and adults’ causal selection.</w:t>
        </w:r>
      </w:hyperlink>
    </w:p>
    <w:p w14:paraId="112EC2D6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5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Memory, metamemory, and social cues: Between conformity and resistance.</w:t>
        </w:r>
      </w:hyperlink>
    </w:p>
    <w:p w14:paraId="49F53926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2016, Volume 145, Issue 3 (March)</w:t>
      </w:r>
    </w:p>
    <w:p w14:paraId="5F9E437D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6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Self-esteem modulates amygdala-ventrolateral prefrontal cortex connectivity in response to mortality threats.</w:t>
        </w:r>
      </w:hyperlink>
    </w:p>
    <w:p w14:paraId="559006B3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7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Eye movements reveal fast, voice-specific priming.</w:t>
        </w:r>
      </w:hyperlink>
    </w:p>
    <w:p w14:paraId="115DD746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8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Purity homophily in social networks.</w:t>
        </w:r>
      </w:hyperlink>
    </w:p>
    <w:p w14:paraId="58184E87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2016, Volume 145, Issue 4 (Apr)</w:t>
      </w:r>
    </w:p>
    <w:p w14:paraId="3789706D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9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Worrying about the future: An episodic specificity induction impacts problem solving, reappraisal, and well-being.</w:t>
        </w:r>
      </w:hyperlink>
    </w:p>
    <w:p w14:paraId="2EAAE834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10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Neural dissociations in attitude strength: Distinct regions of cingulate cortex track ambivalence and certainty.</w:t>
        </w:r>
      </w:hyperlink>
    </w:p>
    <w:p w14:paraId="6D9AEE3A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11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Is sharing specific autobiographical memories a distinct form of self-disclosure?</w:t>
        </w:r>
      </w:hyperlink>
    </w:p>
    <w:p w14:paraId="6BB21104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12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Social stress facilitates risk in youths.</w:t>
        </w:r>
      </w:hyperlink>
    </w:p>
    <w:p w14:paraId="2943C0AA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2016, Volume 145, Issue 6 (June)</w:t>
      </w:r>
    </w:p>
    <w:p w14:paraId="2742F720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13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Immunization against social fear learning.</w:t>
        </w:r>
      </w:hyperlink>
    </w:p>
    <w:p w14:paraId="4F0F5766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14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Towards a better understanding of parallel visual processing in human vision: Evidence for exhaustive analysis of visual information.</w:t>
        </w:r>
      </w:hyperlink>
    </w:p>
    <w:p w14:paraId="1A98B68E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15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Expanding the boundaries of evaluative learning research: How intersecting regularities shape our likes and dislikes.</w:t>
        </w:r>
      </w:hyperlink>
    </w:p>
    <w:p w14:paraId="6FA01889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16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Motivated recall in the service of the economic system: The case of anthropogenic climate change.</w:t>
        </w:r>
      </w:hyperlink>
    </w:p>
    <w:p w14:paraId="6BDA2D63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17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Inference of trustworthiness from intuitive moral judgments.</w:t>
        </w:r>
      </w:hyperlink>
    </w:p>
    <w:p w14:paraId="2C0C2547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2016, Volume 145, Issue 7 (Jul)</w:t>
      </w:r>
    </w:p>
    <w:p w14:paraId="68FEE770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18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Complicating decisions: The work ethic heuristic and the construction of effortful decisions.</w:t>
        </w:r>
      </w:hyperlink>
    </w:p>
    <w:p w14:paraId="16019AF1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19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Caught red-minded: Evidence-induced denial of mental transgressions.</w:t>
        </w:r>
      </w:hyperlink>
    </w:p>
    <w:p w14:paraId="56A1CE90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20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On the difficulty of mending metacognitive illusions: A priori theories, fluency effects, and misattributions of the interleaving benefit.</w:t>
        </w:r>
      </w:hyperlink>
    </w:p>
    <w:p w14:paraId="187E614D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lastRenderedPageBreak/>
        <w:t>2016, Volume 145, Issue 8 (Aug)</w:t>
      </w:r>
    </w:p>
    <w:p w14:paraId="43678B88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21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Why are you late? Investigating the role of time management in time-based prospective memory.</w:t>
        </w:r>
      </w:hyperlink>
    </w:p>
    <w:p w14:paraId="7660C1F6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22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Learning in rich networks involves both positive and negative associations.</w:t>
        </w:r>
      </w:hyperlink>
    </w:p>
    <w:p w14:paraId="78FDE73C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2016, Volume 145, Issue 10 (Oct)</w:t>
      </w:r>
    </w:p>
    <w:p w14:paraId="3F9CE627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23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An integrated perspective on insight.</w:t>
        </w:r>
      </w:hyperlink>
    </w:p>
    <w:p w14:paraId="01363BAA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24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Long-term working memory and transient storage in reading comprehension: What is the evidence? Comment on Foroughi, Werner, Barragán, and Boehm-Davis (2015).</w:t>
        </w:r>
      </w:hyperlink>
    </w:p>
    <w:p w14:paraId="189BA5E7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2016, Volume 145, Issue 11 (Nov)</w:t>
      </w:r>
    </w:p>
    <w:p w14:paraId="26384ACA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25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Memory states influence value-based decisions.</w:t>
        </w:r>
      </w:hyperlink>
    </w:p>
    <w:p w14:paraId="5899EB61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26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A look into the future: Spontaneous anticipatory saccades reflect processes of anticipatory action control.</w:t>
        </w:r>
      </w:hyperlink>
    </w:p>
    <w:p w14:paraId="23E7CF14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2016, Volume 145, Issue 12 (Dec)</w:t>
      </w:r>
    </w:p>
    <w:p w14:paraId="0F00048A" w14:textId="46A90BAD" w:rsidR="0058748B" w:rsidRPr="00BC22FE" w:rsidRDefault="00F62C90" w:rsidP="0058748B">
      <w:pPr>
        <w:rPr>
          <w:kern w:val="0"/>
          <w:sz w:val="24"/>
          <w:szCs w:val="24"/>
          <w:lang w:eastAsia="en-NL"/>
        </w:rPr>
      </w:pPr>
      <w:hyperlink r:id="rId27" w:history="1">
        <w:r w:rsidR="0058748B" w:rsidRPr="00F62C90">
          <w:rPr>
            <w:rStyle w:val="Hyperlink"/>
            <w:kern w:val="0"/>
            <w:sz w:val="24"/>
            <w:szCs w:val="24"/>
            <w:lang w:eastAsia="en-NL"/>
          </w:rPr>
          <w:t>Exposure to justice diminishes moral perception.</w:t>
        </w:r>
      </w:hyperlink>
    </w:p>
    <w:p w14:paraId="0EBAE68C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28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 xml:space="preserve">Two Bayesian tests of the </w:t>
        </w:r>
        <w:proofErr w:type="spellStart"/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GLOMOsys</w:t>
        </w:r>
        <w:proofErr w:type="spellEnd"/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 Model.</w:t>
        </w:r>
      </w:hyperlink>
    </w:p>
    <w:p w14:paraId="332B361E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2017, Volume 146, Issue 1 (Jan)</w:t>
      </w:r>
    </w:p>
    <w:p w14:paraId="1BC7EBA7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29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 xml:space="preserve">The dynamic effect of incentives on </w:t>
        </w:r>
        <w:proofErr w:type="spellStart"/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postreward</w:t>
        </w:r>
        <w:proofErr w:type="spellEnd"/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 xml:space="preserve"> task engagement.</w:t>
        </w:r>
      </w:hyperlink>
    </w:p>
    <w:p w14:paraId="5FA81578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30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Overdistribution illusions: Categorical judgments produce them, confidence ratings reduce them.</w:t>
        </w:r>
      </w:hyperlink>
    </w:p>
    <w:p w14:paraId="4E4C9873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31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Who “believes” in the Gambler’s Fallacy and why?</w:t>
        </w:r>
      </w:hyperlink>
    </w:p>
    <w:p w14:paraId="6B815748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32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Entrainment to an auditory signal: Is attention involved?</w:t>
        </w:r>
      </w:hyperlink>
    </w:p>
    <w:p w14:paraId="5BFE4763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33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Two paths to blame: Intentionality directs moral information processing along two distinct tracks.</w:t>
        </w:r>
      </w:hyperlink>
    </w:p>
    <w:p w14:paraId="45057FE6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34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Imagining wrong: Fictitious contexts mitigate condemnation of harm more than impurity.</w:t>
        </w:r>
      </w:hyperlink>
    </w:p>
    <w:p w14:paraId="7F0879B6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2017, Volume 146, Issue 3 (Mar)</w:t>
      </w:r>
    </w:p>
    <w:p w14:paraId="03322F2F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35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Motor experience influences object knowledge.</w:t>
        </w:r>
      </w:hyperlink>
    </w:p>
    <w:p w14:paraId="3748DF7D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2017, Volume 146, Issue 4 (Apr)</w:t>
      </w:r>
    </w:p>
    <w:p w14:paraId="01B287D9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36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The malleability of emotional perception: Short-term plasticity in retinotopic neurons accompanies the formation of perceptual biases to threat.</w:t>
        </w:r>
      </w:hyperlink>
    </w:p>
    <w:p w14:paraId="3912343F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37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Fairness overrides group bias in children’s second-party punishment.</w:t>
        </w:r>
      </w:hyperlink>
      <w:r w:rsidRPr="00BC22FE">
        <w:rPr>
          <w:kern w:val="0"/>
          <w:sz w:val="24"/>
          <w:szCs w:val="24"/>
          <w:lang w:eastAsia="en-NL"/>
        </w:rPr>
        <w:t xml:space="preserve"> </w:t>
      </w:r>
      <w:hyperlink r:id="rId38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Role of accentuation in the selection/rejection task framing effect.</w:t>
        </w:r>
      </w:hyperlink>
    </w:p>
    <w:p w14:paraId="0A6B395F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2022, Volume 151, Issue 9</w:t>
      </w:r>
    </w:p>
    <w:p w14:paraId="4E84ABE1" w14:textId="7D8966B0" w:rsidR="0058748B" w:rsidRPr="00BC22FE" w:rsidRDefault="00F62C90" w:rsidP="0058748B">
      <w:pPr>
        <w:rPr>
          <w:kern w:val="0"/>
          <w:sz w:val="24"/>
          <w:szCs w:val="24"/>
          <w:lang w:eastAsia="en-NL"/>
        </w:rPr>
      </w:pPr>
      <w:hyperlink r:id="rId39" w:history="1">
        <w:r w:rsidR="0058748B" w:rsidRPr="00F62C90">
          <w:rPr>
            <w:rStyle w:val="Hyperlink"/>
            <w:kern w:val="0"/>
            <w:sz w:val="24"/>
            <w:szCs w:val="24"/>
            <w:lang w:eastAsia="en-NL"/>
          </w:rPr>
          <w:t xml:space="preserve">A (failed) attempt to falsify the alliance hypothesis of racial categorization: Racial categorization is not reduced when crossed with a </w:t>
        </w:r>
        <w:proofErr w:type="spellStart"/>
        <w:r w:rsidR="0058748B" w:rsidRPr="00F62C90">
          <w:rPr>
            <w:rStyle w:val="Hyperlink"/>
            <w:kern w:val="0"/>
            <w:sz w:val="24"/>
            <w:szCs w:val="24"/>
            <w:lang w:eastAsia="en-NL"/>
          </w:rPr>
          <w:t>nonalliance</w:t>
        </w:r>
        <w:proofErr w:type="spellEnd"/>
        <w:r w:rsidR="0058748B" w:rsidRPr="00F62C90">
          <w:rPr>
            <w:rStyle w:val="Hyperlink"/>
            <w:kern w:val="0"/>
            <w:sz w:val="24"/>
            <w:szCs w:val="24"/>
            <w:lang w:eastAsia="en-NL"/>
          </w:rPr>
          <w:t xml:space="preserve"> category</w:t>
        </w:r>
      </w:hyperlink>
      <w:r w:rsidR="0058748B" w:rsidRPr="00BC22FE">
        <w:rPr>
          <w:kern w:val="0"/>
          <w:sz w:val="24"/>
          <w:szCs w:val="24"/>
          <w:lang w:eastAsia="en-NL"/>
        </w:rPr>
        <w:t>.</w:t>
      </w:r>
    </w:p>
    <w:p w14:paraId="52C2C3AF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lastRenderedPageBreak/>
        <w:t>2022, Volume 151, Issue 10</w:t>
      </w:r>
    </w:p>
    <w:p w14:paraId="14D9EE76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40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The effects of repetition on belief in naturalistic settings.</w:t>
        </w:r>
      </w:hyperlink>
    </w:p>
    <w:p w14:paraId="079DEF33" w14:textId="77777777" w:rsidR="0058748B" w:rsidRPr="00BC22FE" w:rsidRDefault="0058748B" w:rsidP="0058748B">
      <w:pPr>
        <w:pStyle w:val="Heading2"/>
        <w:rPr>
          <w:rFonts w:eastAsia="Times New Roman"/>
          <w:lang w:eastAsia="en-NL"/>
        </w:rPr>
      </w:pPr>
      <w:r w:rsidRPr="00BC22FE">
        <w:rPr>
          <w:rFonts w:eastAsia="Times New Roman"/>
          <w:lang w:eastAsia="en-NL"/>
        </w:rPr>
        <w:t>2022, Volume 151, Issue 12</w:t>
      </w:r>
    </w:p>
    <w:p w14:paraId="50EE3232" w14:textId="0BB7BBAE" w:rsidR="0058748B" w:rsidRPr="00BC22FE" w:rsidRDefault="00F62C90" w:rsidP="0058748B">
      <w:pPr>
        <w:rPr>
          <w:kern w:val="0"/>
          <w:sz w:val="24"/>
          <w:szCs w:val="24"/>
          <w:lang w:eastAsia="en-NL"/>
        </w:rPr>
      </w:pPr>
      <w:hyperlink r:id="rId41" w:history="1">
        <w:r w:rsidR="0058748B" w:rsidRPr="00F62C90">
          <w:rPr>
            <w:rStyle w:val="Hyperlink"/>
            <w:kern w:val="0"/>
            <w:sz w:val="24"/>
            <w:szCs w:val="24"/>
            <w:lang w:eastAsia="en-NL"/>
          </w:rPr>
          <w:t>Interference and integration in hierarchical task learning.</w:t>
        </w:r>
      </w:hyperlink>
    </w:p>
    <w:p w14:paraId="5D088A9E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42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Promoting visual long-term memories: When do we learn from repetitions of visuospatial arrays?</w:t>
        </w:r>
      </w:hyperlink>
    </w:p>
    <w:p w14:paraId="2BBAC32A" w14:textId="77777777" w:rsidR="0058748B" w:rsidRPr="00BC22FE" w:rsidRDefault="0058748B" w:rsidP="0058748B">
      <w:pPr>
        <w:rPr>
          <w:kern w:val="0"/>
          <w:sz w:val="24"/>
          <w:szCs w:val="24"/>
          <w:lang w:eastAsia="en-NL"/>
        </w:rPr>
      </w:pPr>
      <w:hyperlink r:id="rId43" w:history="1">
        <w:r w:rsidRPr="00BC22FE">
          <w:rPr>
            <w:color w:val="0000FF"/>
            <w:kern w:val="0"/>
            <w:sz w:val="24"/>
            <w:szCs w:val="24"/>
            <w:u w:val="single"/>
            <w:lang w:eastAsia="en-NL"/>
          </w:rPr>
          <w:t>Re-examining the spread of moralized rhetoric from political elites: Effects of valence and ideology.</w:t>
        </w:r>
      </w:hyperlink>
    </w:p>
    <w:p w14:paraId="36DDEE16" w14:textId="77777777" w:rsidR="0058748B" w:rsidRDefault="0058748B" w:rsidP="0058748B"/>
    <w:p w14:paraId="26C59EEE" w14:textId="77777777" w:rsidR="005320A7" w:rsidRDefault="005320A7"/>
    <w:sectPr w:rsidR="005320A7">
      <w:head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94EF" w14:textId="77777777" w:rsidR="00000000" w:rsidRDefault="00000000">
    <w:pPr>
      <w:pStyle w:val="Header"/>
      <w:rPr>
        <w:lang w:val="en-US"/>
      </w:rPr>
    </w:pPr>
    <w:r w:rsidRPr="00032F72">
      <w:rPr>
        <w:lang w:val="en-US"/>
      </w:rPr>
      <w:t>Supplemental material for</w:t>
    </w:r>
    <w:r>
      <w:rPr>
        <w:lang w:val="en-US"/>
      </w:rPr>
      <w:t xml:space="preserve"> the paper</w:t>
    </w:r>
    <w:r w:rsidRPr="00032F72">
      <w:rPr>
        <w:lang w:val="en-US"/>
      </w:rPr>
      <w:t xml:space="preserve"> </w:t>
    </w:r>
    <w:r w:rsidRPr="00032F72">
      <w:rPr>
        <w:lang w:val="en-US"/>
      </w:rPr>
      <w:t>“</w:t>
    </w:r>
    <w:r w:rsidRPr="00032F72">
      <w:rPr>
        <w:lang w:val="en-US"/>
      </w:rPr>
      <w:t>Implementing statcheck during peer review is related to a steep decline in statistical reporting inconsistencies</w:t>
    </w:r>
    <w:r>
      <w:rPr>
        <w:lang w:val="en-US"/>
      </w:rPr>
      <w:t>”</w:t>
    </w:r>
    <w:r>
      <w:rPr>
        <w:lang w:val="en-US"/>
      </w:rPr>
      <w:t xml:space="preserve">. </w:t>
    </w:r>
    <w:r>
      <w:rPr>
        <w:lang w:val="en-US"/>
      </w:rPr>
      <w:t>Project page</w:t>
    </w:r>
    <w:r>
      <w:rPr>
        <w:lang w:val="en-US"/>
      </w:rPr>
      <w:t xml:space="preserve">: </w:t>
    </w:r>
    <w:hyperlink r:id="rId1" w:history="1">
      <w:r w:rsidRPr="004046AE">
        <w:rPr>
          <w:rStyle w:val="Hyperlink"/>
          <w:lang w:val="en-US"/>
        </w:rPr>
        <w:t>https://osf.io/q84jn</w:t>
      </w:r>
    </w:hyperlink>
    <w:r>
      <w:rPr>
        <w:lang w:val="en-US"/>
      </w:rPr>
      <w:t xml:space="preserve">. </w:t>
    </w:r>
  </w:p>
  <w:p w14:paraId="537597F3" w14:textId="77777777" w:rsidR="00000000" w:rsidRPr="00032F72" w:rsidRDefault="00000000">
    <w:pPr>
      <w:pStyle w:val="Header"/>
      <w:rPr>
        <w:lang w:val="en-US"/>
      </w:rPr>
    </w:pPr>
    <w:r>
      <w:rPr>
        <w:lang w:val="en-US"/>
      </w:rPr>
      <w:t>Michèle Nuijte</w:t>
    </w:r>
    <w:r>
      <w:rPr>
        <w:lang w:val="en-US"/>
      </w:rPr>
      <w:t>n &amp; Jelte Wicherts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8B"/>
    <w:rsid w:val="000F1FDF"/>
    <w:rsid w:val="005320A7"/>
    <w:rsid w:val="0058748B"/>
    <w:rsid w:val="00F6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6D29"/>
  <w15:chartTrackingRefBased/>
  <w15:docId w15:val="{D9F56B6A-D905-4F60-9540-AF6FC72B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8B"/>
  </w:style>
  <w:style w:type="paragraph" w:styleId="Heading1">
    <w:name w:val="heading 1"/>
    <w:basedOn w:val="Normal"/>
    <w:next w:val="Normal"/>
    <w:link w:val="Heading1Char"/>
    <w:uiPriority w:val="9"/>
    <w:qFormat/>
    <w:rsid w:val="00587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4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7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48B"/>
  </w:style>
  <w:style w:type="paragraph" w:styleId="Title">
    <w:name w:val="Title"/>
    <w:basedOn w:val="Normal"/>
    <w:next w:val="Normal"/>
    <w:link w:val="TitleChar"/>
    <w:uiPriority w:val="10"/>
    <w:qFormat/>
    <w:rsid w:val="00587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7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62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ycnet.apa.org/record/2016-18115-001" TargetMode="External"/><Relationship Id="rId18" Type="http://schemas.openxmlformats.org/officeDocument/2006/relationships/hyperlink" Target="https://psycnet.apa.org/record/2016-20780-001" TargetMode="External"/><Relationship Id="rId26" Type="http://schemas.openxmlformats.org/officeDocument/2006/relationships/hyperlink" Target="https://psycnet.apa.org/record/2016-51774-004" TargetMode="External"/><Relationship Id="rId39" Type="http://schemas.openxmlformats.org/officeDocument/2006/relationships/hyperlink" Target="https://psycnet.apa.org/record/2022-78258-001" TargetMode="External"/><Relationship Id="rId21" Type="http://schemas.openxmlformats.org/officeDocument/2006/relationships/hyperlink" Target="https://psycnet.apa.org/record/2016-31164-001" TargetMode="External"/><Relationship Id="rId34" Type="http://schemas.openxmlformats.org/officeDocument/2006/relationships/hyperlink" Target="https://psycnet.apa.org/record/2016-62338-008" TargetMode="External"/><Relationship Id="rId42" Type="http://schemas.openxmlformats.org/officeDocument/2006/relationships/hyperlink" Target="https://psycnet.apa.org/record/2022-63977-001" TargetMode="External"/><Relationship Id="rId7" Type="http://schemas.openxmlformats.org/officeDocument/2006/relationships/hyperlink" Target="https://psycnet.apa.org/record/2015-58951-0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sycnet.apa.org/record/2016-20779-001" TargetMode="External"/><Relationship Id="rId29" Type="http://schemas.openxmlformats.org/officeDocument/2006/relationships/hyperlink" Target="https://psycnet.apa.org/record/2016-62338-001" TargetMode="External"/><Relationship Id="rId1" Type="http://schemas.openxmlformats.org/officeDocument/2006/relationships/styles" Target="styles.xml"/><Relationship Id="rId6" Type="http://schemas.openxmlformats.org/officeDocument/2006/relationships/hyperlink" Target="https://psycnet.apa.org/record/2015-51322-001" TargetMode="External"/><Relationship Id="rId11" Type="http://schemas.openxmlformats.org/officeDocument/2006/relationships/hyperlink" Target="https://psycnet.apa.org/record/2016-03866-001" TargetMode="External"/><Relationship Id="rId24" Type="http://schemas.openxmlformats.org/officeDocument/2006/relationships/hyperlink" Target="https://psycnet.apa.org/record/2016-46925-006" TargetMode="External"/><Relationship Id="rId32" Type="http://schemas.openxmlformats.org/officeDocument/2006/relationships/hyperlink" Target="https://psycnet.apa.org/record/2016-62338-005" TargetMode="External"/><Relationship Id="rId37" Type="http://schemas.openxmlformats.org/officeDocument/2006/relationships/hyperlink" Target="https://psycnet.apa.org/record/2017-14922-004" TargetMode="External"/><Relationship Id="rId40" Type="http://schemas.openxmlformats.org/officeDocument/2006/relationships/hyperlink" Target="https://psycnet.apa.org/record/2022-43730-001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psycnet.apa.org/record/2015-49829-001" TargetMode="External"/><Relationship Id="rId15" Type="http://schemas.openxmlformats.org/officeDocument/2006/relationships/hyperlink" Target="https://psycnet.apa.org/record/2016-21254-001" TargetMode="External"/><Relationship Id="rId23" Type="http://schemas.openxmlformats.org/officeDocument/2006/relationships/hyperlink" Target="https://psycnet.apa.org/record/2016-46925-003" TargetMode="External"/><Relationship Id="rId28" Type="http://schemas.openxmlformats.org/officeDocument/2006/relationships/hyperlink" Target="https://psycnet.apa.org/record/2016-57218-001" TargetMode="External"/><Relationship Id="rId36" Type="http://schemas.openxmlformats.org/officeDocument/2006/relationships/hyperlink" Target="https://psycnet.apa.org/record/2017-14922-002" TargetMode="External"/><Relationship Id="rId10" Type="http://schemas.openxmlformats.org/officeDocument/2006/relationships/hyperlink" Target="https://psycnet.apa.org/record/2016-06214-001" TargetMode="External"/><Relationship Id="rId19" Type="http://schemas.openxmlformats.org/officeDocument/2006/relationships/hyperlink" Target="https://psycnet.apa.org/record/2016-21255-001" TargetMode="External"/><Relationship Id="rId31" Type="http://schemas.openxmlformats.org/officeDocument/2006/relationships/hyperlink" Target="https://psycnet.apa.org/record/2016-62338-004" TargetMode="External"/><Relationship Id="rId44" Type="http://schemas.openxmlformats.org/officeDocument/2006/relationships/header" Target="header1.xml"/><Relationship Id="rId4" Type="http://schemas.openxmlformats.org/officeDocument/2006/relationships/hyperlink" Target="https://psycnet.apa.org/record/2015-59157-001" TargetMode="External"/><Relationship Id="rId9" Type="http://schemas.openxmlformats.org/officeDocument/2006/relationships/hyperlink" Target="https://psycnet.apa.org/record/2016-04493-001" TargetMode="External"/><Relationship Id="rId14" Type="http://schemas.openxmlformats.org/officeDocument/2006/relationships/hyperlink" Target="https://psycnet.apa.org/record/2016-18116-001" TargetMode="External"/><Relationship Id="rId22" Type="http://schemas.openxmlformats.org/officeDocument/2006/relationships/hyperlink" Target="https://psycnet.apa.org/record/2016-31163-001" TargetMode="External"/><Relationship Id="rId27" Type="http://schemas.openxmlformats.org/officeDocument/2006/relationships/hyperlink" Target="https://psycnet.apa.org/record/2016-57218-004" TargetMode="External"/><Relationship Id="rId30" Type="http://schemas.openxmlformats.org/officeDocument/2006/relationships/hyperlink" Target="https://psycnet.apa.org/record/2016-62338-002" TargetMode="External"/><Relationship Id="rId35" Type="http://schemas.openxmlformats.org/officeDocument/2006/relationships/hyperlink" Target="https://psycnet.apa.org/record/2017-08779-002" TargetMode="External"/><Relationship Id="rId43" Type="http://schemas.openxmlformats.org/officeDocument/2006/relationships/hyperlink" Target="https://psycnet.apa.org/record/2022-71821-001" TargetMode="External"/><Relationship Id="rId8" Type="http://schemas.openxmlformats.org/officeDocument/2006/relationships/hyperlink" Target="https://psycnet.apa.org/record/2015-58947-00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sycnet.apa.org/record/2016-06806-001" TargetMode="External"/><Relationship Id="rId17" Type="http://schemas.openxmlformats.org/officeDocument/2006/relationships/hyperlink" Target="https://psycnet.apa.org/record/2016-17150-001" TargetMode="External"/><Relationship Id="rId25" Type="http://schemas.openxmlformats.org/officeDocument/2006/relationships/hyperlink" Target="https://psycnet.apa.org/record/2016-51774-001" TargetMode="External"/><Relationship Id="rId33" Type="http://schemas.openxmlformats.org/officeDocument/2006/relationships/hyperlink" Target="https://psycnet.apa.org/record/2016-62338-007" TargetMode="External"/><Relationship Id="rId38" Type="http://schemas.openxmlformats.org/officeDocument/2006/relationships/hyperlink" Target="https://psycnet.apa.org/record/2017-14922-007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psycnet.apa.org/record/2016-25875-001" TargetMode="External"/><Relationship Id="rId41" Type="http://schemas.openxmlformats.org/officeDocument/2006/relationships/hyperlink" Target="https://psycnet.apa.org/record/2022-72673-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sf.io/q84j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Michèle Nuijten</cp:lastModifiedBy>
  <cp:revision>2</cp:revision>
  <dcterms:created xsi:type="dcterms:W3CDTF">2023-10-24T13:29:00Z</dcterms:created>
  <dcterms:modified xsi:type="dcterms:W3CDTF">2023-10-24T13:33:00Z</dcterms:modified>
</cp:coreProperties>
</file>