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3423" w14:textId="77777777" w:rsidR="00AB4DC6" w:rsidRDefault="00AB4DC6">
      <w:pPr>
        <w:spacing w:before="720"/>
        <w:jc w:val="center"/>
        <w:rPr>
          <w:rFonts w:cs="Times New Roman"/>
          <w:bCs/>
          <w:color w:val="000000" w:themeColor="text1"/>
          <w:sz w:val="32"/>
          <w:szCs w:val="32"/>
        </w:rPr>
      </w:pPr>
    </w:p>
    <w:p w14:paraId="62157493" w14:textId="77777777" w:rsidR="00AB4DC6" w:rsidRDefault="00AB4DC6">
      <w:pPr>
        <w:spacing w:before="720"/>
        <w:jc w:val="center"/>
        <w:rPr>
          <w:rFonts w:cs="Times New Roman"/>
          <w:bCs/>
          <w:color w:val="000000" w:themeColor="text1"/>
          <w:sz w:val="32"/>
          <w:szCs w:val="32"/>
        </w:rPr>
      </w:pPr>
    </w:p>
    <w:p w14:paraId="1695967C" w14:textId="08E20639" w:rsidR="00E77412" w:rsidRPr="00AB4DC6" w:rsidRDefault="00000000">
      <w:pPr>
        <w:spacing w:before="720"/>
        <w:jc w:val="center"/>
        <w:rPr>
          <w:rFonts w:cs="Times New Roman"/>
          <w:b/>
          <w:color w:val="000000" w:themeColor="text1"/>
          <w:sz w:val="32"/>
          <w:szCs w:val="32"/>
        </w:rPr>
      </w:pPr>
      <w:r w:rsidRPr="00AB4DC6">
        <w:rPr>
          <w:rFonts w:cs="Times New Roman"/>
          <w:b/>
          <w:color w:val="000000" w:themeColor="text1"/>
          <w:sz w:val="32"/>
          <w:szCs w:val="32"/>
        </w:rPr>
        <w:t>INTERNSHIP REPORT</w:t>
      </w:r>
      <w:r w:rsidRPr="00AB4DC6">
        <w:rPr>
          <w:rFonts w:cs="Times New Roman"/>
          <w:b/>
          <w:color w:val="000000" w:themeColor="text1"/>
          <w:sz w:val="32"/>
          <w:szCs w:val="32"/>
        </w:rPr>
        <w:br/>
      </w:r>
      <w:r w:rsidRPr="00AB4DC6">
        <w:rPr>
          <w:rFonts w:cs="Times New Roman"/>
          <w:b/>
          <w:color w:val="000000" w:themeColor="text1"/>
          <w:sz w:val="32"/>
          <w:szCs w:val="32"/>
        </w:rPr>
        <w:br/>
      </w:r>
    </w:p>
    <w:p w14:paraId="03BAD284" w14:textId="77777777" w:rsidR="00E77412" w:rsidRPr="00AB4DC6" w:rsidRDefault="00000000">
      <w:pPr>
        <w:jc w:val="center"/>
        <w:rPr>
          <w:rFonts w:cs="Times New Roman"/>
          <w:b/>
          <w:color w:val="000000" w:themeColor="text1"/>
          <w:sz w:val="32"/>
          <w:szCs w:val="32"/>
        </w:rPr>
      </w:pPr>
      <w:r w:rsidRPr="00AB4DC6">
        <w:rPr>
          <w:rFonts w:cs="Times New Roman"/>
          <w:b/>
          <w:color w:val="000000" w:themeColor="text1"/>
          <w:sz w:val="32"/>
          <w:szCs w:val="32"/>
        </w:rPr>
        <w:t>CASH FLOW AUTOMATION AND ACTIVITY TRACKING SYSTEM</w:t>
      </w:r>
      <w:r w:rsidRPr="00AB4DC6">
        <w:rPr>
          <w:rFonts w:cs="Times New Roman"/>
          <w:b/>
          <w:color w:val="000000" w:themeColor="text1"/>
          <w:sz w:val="32"/>
          <w:szCs w:val="32"/>
        </w:rPr>
        <w:br/>
      </w:r>
    </w:p>
    <w:p w14:paraId="312ABFA9" w14:textId="77777777" w:rsidR="00E77412" w:rsidRPr="00AB4DC6" w:rsidRDefault="00000000">
      <w:pPr>
        <w:jc w:val="center"/>
        <w:rPr>
          <w:rFonts w:cs="Times New Roman"/>
          <w:b/>
          <w:color w:val="000000" w:themeColor="text1"/>
          <w:sz w:val="32"/>
          <w:szCs w:val="32"/>
        </w:rPr>
      </w:pPr>
      <w:r w:rsidRPr="00AB4DC6">
        <w:rPr>
          <w:rFonts w:cs="Times New Roman"/>
          <w:b/>
          <w:color w:val="000000" w:themeColor="text1"/>
          <w:sz w:val="32"/>
          <w:szCs w:val="32"/>
        </w:rPr>
        <w:t>L&amp;T Construction</w:t>
      </w:r>
      <w:r w:rsidRPr="00AB4DC6">
        <w:rPr>
          <w:rFonts w:cs="Times New Roman"/>
          <w:b/>
          <w:color w:val="000000" w:themeColor="text1"/>
          <w:sz w:val="32"/>
          <w:szCs w:val="32"/>
        </w:rPr>
        <w:br/>
      </w:r>
    </w:p>
    <w:p w14:paraId="50078897" w14:textId="7E110D2A" w:rsidR="00E77412" w:rsidRPr="00AB4DC6" w:rsidRDefault="00000000">
      <w:pPr>
        <w:spacing w:before="1440" w:after="1440"/>
        <w:jc w:val="center"/>
        <w:rPr>
          <w:rFonts w:cs="Times New Roman"/>
          <w:bCs/>
          <w:color w:val="000000" w:themeColor="text1"/>
          <w:szCs w:val="24"/>
        </w:rPr>
      </w:pPr>
      <w:r w:rsidRPr="00AB4DC6">
        <w:rPr>
          <w:rFonts w:cs="Times New Roman"/>
          <w:bCs/>
          <w:color w:val="000000" w:themeColor="text1"/>
          <w:szCs w:val="24"/>
        </w:rPr>
        <w:t>Submitted by:</w:t>
      </w:r>
      <w:r w:rsidRPr="00AB4DC6">
        <w:rPr>
          <w:rFonts w:cs="Times New Roman"/>
          <w:bCs/>
          <w:color w:val="000000" w:themeColor="text1"/>
          <w:szCs w:val="24"/>
        </w:rPr>
        <w:br/>
        <w:t>MICHELLE DEVASIA</w:t>
      </w:r>
      <w:r w:rsidRPr="00AB4DC6">
        <w:rPr>
          <w:rFonts w:cs="Times New Roman"/>
          <w:bCs/>
          <w:color w:val="000000" w:themeColor="text1"/>
          <w:szCs w:val="24"/>
        </w:rPr>
        <w:br/>
        <w:t>Register No: 2</w:t>
      </w:r>
      <w:r w:rsidR="00AB4DC6">
        <w:rPr>
          <w:rFonts w:cs="Times New Roman"/>
          <w:bCs/>
          <w:color w:val="000000" w:themeColor="text1"/>
          <w:szCs w:val="24"/>
        </w:rPr>
        <w:t>462344</w:t>
      </w:r>
      <w:r w:rsidRPr="00AB4DC6">
        <w:rPr>
          <w:rFonts w:cs="Times New Roman"/>
          <w:bCs/>
          <w:color w:val="000000" w:themeColor="text1"/>
          <w:szCs w:val="24"/>
        </w:rPr>
        <w:br/>
      </w:r>
      <w:proofErr w:type="spellStart"/>
      <w:r w:rsidRPr="00AB4DC6">
        <w:rPr>
          <w:rFonts w:cs="Times New Roman"/>
          <w:bCs/>
          <w:color w:val="000000" w:themeColor="text1"/>
          <w:szCs w:val="24"/>
        </w:rPr>
        <w:t>B.Tech</w:t>
      </w:r>
      <w:proofErr w:type="spellEnd"/>
      <w:r w:rsidRPr="00AB4DC6">
        <w:rPr>
          <w:rFonts w:cs="Times New Roman"/>
          <w:bCs/>
          <w:color w:val="000000" w:themeColor="text1"/>
          <w:szCs w:val="24"/>
        </w:rPr>
        <w:t xml:space="preserve"> in Computer Science (Specialisation in Data Science)</w:t>
      </w:r>
      <w:r w:rsidRPr="00AB4DC6">
        <w:rPr>
          <w:rFonts w:cs="Times New Roman"/>
          <w:bCs/>
          <w:color w:val="000000" w:themeColor="text1"/>
          <w:szCs w:val="24"/>
        </w:rPr>
        <w:br/>
        <w:t>Christ (Deemed to be University), Bengaluru</w:t>
      </w:r>
      <w:r w:rsidRPr="00AB4DC6">
        <w:rPr>
          <w:rFonts w:cs="Times New Roman"/>
          <w:bCs/>
          <w:color w:val="000000" w:themeColor="text1"/>
          <w:szCs w:val="24"/>
        </w:rPr>
        <w:br/>
      </w:r>
      <w:r w:rsidRPr="00AB4DC6">
        <w:rPr>
          <w:rFonts w:cs="Times New Roman"/>
          <w:bCs/>
          <w:color w:val="000000" w:themeColor="text1"/>
          <w:szCs w:val="24"/>
        </w:rPr>
        <w:br/>
        <w:t>Under the Guidance of:</w:t>
      </w:r>
      <w:r w:rsidRPr="00AB4DC6">
        <w:rPr>
          <w:rFonts w:cs="Times New Roman"/>
          <w:bCs/>
          <w:color w:val="000000" w:themeColor="text1"/>
          <w:szCs w:val="24"/>
        </w:rPr>
        <w:br/>
        <w:t>Mr. Karthik Chandra, Ms. Mounika, Ms. Chaitra</w:t>
      </w:r>
      <w:r w:rsidRPr="00AB4DC6">
        <w:rPr>
          <w:rFonts w:cs="Times New Roman"/>
          <w:bCs/>
          <w:color w:val="000000" w:themeColor="text1"/>
          <w:szCs w:val="24"/>
        </w:rPr>
        <w:br/>
        <w:t>L&amp;T Construction</w:t>
      </w:r>
      <w:r w:rsidRPr="00AB4DC6">
        <w:rPr>
          <w:rFonts w:cs="Times New Roman"/>
          <w:bCs/>
          <w:color w:val="000000" w:themeColor="text1"/>
          <w:szCs w:val="24"/>
        </w:rPr>
        <w:br/>
      </w:r>
      <w:r w:rsidRPr="00AB4DC6">
        <w:rPr>
          <w:rFonts w:cs="Times New Roman"/>
          <w:bCs/>
          <w:color w:val="000000" w:themeColor="text1"/>
          <w:szCs w:val="24"/>
        </w:rPr>
        <w:br/>
        <w:t>Period of Internship: May 2nd, 2026 – June 5th, 2026</w:t>
      </w:r>
    </w:p>
    <w:p w14:paraId="19F6E723" w14:textId="6B95A53E" w:rsidR="00E77412" w:rsidRPr="00AB4DC6" w:rsidRDefault="00000000" w:rsidP="00AB4DC6">
      <w:pPr>
        <w:rPr>
          <w:rFonts w:cs="Times New Roman"/>
          <w:b/>
          <w:color w:val="000000" w:themeColor="text1"/>
          <w:sz w:val="28"/>
          <w:szCs w:val="28"/>
          <w:u w:val="single"/>
        </w:rPr>
      </w:pPr>
      <w:r w:rsidRPr="00AB4DC6">
        <w:rPr>
          <w:rFonts w:cs="Times New Roman"/>
          <w:bCs/>
          <w:color w:val="000000" w:themeColor="text1"/>
          <w:szCs w:val="24"/>
        </w:rPr>
        <w:br w:type="page"/>
      </w:r>
      <w:r w:rsidRPr="00AB4DC6">
        <w:rPr>
          <w:rFonts w:cs="Times New Roman"/>
          <w:b/>
          <w:color w:val="000000" w:themeColor="text1"/>
          <w:sz w:val="28"/>
          <w:szCs w:val="28"/>
          <w:u w:val="single"/>
        </w:rPr>
        <w:lastRenderedPageBreak/>
        <w:t>ACKNOWLEDGEMENTS</w:t>
      </w:r>
    </w:p>
    <w:p w14:paraId="00711D48" w14:textId="77777777" w:rsidR="00AB4DC6" w:rsidRDefault="00AB4DC6">
      <w:pPr>
        <w:jc w:val="both"/>
        <w:rPr>
          <w:rFonts w:cs="Times New Roman"/>
          <w:bCs/>
          <w:color w:val="000000" w:themeColor="text1"/>
          <w:szCs w:val="24"/>
        </w:rPr>
      </w:pPr>
    </w:p>
    <w:p w14:paraId="300DF817" w14:textId="63A9B42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I would like to express my deepest gratitude to L&amp;T Construction for providing me with a challenging and enriching opportunity to undertake this internship. This project has been an invaluable learning experience, giving me practical exposure to industrial planning, project finance, and web-based software automation.</w:t>
      </w:r>
    </w:p>
    <w:p w14:paraId="22F3640C"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I am highly indebted to my industry mentors, Mr. Karthik Chandra, Ms. Mounika, and Ms. Chaitra, for their continuous support, technical mentorship, and constructive feedback throughout the course of this project. Their guidance was essential in designing a generalized system that meets the complex demands of modern construction operations.</w:t>
      </w:r>
    </w:p>
    <w:p w14:paraId="6E51E418"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I also extend my sincere gratitude to the Department of Computer Science at Christ (Deemed to be University), Bengaluru, for their academic support and facilitating this industry collaboration, helping to bridge academic knowledge with real-world computational engineering practices.</w:t>
      </w:r>
    </w:p>
    <w:p w14:paraId="56A84E59"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br w:type="page"/>
      </w:r>
    </w:p>
    <w:p w14:paraId="11D2A040" w14:textId="77777777" w:rsidR="00E77412" w:rsidRDefault="00000000">
      <w:pPr>
        <w:spacing w:before="240"/>
        <w:rPr>
          <w:rFonts w:cs="Times New Roman"/>
          <w:b/>
          <w:color w:val="000000" w:themeColor="text1"/>
          <w:sz w:val="28"/>
          <w:szCs w:val="28"/>
          <w:u w:val="single"/>
        </w:rPr>
      </w:pPr>
      <w:r w:rsidRPr="00AB4DC6">
        <w:rPr>
          <w:rFonts w:cs="Times New Roman"/>
          <w:b/>
          <w:color w:val="000000" w:themeColor="text1"/>
          <w:sz w:val="28"/>
          <w:szCs w:val="28"/>
        </w:rPr>
        <w:lastRenderedPageBreak/>
        <w:t xml:space="preserve">1. </w:t>
      </w:r>
      <w:r w:rsidRPr="00AB4DC6">
        <w:rPr>
          <w:rFonts w:cs="Times New Roman"/>
          <w:b/>
          <w:color w:val="000000" w:themeColor="text1"/>
          <w:sz w:val="28"/>
          <w:szCs w:val="28"/>
          <w:u w:val="single"/>
        </w:rPr>
        <w:t>PROJECT CONTEXT &amp; SYSTEM DESIGN</w:t>
      </w:r>
    </w:p>
    <w:p w14:paraId="31D44DBC" w14:textId="77777777" w:rsidR="00AB4DC6" w:rsidRPr="00AB4DC6" w:rsidRDefault="00AB4DC6">
      <w:pPr>
        <w:spacing w:before="240"/>
        <w:rPr>
          <w:rFonts w:cs="Times New Roman"/>
          <w:b/>
          <w:color w:val="000000" w:themeColor="text1"/>
          <w:sz w:val="28"/>
          <w:szCs w:val="28"/>
        </w:rPr>
      </w:pPr>
    </w:p>
    <w:p w14:paraId="585A6AA6"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1.1 Project Overview &amp; Objectives</w:t>
      </w:r>
    </w:p>
    <w:p w14:paraId="1FBA5360"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Cash flow management is one of the most critical aspects of construction project execution. Managing project financial schedules involves tracking substantial contracts, scheduling progress, predicting billing milestones, and controlling vendor outflows. This internship focused on building a fully customizable and generalized cash flow automation system using a Python-based Streamlit web application. The primary goal was to construct a robust, flexible application that allows planning engineers to dynamically configure activities, milestones, and billing distributions without hardcoded formulas or rigid constraints.</w:t>
      </w:r>
    </w:p>
    <w:p w14:paraId="4A1D4106"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1.2 System Architecture &amp; Design Objectives</w:t>
      </w:r>
    </w:p>
    <w:p w14:paraId="5F545107"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To provide a generalized solution, the system follows a decoupled architectural pattern. Instead of relying on fixed row/column layouts, the application stores raw entity data and links them dynamically. The main objectives include:</w:t>
      </w:r>
    </w:p>
    <w:p w14:paraId="40B56F2E" w14:textId="77777777" w:rsidR="00E77412" w:rsidRPr="00AB4DC6" w:rsidRDefault="00000000">
      <w:pPr>
        <w:pStyle w:val="ListBullet"/>
        <w:spacing w:after="60"/>
        <w:rPr>
          <w:rFonts w:cs="Times New Roman"/>
          <w:bCs/>
          <w:color w:val="000000" w:themeColor="text1"/>
          <w:szCs w:val="24"/>
        </w:rPr>
      </w:pPr>
      <w:r w:rsidRPr="00AB4DC6">
        <w:rPr>
          <w:rFonts w:cs="Times New Roman"/>
          <w:bCs/>
          <w:color w:val="000000" w:themeColor="text1"/>
          <w:szCs w:val="24"/>
        </w:rPr>
        <w:t>Complete Customizability: Users must have the ability to Create, Read, Update, and Delete (CRUD) activities, sub-activities, billing milestones, and vendor payment rules directly within the graphical web interface.</w:t>
      </w:r>
    </w:p>
    <w:p w14:paraId="0B77184C" w14:textId="77777777" w:rsidR="00E77412" w:rsidRPr="00AB4DC6" w:rsidRDefault="00000000">
      <w:pPr>
        <w:pStyle w:val="ListBullet"/>
        <w:spacing w:after="60"/>
        <w:rPr>
          <w:rFonts w:cs="Times New Roman"/>
          <w:bCs/>
          <w:color w:val="000000" w:themeColor="text1"/>
          <w:szCs w:val="24"/>
        </w:rPr>
      </w:pPr>
      <w:r w:rsidRPr="00AB4DC6">
        <w:rPr>
          <w:rFonts w:cs="Times New Roman"/>
          <w:bCs/>
          <w:color w:val="000000" w:themeColor="text1"/>
          <w:szCs w:val="24"/>
        </w:rPr>
        <w:t>Generalized Framework: The application must adapt to any project configuration, timeline length, or activity breakdown without requiring code changes or schema redefinitions.</w:t>
      </w:r>
    </w:p>
    <w:p w14:paraId="72EBD441" w14:textId="77777777" w:rsidR="00E77412" w:rsidRPr="00AB4DC6" w:rsidRDefault="00000000">
      <w:pPr>
        <w:pStyle w:val="ListBullet"/>
        <w:spacing w:after="60"/>
        <w:rPr>
          <w:rFonts w:cs="Times New Roman"/>
          <w:bCs/>
          <w:color w:val="000000" w:themeColor="text1"/>
          <w:szCs w:val="24"/>
        </w:rPr>
      </w:pPr>
      <w:r w:rsidRPr="00AB4DC6">
        <w:rPr>
          <w:rFonts w:cs="Times New Roman"/>
          <w:bCs/>
          <w:color w:val="000000" w:themeColor="text1"/>
          <w:szCs w:val="24"/>
        </w:rPr>
        <w:t>Dynamic Formulas: Invoicing and payment computations are executed on-the-fly, combining relational lists by position and name using flexible criteria instead of fixed cell formulas.</w:t>
      </w:r>
    </w:p>
    <w:p w14:paraId="5C3AA7BD" w14:textId="77777777" w:rsidR="00E77412" w:rsidRPr="00AB4DC6" w:rsidRDefault="00000000">
      <w:pPr>
        <w:spacing w:before="240"/>
        <w:rPr>
          <w:rFonts w:cs="Times New Roman"/>
          <w:bCs/>
          <w:color w:val="000000" w:themeColor="text1"/>
          <w:szCs w:val="24"/>
        </w:rPr>
      </w:pPr>
      <w:r w:rsidRPr="00AB4DC6">
        <w:rPr>
          <w:rFonts w:cs="Times New Roman"/>
          <w:bCs/>
          <w:color w:val="000000" w:themeColor="text1"/>
          <w:szCs w:val="24"/>
        </w:rPr>
        <w:t>1.3 Core Data Flow and Storage Model</w:t>
      </w:r>
    </w:p>
    <w:p w14:paraId="5141EDAD"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The application utilizes local flat-file storage (CSV format) for lightweight execution. The relational diagram below describes the core data storage structure that feeds into the calculation engine:</w:t>
      </w:r>
    </w:p>
    <w:tbl>
      <w:tblPr>
        <w:tblStyle w:val="TableGrid"/>
        <w:tblW w:w="0" w:type="auto"/>
        <w:tblLook w:val="04A0" w:firstRow="1" w:lastRow="0" w:firstColumn="1" w:lastColumn="0" w:noHBand="0" w:noVBand="1"/>
      </w:tblPr>
      <w:tblGrid>
        <w:gridCol w:w="3120"/>
        <w:gridCol w:w="3120"/>
        <w:gridCol w:w="3120"/>
      </w:tblGrid>
      <w:tr w:rsidR="00E77412" w:rsidRPr="00AB4DC6" w14:paraId="4EC2C36C" w14:textId="77777777">
        <w:tc>
          <w:tcPr>
            <w:tcW w:w="3120" w:type="dxa"/>
            <w:tcMar>
              <w:top w:w="100" w:type="dxa"/>
              <w:left w:w="150" w:type="dxa"/>
              <w:bottom w:w="100" w:type="dxa"/>
              <w:right w:w="150" w:type="dxa"/>
            </w:tcMar>
          </w:tcPr>
          <w:p w14:paraId="6947F4E4"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Data File</w:t>
            </w:r>
          </w:p>
        </w:tc>
        <w:tc>
          <w:tcPr>
            <w:tcW w:w="3120" w:type="dxa"/>
            <w:tcMar>
              <w:top w:w="100" w:type="dxa"/>
              <w:left w:w="150" w:type="dxa"/>
              <w:bottom w:w="100" w:type="dxa"/>
              <w:right w:w="150" w:type="dxa"/>
            </w:tcMar>
          </w:tcPr>
          <w:p w14:paraId="088AB004"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Key Attributes</w:t>
            </w:r>
          </w:p>
        </w:tc>
        <w:tc>
          <w:tcPr>
            <w:tcW w:w="3120" w:type="dxa"/>
            <w:tcMar>
              <w:top w:w="100" w:type="dxa"/>
              <w:left w:w="150" w:type="dxa"/>
              <w:bottom w:w="100" w:type="dxa"/>
              <w:right w:w="150" w:type="dxa"/>
            </w:tcMar>
          </w:tcPr>
          <w:p w14:paraId="4B8F2D1E"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Role in System</w:t>
            </w:r>
          </w:p>
        </w:tc>
      </w:tr>
      <w:tr w:rsidR="00E77412" w:rsidRPr="00AB4DC6" w14:paraId="2D310015" w14:textId="77777777">
        <w:tc>
          <w:tcPr>
            <w:tcW w:w="3120" w:type="dxa"/>
            <w:tcMar>
              <w:top w:w="100" w:type="dxa"/>
              <w:left w:w="150" w:type="dxa"/>
              <w:bottom w:w="100" w:type="dxa"/>
              <w:right w:w="150" w:type="dxa"/>
            </w:tcMar>
          </w:tcPr>
          <w:p w14:paraId="20CFD2D0"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activities.csv</w:t>
            </w:r>
          </w:p>
        </w:tc>
        <w:tc>
          <w:tcPr>
            <w:tcW w:w="3120" w:type="dxa"/>
            <w:tcMar>
              <w:top w:w="100" w:type="dxa"/>
              <w:left w:w="150" w:type="dxa"/>
              <w:bottom w:w="100" w:type="dxa"/>
              <w:right w:w="150" w:type="dxa"/>
            </w:tcMar>
          </w:tcPr>
          <w:p w14:paraId="5FD74177"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Activity Name, Sub-Activity, Monthly Work %, Start/End Month</w:t>
            </w:r>
          </w:p>
        </w:tc>
        <w:tc>
          <w:tcPr>
            <w:tcW w:w="3120" w:type="dxa"/>
            <w:tcMar>
              <w:top w:w="100" w:type="dxa"/>
              <w:left w:w="150" w:type="dxa"/>
              <w:bottom w:w="100" w:type="dxa"/>
              <w:right w:w="150" w:type="dxa"/>
            </w:tcMar>
          </w:tcPr>
          <w:p w14:paraId="5FF74C25"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Tracks task execution timeline and monthly percentages</w:t>
            </w:r>
          </w:p>
        </w:tc>
      </w:tr>
      <w:tr w:rsidR="00E77412" w:rsidRPr="00AB4DC6" w14:paraId="5FCCDC93" w14:textId="77777777">
        <w:tc>
          <w:tcPr>
            <w:tcW w:w="3120" w:type="dxa"/>
            <w:tcMar>
              <w:top w:w="100" w:type="dxa"/>
              <w:left w:w="150" w:type="dxa"/>
              <w:bottom w:w="100" w:type="dxa"/>
              <w:right w:w="150" w:type="dxa"/>
            </w:tcMar>
          </w:tcPr>
          <w:p w14:paraId="4BDCFAE6"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cost_sales.csv</w:t>
            </w:r>
          </w:p>
        </w:tc>
        <w:tc>
          <w:tcPr>
            <w:tcW w:w="3120" w:type="dxa"/>
            <w:tcMar>
              <w:top w:w="100" w:type="dxa"/>
              <w:left w:w="150" w:type="dxa"/>
              <w:bottom w:w="100" w:type="dxa"/>
              <w:right w:w="150" w:type="dxa"/>
            </w:tcMar>
          </w:tcPr>
          <w:p w14:paraId="77921827"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Activity, Sub-Activity, Total Cost, Total Sales, Last Updated</w:t>
            </w:r>
          </w:p>
        </w:tc>
        <w:tc>
          <w:tcPr>
            <w:tcW w:w="3120" w:type="dxa"/>
            <w:tcMar>
              <w:top w:w="100" w:type="dxa"/>
              <w:left w:w="150" w:type="dxa"/>
              <w:bottom w:w="100" w:type="dxa"/>
              <w:right w:w="150" w:type="dxa"/>
            </w:tcMar>
          </w:tcPr>
          <w:p w14:paraId="3AB57EC3"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Holds the financial values mapped to specific work packages</w:t>
            </w:r>
          </w:p>
        </w:tc>
      </w:tr>
      <w:tr w:rsidR="00E77412" w:rsidRPr="00AB4DC6" w14:paraId="572AF5F0" w14:textId="77777777">
        <w:tc>
          <w:tcPr>
            <w:tcW w:w="3120" w:type="dxa"/>
            <w:tcMar>
              <w:top w:w="100" w:type="dxa"/>
              <w:left w:w="150" w:type="dxa"/>
              <w:bottom w:w="100" w:type="dxa"/>
              <w:right w:w="150" w:type="dxa"/>
            </w:tcMar>
          </w:tcPr>
          <w:p w14:paraId="5136D628"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lastRenderedPageBreak/>
              <w:t>invoice.csv</w:t>
            </w:r>
          </w:p>
        </w:tc>
        <w:tc>
          <w:tcPr>
            <w:tcW w:w="3120" w:type="dxa"/>
            <w:tcMar>
              <w:top w:w="100" w:type="dxa"/>
              <w:left w:w="150" w:type="dxa"/>
              <w:bottom w:w="100" w:type="dxa"/>
              <w:right w:w="150" w:type="dxa"/>
            </w:tcMar>
          </w:tcPr>
          <w:p w14:paraId="3FC2A5CE"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Milestone, Sub-Milestone, Billing %, Sales Source Activities</w:t>
            </w:r>
          </w:p>
        </w:tc>
        <w:tc>
          <w:tcPr>
            <w:tcW w:w="3120" w:type="dxa"/>
            <w:tcMar>
              <w:top w:w="100" w:type="dxa"/>
              <w:left w:w="150" w:type="dxa"/>
              <w:bottom w:w="100" w:type="dxa"/>
              <w:right w:w="150" w:type="dxa"/>
            </w:tcMar>
          </w:tcPr>
          <w:p w14:paraId="295FB18B"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Defines client billing events and links sales sources</w:t>
            </w:r>
          </w:p>
        </w:tc>
      </w:tr>
      <w:tr w:rsidR="00E77412" w:rsidRPr="00AB4DC6" w14:paraId="5E0E8757" w14:textId="77777777">
        <w:tc>
          <w:tcPr>
            <w:tcW w:w="3120" w:type="dxa"/>
            <w:tcMar>
              <w:top w:w="100" w:type="dxa"/>
              <w:left w:w="150" w:type="dxa"/>
              <w:bottom w:w="100" w:type="dxa"/>
              <w:right w:w="150" w:type="dxa"/>
            </w:tcMar>
          </w:tcPr>
          <w:p w14:paraId="2629ED3A"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matching_utils.py</w:t>
            </w:r>
          </w:p>
        </w:tc>
        <w:tc>
          <w:tcPr>
            <w:tcW w:w="3120" w:type="dxa"/>
            <w:tcMar>
              <w:top w:w="100" w:type="dxa"/>
              <w:left w:w="150" w:type="dxa"/>
              <w:bottom w:w="100" w:type="dxa"/>
              <w:right w:w="150" w:type="dxa"/>
            </w:tcMar>
          </w:tcPr>
          <w:p w14:paraId="317E9945"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Activity-Milestone Matching Data structure</w:t>
            </w:r>
          </w:p>
        </w:tc>
        <w:tc>
          <w:tcPr>
            <w:tcW w:w="3120" w:type="dxa"/>
            <w:tcMar>
              <w:top w:w="100" w:type="dxa"/>
              <w:left w:w="150" w:type="dxa"/>
              <w:bottom w:w="100" w:type="dxa"/>
              <w:right w:w="150" w:type="dxa"/>
            </w:tcMar>
          </w:tcPr>
          <w:p w14:paraId="60CAC5AE"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Pairs scheduling progress data directly to client billing milestones</w:t>
            </w:r>
          </w:p>
        </w:tc>
      </w:tr>
    </w:tbl>
    <w:p w14:paraId="6E6AFA5B"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br w:type="page"/>
      </w:r>
    </w:p>
    <w:p w14:paraId="19136887" w14:textId="77777777" w:rsidR="00E77412" w:rsidRPr="00AB4DC6" w:rsidRDefault="00000000">
      <w:pPr>
        <w:spacing w:before="240"/>
        <w:rPr>
          <w:rFonts w:cs="Times New Roman"/>
          <w:bCs/>
          <w:color w:val="000000" w:themeColor="text1"/>
          <w:szCs w:val="24"/>
        </w:rPr>
      </w:pPr>
      <w:r w:rsidRPr="00AB4DC6">
        <w:rPr>
          <w:rFonts w:cs="Times New Roman"/>
          <w:bCs/>
          <w:color w:val="000000" w:themeColor="text1"/>
          <w:szCs w:val="24"/>
        </w:rPr>
        <w:lastRenderedPageBreak/>
        <w:t>2. TECHNICAL IMPLEMENTATION &amp; CALCULATIONS</w:t>
      </w:r>
    </w:p>
    <w:p w14:paraId="189DB313"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2.1 Interactive Web Architecture</w:t>
      </w:r>
    </w:p>
    <w:p w14:paraId="74EBA3EF"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The front-end interface is constructed entirely using Python's Streamlit framework, leveraging dynamic session state management to handle stateful navigation, form inputs, and real-time computation tables. The interactive interface provides the planning team with a live dashboard to update work progress and instantly visualize cash flow trends.</w:t>
      </w:r>
    </w:p>
    <w:p w14:paraId="0EFD0555" w14:textId="77777777" w:rsidR="00E77412" w:rsidRPr="00AB4DC6" w:rsidRDefault="00000000">
      <w:pPr>
        <w:spacing w:before="240"/>
        <w:rPr>
          <w:rFonts w:cs="Times New Roman"/>
          <w:bCs/>
          <w:color w:val="000000" w:themeColor="text1"/>
          <w:szCs w:val="24"/>
        </w:rPr>
      </w:pPr>
      <w:r w:rsidRPr="00AB4DC6">
        <w:rPr>
          <w:rFonts w:cs="Times New Roman"/>
          <w:bCs/>
          <w:color w:val="000000" w:themeColor="text1"/>
          <w:szCs w:val="24"/>
        </w:rPr>
        <w:t>2.2 Invoicing Calculation Engine and Formulas</w:t>
      </w:r>
    </w:p>
    <w:p w14:paraId="1BC24AF3"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To allow complete decoupling, the cash inflows are calculated using a specific positional pairing formula. A milestone's invoice amount in a given month is calculated as a product of its defined billing percentage, the sales values of specified source activities, and the actual monthly schedule progress of matched activities.</w:t>
      </w:r>
    </w:p>
    <w:p w14:paraId="07C2012E" w14:textId="77777777" w:rsidR="00E77412" w:rsidRPr="00AB4DC6" w:rsidRDefault="00000000">
      <w:pPr>
        <w:jc w:val="center"/>
        <w:rPr>
          <w:rFonts w:cs="Times New Roman"/>
          <w:bCs/>
          <w:color w:val="000000" w:themeColor="text1"/>
          <w:szCs w:val="24"/>
        </w:rPr>
      </w:pPr>
      <w:r w:rsidRPr="00AB4DC6">
        <w:rPr>
          <w:rFonts w:cs="Times New Roman"/>
          <w:bCs/>
          <w:color w:val="000000" w:themeColor="text1"/>
          <w:szCs w:val="24"/>
        </w:rPr>
        <w:t xml:space="preserve">Invoice Amount (M, Month) = (Milestone % / 100) * </w:t>
      </w:r>
      <w:r w:rsidRPr="00AB4DC6">
        <w:rPr>
          <w:rFonts w:cs="Times New Roman"/>
          <w:bCs/>
          <w:color w:val="000000" w:themeColor="text1"/>
          <w:szCs w:val="24"/>
        </w:rPr>
        <w:br/>
        <w:t xml:space="preserve">Sum_{i} [ </w:t>
      </w:r>
      <w:proofErr w:type="gramStart"/>
      <w:r w:rsidRPr="00AB4DC6">
        <w:rPr>
          <w:rFonts w:cs="Times New Roman"/>
          <w:bCs/>
          <w:color w:val="000000" w:themeColor="text1"/>
          <w:szCs w:val="24"/>
        </w:rPr>
        <w:t>Sales(</w:t>
      </w:r>
      <w:proofErr w:type="gramEnd"/>
      <w:r w:rsidRPr="00AB4DC6">
        <w:rPr>
          <w:rFonts w:cs="Times New Roman"/>
          <w:bCs/>
          <w:color w:val="000000" w:themeColor="text1"/>
          <w:szCs w:val="24"/>
        </w:rPr>
        <w:t>Activity_i) * (Work % (Activity_i, Month) / 100</w:t>
      </w:r>
      <w:proofErr w:type="gramStart"/>
      <w:r w:rsidRPr="00AB4DC6">
        <w:rPr>
          <w:rFonts w:cs="Times New Roman"/>
          <w:bCs/>
          <w:color w:val="000000" w:themeColor="text1"/>
          <w:szCs w:val="24"/>
        </w:rPr>
        <w:t>) ]</w:t>
      </w:r>
      <w:proofErr w:type="gramEnd"/>
    </w:p>
    <w:p w14:paraId="38B3FE54" w14:textId="77777777" w:rsidR="00E77412" w:rsidRPr="00AB4DC6" w:rsidRDefault="00000000">
      <w:pPr>
        <w:spacing w:before="120"/>
        <w:jc w:val="both"/>
        <w:rPr>
          <w:rFonts w:cs="Times New Roman"/>
          <w:bCs/>
          <w:color w:val="000000" w:themeColor="text1"/>
          <w:szCs w:val="24"/>
        </w:rPr>
      </w:pPr>
      <w:r w:rsidRPr="00AB4DC6">
        <w:rPr>
          <w:rFonts w:cs="Times New Roman"/>
          <w:bCs/>
          <w:color w:val="000000" w:themeColor="text1"/>
          <w:szCs w:val="24"/>
        </w:rPr>
        <w:t>Positional Matching Principle: When calculating milestone billing, the activities selected as Sales Sources and the activities matched for work progress are paired positionally by index (1st with 1st, 2nd with 2nd). If one list is shorter, the last element of the shorter list is automatically repeated to complete the pairing. This provides complete mathematical generalization for mismatched lists without breaking calculations.</w:t>
      </w:r>
    </w:p>
    <w:p w14:paraId="6C30B454" w14:textId="77777777" w:rsidR="00E77412" w:rsidRPr="00AB4DC6" w:rsidRDefault="00000000">
      <w:pPr>
        <w:spacing w:before="240"/>
        <w:rPr>
          <w:rFonts w:cs="Times New Roman"/>
          <w:bCs/>
          <w:color w:val="000000" w:themeColor="text1"/>
          <w:szCs w:val="24"/>
        </w:rPr>
      </w:pPr>
      <w:r w:rsidRPr="00AB4DC6">
        <w:rPr>
          <w:rFonts w:cs="Times New Roman"/>
          <w:bCs/>
          <w:color w:val="000000" w:themeColor="text1"/>
          <w:szCs w:val="24"/>
        </w:rPr>
        <w:t>2.3 Vendor Payment Outflow Logic</w:t>
      </w:r>
    </w:p>
    <w:p w14:paraId="2382F639"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Vendor outflows track project expenses. The system introduces credit days to simulate payment delay windows common in construction logistics. Vendor billing follows conditional rules based on the matched activity count:</w:t>
      </w:r>
    </w:p>
    <w:p w14:paraId="722CBE59" w14:textId="77777777" w:rsidR="00E77412" w:rsidRPr="00AB4DC6" w:rsidRDefault="00000000">
      <w:pPr>
        <w:ind w:left="576"/>
        <w:rPr>
          <w:rFonts w:cs="Times New Roman"/>
          <w:bCs/>
          <w:color w:val="000000" w:themeColor="text1"/>
          <w:szCs w:val="24"/>
        </w:rPr>
      </w:pPr>
      <w:r w:rsidRPr="00AB4DC6">
        <w:rPr>
          <w:rFonts w:cs="Times New Roman"/>
          <w:bCs/>
          <w:color w:val="000000" w:themeColor="text1"/>
          <w:szCs w:val="24"/>
        </w:rPr>
        <w:t>Rule A (Single Mapped Activity): Base Payment = (Bill % / 100) * [Sum of Selected Costs] * [Work % of Activity / 100]</w:t>
      </w:r>
      <w:r w:rsidRPr="00AB4DC6">
        <w:rPr>
          <w:rFonts w:cs="Times New Roman"/>
          <w:bCs/>
          <w:color w:val="000000" w:themeColor="text1"/>
          <w:szCs w:val="24"/>
        </w:rPr>
        <w:br/>
        <w:t>Rule B (Multiple Mapped Activities): Base Payment = (Bill % / 100) * Sum [ Cost_i * (Work %_i / 100</w:t>
      </w:r>
      <w:proofErr w:type="gramStart"/>
      <w:r w:rsidRPr="00AB4DC6">
        <w:rPr>
          <w:rFonts w:cs="Times New Roman"/>
          <w:bCs/>
          <w:color w:val="000000" w:themeColor="text1"/>
          <w:szCs w:val="24"/>
        </w:rPr>
        <w:t>) ]</w:t>
      </w:r>
      <w:proofErr w:type="gramEnd"/>
      <w:r w:rsidRPr="00AB4DC6">
        <w:rPr>
          <w:rFonts w:cs="Times New Roman"/>
          <w:bCs/>
          <w:color w:val="000000" w:themeColor="text1"/>
          <w:szCs w:val="24"/>
        </w:rPr>
        <w:t xml:space="preserve"> via positional pairing</w:t>
      </w:r>
    </w:p>
    <w:p w14:paraId="398F4DC6" w14:textId="77777777" w:rsidR="00E77412" w:rsidRPr="00AB4DC6" w:rsidRDefault="00000000">
      <w:pPr>
        <w:ind w:left="576"/>
        <w:rPr>
          <w:rFonts w:cs="Times New Roman"/>
          <w:bCs/>
          <w:color w:val="000000" w:themeColor="text1"/>
          <w:szCs w:val="24"/>
        </w:rPr>
      </w:pPr>
      <w:r w:rsidRPr="00AB4DC6">
        <w:rPr>
          <w:rFonts w:cs="Times New Roman"/>
          <w:bCs/>
          <w:color w:val="000000" w:themeColor="text1"/>
          <w:szCs w:val="24"/>
        </w:rPr>
        <w:t>To apply credit terms (e.g., 30, 45, 90, or 180 days), the calculated base payment is shifted forward in the timeline:</w:t>
      </w:r>
      <w:r w:rsidRPr="00AB4DC6">
        <w:rPr>
          <w:rFonts w:cs="Times New Roman"/>
          <w:bCs/>
          <w:color w:val="000000" w:themeColor="text1"/>
          <w:szCs w:val="24"/>
        </w:rPr>
        <w:br/>
        <w:t xml:space="preserve">Shift Months = </w:t>
      </w:r>
      <w:proofErr w:type="gramStart"/>
      <w:r w:rsidRPr="00AB4DC6">
        <w:rPr>
          <w:rFonts w:cs="Times New Roman"/>
          <w:bCs/>
          <w:color w:val="000000" w:themeColor="text1"/>
          <w:szCs w:val="24"/>
        </w:rPr>
        <w:t>max(</w:t>
      </w:r>
      <w:proofErr w:type="gramEnd"/>
      <w:r w:rsidRPr="00AB4DC6">
        <w:rPr>
          <w:rFonts w:cs="Times New Roman"/>
          <w:bCs/>
          <w:color w:val="000000" w:themeColor="text1"/>
          <w:szCs w:val="24"/>
        </w:rPr>
        <w:t>1, Credit Days // 30) (if Credit Days &gt; 0)</w:t>
      </w:r>
      <w:r w:rsidRPr="00AB4DC6">
        <w:rPr>
          <w:rFonts w:cs="Times New Roman"/>
          <w:bCs/>
          <w:color w:val="000000" w:themeColor="text1"/>
          <w:szCs w:val="24"/>
        </w:rPr>
        <w:br/>
        <w:t>Final Payment [Month + Shift Months] = Base Payment [Month]</w:t>
      </w:r>
    </w:p>
    <w:p w14:paraId="49A77F11"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br w:type="page"/>
      </w:r>
    </w:p>
    <w:p w14:paraId="39C29CB9" w14:textId="77777777" w:rsidR="00E77412" w:rsidRPr="00AB4DC6" w:rsidRDefault="00000000">
      <w:pPr>
        <w:spacing w:before="240"/>
        <w:rPr>
          <w:rFonts w:cs="Times New Roman"/>
          <w:bCs/>
          <w:color w:val="000000" w:themeColor="text1"/>
          <w:szCs w:val="24"/>
        </w:rPr>
      </w:pPr>
      <w:r w:rsidRPr="00AB4DC6">
        <w:rPr>
          <w:rFonts w:cs="Times New Roman"/>
          <w:bCs/>
          <w:color w:val="000000" w:themeColor="text1"/>
          <w:szCs w:val="24"/>
        </w:rPr>
        <w:lastRenderedPageBreak/>
        <w:t>3. RESULTS, OUTCOMES &amp; KEY LEARNINGS</w:t>
      </w:r>
    </w:p>
    <w:p w14:paraId="7A032E1C" w14:textId="77777777" w:rsidR="00E77412" w:rsidRPr="00AB4DC6" w:rsidRDefault="00000000">
      <w:pPr>
        <w:rPr>
          <w:rFonts w:cs="Times New Roman"/>
          <w:bCs/>
          <w:color w:val="000000" w:themeColor="text1"/>
          <w:szCs w:val="24"/>
        </w:rPr>
      </w:pPr>
      <w:r w:rsidRPr="00AB4DC6">
        <w:rPr>
          <w:rFonts w:cs="Times New Roman"/>
          <w:bCs/>
          <w:color w:val="000000" w:themeColor="text1"/>
          <w:szCs w:val="24"/>
        </w:rPr>
        <w:t>3.1 Core Financial Verification and Cash Flow Analysis</w:t>
      </w:r>
    </w:p>
    <w:p w14:paraId="670CDE42"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The system has been successfully verified against historical project profiles. In a test case utilizing a contract value of $97.07M, the calculation engine matched all invoicing milestone sums perfectly (100% mathematical integrity). By comparing the shifted vendor payment outflows and milestone billing inflows, the application automatically computes the cumulative net cash flow over the project timeline. This enables project managers to visualize cash deficits, identify critical funding gaps, and optimize credit terms with sub-contractors to maintain positive working capital.</w:t>
      </w:r>
    </w:p>
    <w:p w14:paraId="73B76E01" w14:textId="77777777" w:rsidR="00E77412" w:rsidRPr="00AB4DC6" w:rsidRDefault="00000000">
      <w:pPr>
        <w:spacing w:before="240"/>
        <w:rPr>
          <w:rFonts w:cs="Times New Roman"/>
          <w:bCs/>
          <w:color w:val="000000" w:themeColor="text1"/>
          <w:szCs w:val="24"/>
        </w:rPr>
      </w:pPr>
      <w:r w:rsidRPr="00AB4DC6">
        <w:rPr>
          <w:rFonts w:cs="Times New Roman"/>
          <w:bCs/>
          <w:color w:val="000000" w:themeColor="text1"/>
          <w:szCs w:val="24"/>
        </w:rPr>
        <w:t>3.2 Technical Challenge: Generalization &amp; Multi-level CRUD</w:t>
      </w:r>
    </w:p>
    <w:p w14:paraId="5F040902"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The primary technical challenge encountered during the development was implementing complete customizability. The system was required to allow users to Create, Read, Update, and Delete (CRUD) elements anywhere in the data schema—including changing activities, sub-activities, timelines, and payment formulas. Managing relational consistency in local CSV files without database constraints required creating custom validation modules. If an activity is renamed or deleted, the software automatically propagates updates to the milestone matching and vendor configuration modules, preventing orphaned references and maintaining the stability of the dynamic formulas.</w:t>
      </w:r>
    </w:p>
    <w:p w14:paraId="38DA7A41" w14:textId="77777777" w:rsidR="00E77412" w:rsidRPr="00AB4DC6" w:rsidRDefault="00000000">
      <w:pPr>
        <w:spacing w:before="240"/>
        <w:rPr>
          <w:rFonts w:cs="Times New Roman"/>
          <w:bCs/>
          <w:color w:val="000000" w:themeColor="text1"/>
          <w:szCs w:val="24"/>
        </w:rPr>
      </w:pPr>
      <w:r w:rsidRPr="00AB4DC6">
        <w:rPr>
          <w:rFonts w:cs="Times New Roman"/>
          <w:bCs/>
          <w:color w:val="000000" w:themeColor="text1"/>
          <w:szCs w:val="24"/>
        </w:rPr>
        <w:t>3.3 Internship Learnings &amp; Personal Growth</w:t>
      </w:r>
    </w:p>
    <w:p w14:paraId="3090D200"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This internship served as an excellent bridge between theoretical data science concepts and actual project management workflows. The core areas of personal and technical development included:</w:t>
      </w:r>
    </w:p>
    <w:p w14:paraId="3ED5214B" w14:textId="77777777" w:rsidR="00E77412" w:rsidRPr="00AB4DC6" w:rsidRDefault="00000000">
      <w:pPr>
        <w:pStyle w:val="ListBullet"/>
        <w:spacing w:after="60"/>
        <w:rPr>
          <w:rFonts w:cs="Times New Roman"/>
          <w:bCs/>
          <w:color w:val="000000" w:themeColor="text1"/>
          <w:szCs w:val="24"/>
        </w:rPr>
      </w:pPr>
      <w:r w:rsidRPr="00AB4DC6">
        <w:rPr>
          <w:rFonts w:cs="Times New Roman"/>
          <w:bCs/>
          <w:color w:val="000000" w:themeColor="text1"/>
          <w:szCs w:val="24"/>
        </w:rPr>
        <w:t>AI-Assisted Software Engineering: A significant learning curve was mastering prompt engineering. By learning to structure prompts more precisely, I was able to accelerate prototyping, generate robust validation algorithms, and discover advanced AI development platforms to debug complex indexing structures in Python.</w:t>
      </w:r>
    </w:p>
    <w:p w14:paraId="116B052D" w14:textId="77777777" w:rsidR="00E77412" w:rsidRPr="00AB4DC6" w:rsidRDefault="00000000">
      <w:pPr>
        <w:pStyle w:val="ListBullet"/>
        <w:spacing w:after="60"/>
        <w:rPr>
          <w:rFonts w:cs="Times New Roman"/>
          <w:bCs/>
          <w:color w:val="000000" w:themeColor="text1"/>
          <w:szCs w:val="24"/>
        </w:rPr>
      </w:pPr>
      <w:r w:rsidRPr="00AB4DC6">
        <w:rPr>
          <w:rFonts w:cs="Times New Roman"/>
          <w:bCs/>
          <w:color w:val="000000" w:themeColor="text1"/>
          <w:szCs w:val="24"/>
        </w:rPr>
        <w:t>Streamlit and CSV Operations: Gained hands-on experience in building interactive, responsive frontends and managing relational data flows in CSV format using Pandas, ensuring data updates are immediately reflected in visual layouts.</w:t>
      </w:r>
    </w:p>
    <w:p w14:paraId="51B25B66" w14:textId="77777777" w:rsidR="00E77412" w:rsidRPr="00AB4DC6" w:rsidRDefault="00000000">
      <w:pPr>
        <w:pStyle w:val="ListBullet"/>
        <w:spacing w:after="60"/>
        <w:rPr>
          <w:rFonts w:cs="Times New Roman"/>
          <w:bCs/>
          <w:color w:val="000000" w:themeColor="text1"/>
          <w:szCs w:val="24"/>
        </w:rPr>
      </w:pPr>
      <w:r w:rsidRPr="00AB4DC6">
        <w:rPr>
          <w:rFonts w:cs="Times New Roman"/>
          <w:bCs/>
          <w:color w:val="000000" w:themeColor="text1"/>
          <w:szCs w:val="24"/>
        </w:rPr>
        <w:t>Construction Financial Dynamics: Developed an understanding of key financial terms used in industrial projects, including milestone billing, vendor credit day shifts, and profit margin estimations.</w:t>
      </w:r>
    </w:p>
    <w:p w14:paraId="42693FE8" w14:textId="77777777" w:rsidR="00E77412" w:rsidRPr="00AB4DC6" w:rsidRDefault="00000000">
      <w:pPr>
        <w:spacing w:before="240"/>
        <w:rPr>
          <w:rFonts w:cs="Times New Roman"/>
          <w:bCs/>
          <w:color w:val="000000" w:themeColor="text1"/>
          <w:szCs w:val="24"/>
        </w:rPr>
      </w:pPr>
      <w:r w:rsidRPr="00AB4DC6">
        <w:rPr>
          <w:rFonts w:cs="Times New Roman"/>
          <w:bCs/>
          <w:color w:val="000000" w:themeColor="text1"/>
          <w:szCs w:val="24"/>
        </w:rPr>
        <w:t>3.4 Project Closeout &amp; Summary</w:t>
      </w:r>
    </w:p>
    <w:p w14:paraId="5AC577AE" w14:textId="77777777" w:rsidR="00E77412" w:rsidRPr="00AB4DC6" w:rsidRDefault="00000000">
      <w:pPr>
        <w:jc w:val="both"/>
        <w:rPr>
          <w:rFonts w:cs="Times New Roman"/>
          <w:bCs/>
          <w:color w:val="000000" w:themeColor="text1"/>
          <w:szCs w:val="24"/>
        </w:rPr>
      </w:pPr>
      <w:r w:rsidRPr="00AB4DC6">
        <w:rPr>
          <w:rFonts w:cs="Times New Roman"/>
          <w:bCs/>
          <w:color w:val="000000" w:themeColor="text1"/>
          <w:szCs w:val="24"/>
        </w:rPr>
        <w:t xml:space="preserve">The project successfully completed its development and validation phases. The automated tool provides planning engineers with a dynamic web interface to manage timelines, costs, sales, and </w:t>
      </w:r>
      <w:r w:rsidRPr="00AB4DC6">
        <w:rPr>
          <w:rFonts w:cs="Times New Roman"/>
          <w:bCs/>
          <w:color w:val="000000" w:themeColor="text1"/>
          <w:szCs w:val="24"/>
        </w:rPr>
        <w:lastRenderedPageBreak/>
        <w:t>vendor invoices without relying on hardcoded excel grids. The customizability ensures it can adapt to future projects, serving as a robust template for automated project planning.</w:t>
      </w:r>
    </w:p>
    <w:sectPr w:rsidR="00E77412" w:rsidRPr="00AB4DC6" w:rsidSect="00AB4DC6">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385845">
    <w:abstractNumId w:val="8"/>
  </w:num>
  <w:num w:numId="2" w16cid:durableId="394356332">
    <w:abstractNumId w:val="6"/>
  </w:num>
  <w:num w:numId="3" w16cid:durableId="2100364218">
    <w:abstractNumId w:val="5"/>
  </w:num>
  <w:num w:numId="4" w16cid:durableId="580916705">
    <w:abstractNumId w:val="4"/>
  </w:num>
  <w:num w:numId="5" w16cid:durableId="628970715">
    <w:abstractNumId w:val="7"/>
  </w:num>
  <w:num w:numId="6" w16cid:durableId="371463244">
    <w:abstractNumId w:val="3"/>
  </w:num>
  <w:num w:numId="7" w16cid:durableId="1072192108">
    <w:abstractNumId w:val="2"/>
  </w:num>
  <w:num w:numId="8" w16cid:durableId="982274749">
    <w:abstractNumId w:val="1"/>
  </w:num>
  <w:num w:numId="9" w16cid:durableId="186482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4DC6"/>
    <w:rsid w:val="00AF392D"/>
    <w:rsid w:val="00B47730"/>
    <w:rsid w:val="00CB0664"/>
    <w:rsid w:val="00D46D80"/>
    <w:rsid w:val="00E774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C3184"/>
  <w14:defaultImageDpi w14:val="300"/>
  <w15:docId w15:val="{D57D974B-3B98-4515-9E99-DE312F922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TotalTime>
  <Pages>1</Pages>
  <Words>1279</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Michelle Devasia</cp:lastModifiedBy>
  <cp:revision>3</cp:revision>
  <dcterms:created xsi:type="dcterms:W3CDTF">2013-12-23T23:15:00Z</dcterms:created>
  <dcterms:modified xsi:type="dcterms:W3CDTF">2026-06-06T03:25:00Z</dcterms:modified>
  <cp:category/>
</cp:coreProperties>
</file>