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rPr>
        <w:t>PROJECT COMPLETION AND CASH FLOW</w:t>
        <w:br/>
        <w:t>MANAGEMENT REPORT</w:t>
      </w:r>
    </w:p>
    <w:p>
      <w:pPr>
        <w:jc w:val="center"/>
      </w:pPr>
      <w:r>
        <w:rPr>
          <w:rFonts w:ascii="Arial" w:hAnsi="Arial"/>
          <w:i/>
          <w:color w:val="666666"/>
          <w:sz w:val="20"/>
        </w:rPr>
        <w:t>Project Title: Cash Flow Automation &amp; Activity Tracker</w:t>
        <w:br/>
        <w:t>Client / Recipient: Corporate Finance and Operations</w:t>
        <w:br/>
        <w:t>Date: June 4, 2026</w:t>
        <w:br/>
        <w:t>Document Ref: CS-CFA-2026-004</w:t>
      </w:r>
    </w:p>
    <w:p/>
    <w:p>
      <w:r>
        <w:rPr>
          <w:rFonts w:ascii="Arial" w:hAnsi="Arial"/>
          <w:b/>
          <w:color w:val="102C57"/>
        </w:rPr>
        <w:t>1. Executive Summary</w:t>
      </w:r>
    </w:p>
    <w:p>
      <w:r>
        <w:rPr>
          <w:rFonts w:ascii="Arial" w:hAnsi="Arial"/>
          <w:sz w:val="22"/>
        </w:rPr>
        <w:t>This report documents the closeout and financial analysis of the Cash Flow Automation &amp; Activity Tracker project. The project successfully established a unified platform to track scheduling progress, project invoicing milestones, and vendor cash outflows.</w:t>
      </w:r>
    </w:p>
    <w:p>
      <w:pPr>
        <w:ind w:left="360"/>
      </w:pPr>
      <w:r>
        <w:rPr>
          <w:rFonts w:ascii="Arial" w:hAnsi="Arial"/>
          <w:b/>
          <w:sz w:val="22"/>
        </w:rPr>
        <w:t xml:space="preserve">•  Total Project Contract Value: </w:t>
      </w:r>
      <w:r>
        <w:rPr>
          <w:rFonts w:ascii="Arial" w:hAnsi="Arial"/>
          <w:sz w:val="22"/>
        </w:rPr>
        <w:t>$97.07M (Active matched value)</w:t>
        <w:br/>
      </w:r>
      <w:r>
        <w:rPr>
          <w:rFonts w:ascii="Arial" w:hAnsi="Arial"/>
          <w:b/>
          <w:sz w:val="22"/>
        </w:rPr>
        <w:t xml:space="preserve">•  Total Budgeted Costs: </w:t>
      </w:r>
      <w:r>
        <w:rPr>
          <w:rFonts w:ascii="Arial" w:hAnsi="Arial"/>
          <w:sz w:val="22"/>
        </w:rPr>
        <w:t>$72.08M</w:t>
        <w:br/>
      </w:r>
      <w:r>
        <w:rPr>
          <w:rFonts w:ascii="Arial" w:hAnsi="Arial"/>
          <w:b/>
          <w:sz w:val="22"/>
        </w:rPr>
        <w:t xml:space="preserve">•  Projected Net Gross Profit: </w:t>
      </w:r>
      <w:r>
        <w:rPr>
          <w:rFonts w:ascii="Arial" w:hAnsi="Arial"/>
          <w:sz w:val="22"/>
        </w:rPr>
        <w:t>$24.99M</w:t>
        <w:br/>
      </w:r>
      <w:r>
        <w:rPr>
          <w:rFonts w:ascii="Arial" w:hAnsi="Arial"/>
          <w:b/>
          <w:sz w:val="22"/>
        </w:rPr>
        <w:t xml:space="preserve">•  Project Gross Margin: </w:t>
      </w:r>
      <w:r>
        <w:rPr>
          <w:rFonts w:ascii="Arial" w:hAnsi="Arial"/>
          <w:sz w:val="22"/>
        </w:rPr>
        <w:t>25.75%</w:t>
        <w:br/>
      </w:r>
      <w:r>
        <w:rPr>
          <w:rFonts w:ascii="Arial" w:hAnsi="Arial"/>
          <w:b/>
          <w:sz w:val="22"/>
        </w:rPr>
        <w:t xml:space="preserve">•  Total Scheduled Vendor Outflows: </w:t>
      </w:r>
      <w:r>
        <w:rPr>
          <w:rFonts w:ascii="Arial" w:hAnsi="Arial"/>
          <w:sz w:val="22"/>
        </w:rPr>
        <w:t>$67.93M</w:t>
        <w:br/>
      </w:r>
    </w:p>
    <w:p>
      <w:r>
        <w:rPr>
          <w:rFonts w:ascii="Arial" w:hAnsi="Arial"/>
          <w:b/>
          <w:color w:val="102C57"/>
        </w:rPr>
        <w:t>2. Project Invoicing &amp; Milestone Structure</w:t>
      </w:r>
    </w:p>
    <w:p>
      <w:r>
        <w:rPr>
          <w:rFonts w:ascii="Arial" w:hAnsi="Arial"/>
          <w:sz w:val="22"/>
        </w:rPr>
        <w:t>Invoicing is structured around Milestone Billing, which converts scheduling progress into cash inflows. Milestone values are derived from specific work schedules and are calculated using Sales values defined during milestone formation.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102C57"/>
          </w:tcPr>
          <w:p>
            <w:r>
              <w:rPr>
                <w:rFonts w:ascii="Arial" w:hAnsi="Arial"/>
                <w:b/>
                <w:color w:val="FFFFFF"/>
                <w:sz w:val="20"/>
              </w:rPr>
              <w:t>Milestone Category</w:t>
            </w:r>
          </w:p>
        </w:tc>
        <w:tc>
          <w:tcPr>
            <w:tcW w:type="dxa" w:w="2340"/>
            <w:shd w:val="clear" w:color="auto" w:fill="102C57"/>
          </w:tcPr>
          <w:p>
            <w:r>
              <w:rPr>
                <w:rFonts w:ascii="Arial" w:hAnsi="Arial"/>
                <w:b/>
                <w:color w:val="FFFFFF"/>
                <w:sz w:val="20"/>
              </w:rPr>
              <w:t>Sub-Milestone</w:t>
            </w:r>
          </w:p>
        </w:tc>
        <w:tc>
          <w:tcPr>
            <w:tcW w:type="dxa" w:w="2340"/>
            <w:shd w:val="clear" w:color="auto" w:fill="102C57"/>
          </w:tcPr>
          <w:p>
            <w:r>
              <w:rPr>
                <w:rFonts w:ascii="Arial" w:hAnsi="Arial"/>
                <w:b/>
                <w:color w:val="FFFFFF"/>
                <w:sz w:val="20"/>
              </w:rPr>
              <w:t>Billing %</w:t>
            </w:r>
          </w:p>
        </w:tc>
        <w:tc>
          <w:tcPr>
            <w:tcW w:type="dxa" w:w="2340"/>
            <w:shd w:val="clear" w:color="auto" w:fill="102C57"/>
          </w:tcPr>
          <w:p>
            <w:r>
              <w:rPr>
                <w:rFonts w:ascii="Arial" w:hAnsi="Arial"/>
                <w:b/>
                <w:color w:val="FFFFFF"/>
                <w:sz w:val="20"/>
              </w:rPr>
              <w:t>Selected Sales Sources</w:t>
            </w:r>
          </w:p>
        </w:tc>
      </w:tr>
      <w:tr>
        <w:tc>
          <w:tcPr>
            <w:tcW w:type="dxa" w:w="2340"/>
          </w:tcPr>
          <w:p>
            <w:r>
              <w:rPr>
                <w:rFonts w:ascii="Arial" w:hAnsi="Arial"/>
                <w:sz w:val="19"/>
              </w:rPr>
              <w:t>Software</w:t>
            </w:r>
          </w:p>
        </w:tc>
        <w:tc>
          <w:tcPr>
            <w:tcW w:type="dxa" w:w="2340"/>
          </w:tcPr>
          <w:p>
            <w:r>
              <w:rPr>
                <w:rFonts w:ascii="Arial" w:hAnsi="Arial"/>
                <w:sz w:val="19"/>
              </w:rPr>
              <w:t>Completion of FAT &amp; Delivery</w:t>
            </w:r>
          </w:p>
        </w:tc>
        <w:tc>
          <w:tcPr>
            <w:tcW w:type="dxa" w:w="2340"/>
          </w:tcPr>
          <w:p>
            <w:r>
              <w:rPr>
                <w:rFonts w:ascii="Arial" w:hAnsi="Arial"/>
                <w:sz w:val="19"/>
              </w:rPr>
              <w:t>30.0%</w:t>
            </w:r>
          </w:p>
        </w:tc>
        <w:tc>
          <w:tcPr>
            <w:tcW w:type="dxa" w:w="2340"/>
          </w:tcPr>
          <w:p>
            <w:r>
              <w:rPr>
                <w:rFonts w:ascii="Arial" w:hAnsi="Arial"/>
                <w:sz w:val="19"/>
              </w:rPr>
              <w:t>Software-3rd Party, Software(SIEM, IDS, IAM)</w:t>
            </w:r>
          </w:p>
        </w:tc>
      </w:tr>
      <w:tr>
        <w:tc>
          <w:tcPr>
            <w:tcW w:type="dxa" w:w="2340"/>
          </w:tcPr>
          <w:p>
            <w:r>
              <w:rPr>
                <w:rFonts w:ascii="Arial" w:hAnsi="Arial"/>
                <w:sz w:val="19"/>
              </w:rPr>
              <w:t>Software</w:t>
            </w:r>
          </w:p>
        </w:tc>
        <w:tc>
          <w:tcPr>
            <w:tcW w:type="dxa" w:w="2340"/>
          </w:tcPr>
          <w:p>
            <w:r>
              <w:rPr>
                <w:rFonts w:ascii="Arial" w:hAnsi="Arial"/>
                <w:sz w:val="19"/>
              </w:rPr>
              <w:t>Field Tests Completion</w:t>
            </w:r>
          </w:p>
        </w:tc>
        <w:tc>
          <w:tcPr>
            <w:tcW w:type="dxa" w:w="2340"/>
          </w:tcPr>
          <w:p>
            <w:r>
              <w:rPr>
                <w:rFonts w:ascii="Arial" w:hAnsi="Arial"/>
                <w:sz w:val="19"/>
              </w:rPr>
              <w:t>55.0%</w:t>
            </w:r>
          </w:p>
        </w:tc>
        <w:tc>
          <w:tcPr>
            <w:tcW w:type="dxa" w:w="2340"/>
          </w:tcPr>
          <w:p>
            <w:r>
              <w:rPr>
                <w:rFonts w:ascii="Arial" w:hAnsi="Arial"/>
                <w:sz w:val="19"/>
              </w:rPr>
              <w:t>Software-3rd Party, Software(SIEM, IDS, IAM)</w:t>
            </w:r>
          </w:p>
        </w:tc>
      </w:tr>
      <w:tr>
        <w:tc>
          <w:tcPr>
            <w:tcW w:type="dxa" w:w="2340"/>
          </w:tcPr>
          <w:p>
            <w:r>
              <w:rPr>
                <w:rFonts w:ascii="Arial" w:hAnsi="Arial"/>
                <w:sz w:val="19"/>
              </w:rPr>
              <w:t>Software</w:t>
            </w:r>
          </w:p>
        </w:tc>
        <w:tc>
          <w:tcPr>
            <w:tcW w:type="dxa" w:w="2340"/>
          </w:tcPr>
          <w:p>
            <w:r>
              <w:rPr>
                <w:rFonts w:ascii="Arial" w:hAnsi="Arial"/>
                <w:sz w:val="19"/>
              </w:rPr>
              <w:t>Operational Acceptance</w:t>
            </w:r>
          </w:p>
        </w:tc>
        <w:tc>
          <w:tcPr>
            <w:tcW w:type="dxa" w:w="2340"/>
          </w:tcPr>
          <w:p>
            <w:r>
              <w:rPr>
                <w:rFonts w:ascii="Arial" w:hAnsi="Arial"/>
                <w:sz w:val="19"/>
              </w:rPr>
              <w:t>15.0%</w:t>
            </w:r>
          </w:p>
        </w:tc>
        <w:tc>
          <w:tcPr>
            <w:tcW w:type="dxa" w:w="2340"/>
          </w:tcPr>
          <w:p>
            <w:r>
              <w:rPr>
                <w:rFonts w:ascii="Arial" w:hAnsi="Arial"/>
                <w:sz w:val="19"/>
              </w:rPr>
              <w:t>All project activities</w:t>
            </w:r>
          </w:p>
        </w:tc>
      </w:tr>
      <w:tr>
        <w:tc>
          <w:tcPr>
            <w:tcW w:type="dxa" w:w="2340"/>
          </w:tcPr>
          <w:p>
            <w:r>
              <w:rPr>
                <w:rFonts w:ascii="Arial" w:hAnsi="Arial"/>
                <w:sz w:val="19"/>
              </w:rPr>
              <w:t>Hardware</w:t>
            </w:r>
          </w:p>
        </w:tc>
        <w:tc>
          <w:tcPr>
            <w:tcW w:type="dxa" w:w="2340"/>
          </w:tcPr>
          <w:p>
            <w:r>
              <w:rPr>
                <w:rFonts w:ascii="Arial" w:hAnsi="Arial"/>
                <w:sz w:val="19"/>
              </w:rPr>
              <w:t>Shipment of Equipment</w:t>
            </w:r>
          </w:p>
        </w:tc>
        <w:tc>
          <w:tcPr>
            <w:tcW w:type="dxa" w:w="2340"/>
          </w:tcPr>
          <w:p>
            <w:r>
              <w:rPr>
                <w:rFonts w:ascii="Arial" w:hAnsi="Arial"/>
                <w:sz w:val="19"/>
              </w:rPr>
              <w:t>70.0%</w:t>
            </w:r>
          </w:p>
        </w:tc>
        <w:tc>
          <w:tcPr>
            <w:tcW w:type="dxa" w:w="2340"/>
          </w:tcPr>
          <w:p>
            <w:r>
              <w:rPr>
                <w:rFonts w:ascii="Arial" w:hAnsi="Arial"/>
                <w:sz w:val="19"/>
              </w:rPr>
              <w:t>Hardware/FAT, Hardware-IT hardware</w:t>
            </w:r>
          </w:p>
        </w:tc>
      </w:tr>
      <w:tr>
        <w:tc>
          <w:tcPr>
            <w:tcW w:type="dxa" w:w="2340"/>
          </w:tcPr>
          <w:p>
            <w:r>
              <w:rPr>
                <w:rFonts w:ascii="Arial" w:hAnsi="Arial"/>
                <w:sz w:val="19"/>
              </w:rPr>
              <w:t>Hardware</w:t>
            </w:r>
          </w:p>
        </w:tc>
        <w:tc>
          <w:tcPr>
            <w:tcW w:type="dxa" w:w="2340"/>
          </w:tcPr>
          <w:p>
            <w:r>
              <w:rPr>
                <w:rFonts w:ascii="Arial" w:hAnsi="Arial"/>
                <w:sz w:val="19"/>
              </w:rPr>
              <w:t>Site Receipt</w:t>
            </w:r>
          </w:p>
        </w:tc>
        <w:tc>
          <w:tcPr>
            <w:tcW w:type="dxa" w:w="2340"/>
          </w:tcPr>
          <w:p>
            <w:r>
              <w:rPr>
                <w:rFonts w:ascii="Arial" w:hAnsi="Arial"/>
                <w:sz w:val="19"/>
              </w:rPr>
              <w:t>15.0%</w:t>
            </w:r>
          </w:p>
        </w:tc>
        <w:tc>
          <w:tcPr>
            <w:tcW w:type="dxa" w:w="2340"/>
          </w:tcPr>
          <w:p>
            <w:r>
              <w:rPr>
                <w:rFonts w:ascii="Arial" w:hAnsi="Arial"/>
                <w:sz w:val="19"/>
              </w:rPr>
              <w:t>Hardware-IT hardware, Hardware/FAT</w:t>
            </w:r>
          </w:p>
        </w:tc>
      </w:tr>
      <w:tr>
        <w:tc>
          <w:tcPr>
            <w:tcW w:type="dxa" w:w="2340"/>
          </w:tcPr>
          <w:p>
            <w:r>
              <w:rPr>
                <w:rFonts w:ascii="Arial" w:hAnsi="Arial"/>
                <w:sz w:val="19"/>
              </w:rPr>
              <w:t>Hardware</w:t>
            </w:r>
          </w:p>
        </w:tc>
        <w:tc>
          <w:tcPr>
            <w:tcW w:type="dxa" w:w="2340"/>
          </w:tcPr>
          <w:p>
            <w:r>
              <w:rPr>
                <w:rFonts w:ascii="Arial" w:hAnsi="Arial"/>
                <w:sz w:val="19"/>
              </w:rPr>
              <w:t>Operational Acceptance</w:t>
            </w:r>
          </w:p>
        </w:tc>
        <w:tc>
          <w:tcPr>
            <w:tcW w:type="dxa" w:w="2340"/>
          </w:tcPr>
          <w:p>
            <w:r>
              <w:rPr>
                <w:rFonts w:ascii="Arial" w:hAnsi="Arial"/>
                <w:sz w:val="19"/>
              </w:rPr>
              <w:t>15.0%</w:t>
            </w:r>
          </w:p>
        </w:tc>
        <w:tc>
          <w:tcPr>
            <w:tcW w:type="dxa" w:w="2340"/>
          </w:tcPr>
          <w:p>
            <w:r>
              <w:rPr>
                <w:rFonts w:ascii="Arial" w:hAnsi="Arial"/>
                <w:sz w:val="19"/>
              </w:rPr>
              <w:t>All project activities</w:t>
            </w:r>
          </w:p>
        </w:tc>
      </w:tr>
      <w:tr>
        <w:tc>
          <w:tcPr>
            <w:tcW w:type="dxa" w:w="2340"/>
          </w:tcPr>
          <w:p>
            <w:r>
              <w:rPr>
                <w:rFonts w:ascii="Arial" w:hAnsi="Arial"/>
                <w:sz w:val="19"/>
              </w:rPr>
              <w:t>Service</w:t>
            </w:r>
          </w:p>
        </w:tc>
        <w:tc>
          <w:tcPr>
            <w:tcW w:type="dxa" w:w="2340"/>
          </w:tcPr>
          <w:p>
            <w:r>
              <w:rPr>
                <w:rFonts w:ascii="Arial" w:hAnsi="Arial"/>
                <w:sz w:val="19"/>
              </w:rPr>
              <w:t>Installation at Site</w:t>
            </w:r>
          </w:p>
        </w:tc>
        <w:tc>
          <w:tcPr>
            <w:tcW w:type="dxa" w:w="2340"/>
          </w:tcPr>
          <w:p>
            <w:r>
              <w:rPr>
                <w:rFonts w:ascii="Arial" w:hAnsi="Arial"/>
                <w:sz w:val="19"/>
              </w:rPr>
              <w:t>85.0%</w:t>
            </w:r>
          </w:p>
        </w:tc>
        <w:tc>
          <w:tcPr>
            <w:tcW w:type="dxa" w:w="2340"/>
          </w:tcPr>
          <w:p>
            <w:r>
              <w:rPr>
                <w:rFonts w:ascii="Arial" w:hAnsi="Arial"/>
                <w:sz w:val="19"/>
              </w:rPr>
              <w:t>Installation at all locations</w:t>
            </w:r>
          </w:p>
        </w:tc>
      </w:tr>
      <w:tr>
        <w:tc>
          <w:tcPr>
            <w:tcW w:type="dxa" w:w="2340"/>
          </w:tcPr>
          <w:p>
            <w:r>
              <w:rPr>
                <w:rFonts w:ascii="Arial" w:hAnsi="Arial"/>
                <w:sz w:val="19"/>
              </w:rPr>
              <w:t>Service</w:t>
            </w:r>
          </w:p>
        </w:tc>
        <w:tc>
          <w:tcPr>
            <w:tcW w:type="dxa" w:w="2340"/>
          </w:tcPr>
          <w:p>
            <w:r>
              <w:rPr>
                <w:rFonts w:ascii="Arial" w:hAnsi="Arial"/>
                <w:sz w:val="19"/>
              </w:rPr>
              <w:t>Operational Acceptance</w:t>
            </w:r>
          </w:p>
        </w:tc>
        <w:tc>
          <w:tcPr>
            <w:tcW w:type="dxa" w:w="2340"/>
          </w:tcPr>
          <w:p>
            <w:r>
              <w:rPr>
                <w:rFonts w:ascii="Arial" w:hAnsi="Arial"/>
                <w:sz w:val="19"/>
              </w:rPr>
              <w:t>15.0%</w:t>
            </w:r>
          </w:p>
        </w:tc>
        <w:tc>
          <w:tcPr>
            <w:tcW w:type="dxa" w:w="2340"/>
          </w:tcPr>
          <w:p>
            <w:r>
              <w:rPr>
                <w:rFonts w:ascii="Arial" w:hAnsi="Arial"/>
                <w:sz w:val="19"/>
              </w:rPr>
              <w:t>All project activities</w:t>
            </w:r>
          </w:p>
        </w:tc>
      </w:tr>
      <w:tr>
        <w:tc>
          <w:tcPr>
            <w:tcW w:type="dxa" w:w="2340"/>
          </w:tcPr>
          <w:p>
            <w:r>
              <w:rPr>
                <w:rFonts w:ascii="Arial" w:hAnsi="Arial"/>
                <w:sz w:val="19"/>
              </w:rPr>
              <w:t>Training</w:t>
            </w:r>
          </w:p>
        </w:tc>
        <w:tc>
          <w:tcPr>
            <w:tcW w:type="dxa" w:w="2340"/>
          </w:tcPr>
          <w:p>
            <w:r>
              <w:rPr>
                <w:rFonts w:ascii="Arial" w:hAnsi="Arial"/>
                <w:sz w:val="19"/>
              </w:rPr>
              <w:t>Training</w:t>
            </w:r>
          </w:p>
        </w:tc>
        <w:tc>
          <w:tcPr>
            <w:tcW w:type="dxa" w:w="2340"/>
          </w:tcPr>
          <w:p>
            <w:r>
              <w:rPr>
                <w:rFonts w:ascii="Arial" w:hAnsi="Arial"/>
                <w:sz w:val="19"/>
              </w:rPr>
              <w:t>100.0%</w:t>
            </w:r>
          </w:p>
        </w:tc>
        <w:tc>
          <w:tcPr>
            <w:tcW w:type="dxa" w:w="2340"/>
          </w:tcPr>
          <w:p>
            <w:r>
              <w:rPr>
                <w:rFonts w:ascii="Arial" w:hAnsi="Arial"/>
                <w:sz w:val="19"/>
              </w:rPr>
              <w:t>Training</w:t>
            </w:r>
          </w:p>
        </w:tc>
      </w:tr>
      <w:tr>
        <w:tc>
          <w:tcPr>
            <w:tcW w:type="dxa" w:w="2340"/>
          </w:tcPr>
          <w:p>
            <w:r>
              <w:rPr>
                <w:rFonts w:ascii="Arial" w:hAnsi="Arial"/>
                <w:sz w:val="19"/>
              </w:rPr>
              <w:t>DLP Charges</w:t>
            </w:r>
          </w:p>
        </w:tc>
        <w:tc>
          <w:tcPr>
            <w:tcW w:type="dxa" w:w="2340"/>
          </w:tcPr>
          <w:p>
            <w:r>
              <w:rPr>
                <w:rFonts w:ascii="Arial" w:hAnsi="Arial"/>
                <w:sz w:val="19"/>
              </w:rPr>
              <w:t>DLP Charges</w:t>
            </w:r>
          </w:p>
        </w:tc>
        <w:tc>
          <w:tcPr>
            <w:tcW w:type="dxa" w:w="2340"/>
          </w:tcPr>
          <w:p>
            <w:r>
              <w:rPr>
                <w:rFonts w:ascii="Arial" w:hAnsi="Arial"/>
                <w:sz w:val="19"/>
              </w:rPr>
              <w:t>100.0%</w:t>
            </w:r>
          </w:p>
        </w:tc>
        <w:tc>
          <w:tcPr>
            <w:tcW w:type="dxa" w:w="2340"/>
          </w:tcPr>
          <w:p>
            <w:r>
              <w:rPr>
                <w:rFonts w:ascii="Arial" w:hAnsi="Arial"/>
                <w:sz w:val="19"/>
              </w:rPr>
              <w:t>DLP charges</w:t>
            </w:r>
          </w:p>
        </w:tc>
      </w:tr>
      <w:tr>
        <w:tc>
          <w:tcPr>
            <w:tcW w:type="dxa" w:w="2340"/>
          </w:tcPr>
          <w:p>
            <w:r>
              <w:rPr>
                <w:rFonts w:ascii="Arial" w:hAnsi="Arial"/>
                <w:sz w:val="19"/>
              </w:rPr>
              <w:t>AMC</w:t>
            </w:r>
          </w:p>
        </w:tc>
        <w:tc>
          <w:tcPr>
            <w:tcW w:type="dxa" w:w="2340"/>
          </w:tcPr>
          <w:p>
            <w:r>
              <w:rPr>
                <w:rFonts w:ascii="Arial" w:hAnsi="Arial"/>
                <w:sz w:val="19"/>
              </w:rPr>
              <w:t>AMC</w:t>
            </w:r>
          </w:p>
        </w:tc>
        <w:tc>
          <w:tcPr>
            <w:tcW w:type="dxa" w:w="2340"/>
          </w:tcPr>
          <w:p>
            <w:r>
              <w:rPr>
                <w:rFonts w:ascii="Arial" w:hAnsi="Arial"/>
                <w:sz w:val="19"/>
              </w:rPr>
              <w:t>100.0%</w:t>
            </w:r>
          </w:p>
        </w:tc>
        <w:tc>
          <w:tcPr>
            <w:tcW w:type="dxa" w:w="2340"/>
          </w:tcPr>
          <w:p>
            <w:r>
              <w:rPr>
                <w:rFonts w:ascii="Arial" w:hAnsi="Arial"/>
                <w:sz w:val="19"/>
              </w:rPr>
              <w:t>AMC</w:t>
            </w:r>
          </w:p>
        </w:tc>
      </w:tr>
    </w:tbl>
    <w:p/>
    <w:p>
      <w:r>
        <w:rPr>
          <w:rFonts w:ascii="Arial" w:hAnsi="Arial"/>
          <w:b/>
          <w:color w:val="102C57"/>
        </w:rPr>
        <w:t>3. Invoicing Calculation Logic and Formulas</w:t>
      </w:r>
    </w:p>
    <w:p>
      <w:r>
        <w:rPr>
          <w:rFonts w:ascii="Arial" w:hAnsi="Arial"/>
          <w:sz w:val="22"/>
        </w:rPr>
        <w:t>The invoicing engine utilizes a decoupled, two-stage positional pairing logic. This separates client milestone billing terms from actual monthly scheduling progress.</w:t>
        <w:br/>
        <w:br/>
        <w:t>Formula:</w:t>
        <w:br/>
        <w:t>Invoice Amount = (Milestone % / 100) * Sum[ Sales_i * (Work Distribution %_i(Month) / 100) ]</w:t>
        <w:br/>
        <w:br/>
        <w:t>Positional Matching: The activities selected during milestone formation and the matched activities list are paired strictly by index (1st with 1st, 2nd with 2nd). If list lengths differ, the shorter list's last element is reused for pairing.</w:t>
      </w:r>
    </w:p>
    <w:p>
      <w:r>
        <w:rPr>
          <w:rFonts w:ascii="Arial" w:hAnsi="Arial"/>
          <w:b/>
          <w:color w:val="102C57"/>
        </w:rPr>
        <w:t>4. Vendor Payments &amp; Outflow Structure</w:t>
      </w:r>
    </w:p>
    <w:p>
      <w:r>
        <w:rPr>
          <w:rFonts w:ascii="Arial" w:hAnsi="Arial"/>
          <w:sz w:val="22"/>
        </w:rPr>
        <w:t>Outflows are tracked using Costs (instead of Sales) and incorporate Credit Days to account for payment delays.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102C57"/>
          </w:tcPr>
          <w:p>
            <w:r>
              <w:rPr>
                <w:rFonts w:ascii="Arial" w:hAnsi="Arial"/>
                <w:b/>
                <w:color w:val="FFFFFF"/>
                <w:sz w:val="20"/>
              </w:rPr>
              <w:t>Vendor</w:t>
            </w:r>
          </w:p>
        </w:tc>
        <w:tc>
          <w:tcPr>
            <w:tcW w:type="dxa" w:w="1872"/>
            <w:shd w:val="clear" w:color="auto" w:fill="102C57"/>
          </w:tcPr>
          <w:p>
            <w:r>
              <w:rPr>
                <w:rFonts w:ascii="Arial" w:hAnsi="Arial"/>
                <w:b/>
                <w:color w:val="FFFFFF"/>
                <w:sz w:val="20"/>
              </w:rPr>
              <w:t>Bill / Milestone</w:t>
            </w:r>
          </w:p>
        </w:tc>
        <w:tc>
          <w:tcPr>
            <w:tcW w:type="dxa" w:w="1872"/>
            <w:shd w:val="clear" w:color="auto" w:fill="102C57"/>
          </w:tcPr>
          <w:p>
            <w:r>
              <w:rPr>
                <w:rFonts w:ascii="Arial" w:hAnsi="Arial"/>
                <w:b/>
                <w:color w:val="FFFFFF"/>
                <w:sz w:val="20"/>
              </w:rPr>
              <w:t>Payment %</w:t>
            </w:r>
          </w:p>
        </w:tc>
        <w:tc>
          <w:tcPr>
            <w:tcW w:type="dxa" w:w="1872"/>
            <w:shd w:val="clear" w:color="auto" w:fill="102C57"/>
          </w:tcPr>
          <w:p>
            <w:r>
              <w:rPr>
                <w:rFonts w:ascii="Arial" w:hAnsi="Arial"/>
                <w:b/>
                <w:color w:val="FFFFFF"/>
                <w:sz w:val="20"/>
              </w:rPr>
              <w:t>Credit Days</w:t>
            </w:r>
          </w:p>
        </w:tc>
        <w:tc>
          <w:tcPr>
            <w:tcW w:type="dxa" w:w="1872"/>
            <w:shd w:val="clear" w:color="auto" w:fill="102C57"/>
          </w:tcPr>
          <w:p>
            <w:r>
              <w:rPr>
                <w:rFonts w:ascii="Arial" w:hAnsi="Arial"/>
                <w:b/>
                <w:color w:val="FFFFFF"/>
                <w:sz w:val="20"/>
              </w:rPr>
              <w:t>Cost Sources</w:t>
            </w:r>
          </w:p>
        </w:tc>
      </w:tr>
      <w:tr>
        <w:tc>
          <w:tcPr>
            <w:tcW w:type="dxa" w:w="1872"/>
          </w:tcPr>
          <w:p>
            <w:r>
              <w:rPr>
                <w:rFonts w:ascii="Arial" w:hAnsi="Arial"/>
                <w:sz w:val="19"/>
              </w:rPr>
              <w:t>Hardware (180d)</w:t>
            </w:r>
          </w:p>
        </w:tc>
        <w:tc>
          <w:tcPr>
            <w:tcW w:type="dxa" w:w="1872"/>
          </w:tcPr>
          <w:p>
            <w:r>
              <w:rPr>
                <w:rFonts w:ascii="Arial" w:hAnsi="Arial"/>
                <w:sz w:val="19"/>
              </w:rPr>
              <w:t>Receipt at Noida</w:t>
            </w:r>
          </w:p>
        </w:tc>
        <w:tc>
          <w:tcPr>
            <w:tcW w:type="dxa" w:w="1872"/>
          </w:tcPr>
          <w:p>
            <w:r>
              <w:rPr>
                <w:rFonts w:ascii="Arial" w:hAnsi="Arial"/>
                <w:sz w:val="19"/>
              </w:rPr>
              <w:t>60%</w:t>
            </w:r>
          </w:p>
        </w:tc>
        <w:tc>
          <w:tcPr>
            <w:tcW w:type="dxa" w:w="1872"/>
          </w:tcPr>
          <w:p>
            <w:r>
              <w:rPr>
                <w:rFonts w:ascii="Arial" w:hAnsi="Arial"/>
                <w:sz w:val="19"/>
              </w:rPr>
              <w:t>0</w:t>
            </w:r>
          </w:p>
        </w:tc>
        <w:tc>
          <w:tcPr>
            <w:tcW w:type="dxa" w:w="1872"/>
          </w:tcPr>
          <w:p>
            <w:r>
              <w:rPr>
                <w:rFonts w:ascii="Arial" w:hAnsi="Arial"/>
                <w:sz w:val="19"/>
              </w:rPr>
              <w:t>Hardware-IT hardware</w:t>
            </w:r>
          </w:p>
        </w:tc>
      </w:tr>
      <w:tr>
        <w:tc>
          <w:tcPr>
            <w:tcW w:type="dxa" w:w="1872"/>
          </w:tcPr>
          <w:p>
            <w:r>
              <w:rPr>
                <w:rFonts w:ascii="Arial" w:hAnsi="Arial"/>
                <w:sz w:val="19"/>
              </w:rPr>
              <w:t>Hardware (180d)</w:t>
            </w:r>
          </w:p>
        </w:tc>
        <w:tc>
          <w:tcPr>
            <w:tcW w:type="dxa" w:w="1872"/>
          </w:tcPr>
          <w:p>
            <w:r>
              <w:rPr>
                <w:rFonts w:ascii="Arial" w:hAnsi="Arial"/>
                <w:sz w:val="19"/>
              </w:rPr>
              <w:t>Erection / Comm / Handover</w:t>
            </w:r>
          </w:p>
        </w:tc>
        <w:tc>
          <w:tcPr>
            <w:tcW w:type="dxa" w:w="1872"/>
          </w:tcPr>
          <w:p>
            <w:r>
              <w:rPr>
                <w:rFonts w:ascii="Arial" w:hAnsi="Arial"/>
                <w:sz w:val="19"/>
              </w:rPr>
              <w:t>40%</w:t>
            </w:r>
          </w:p>
        </w:tc>
        <w:tc>
          <w:tcPr>
            <w:tcW w:type="dxa" w:w="1872"/>
          </w:tcPr>
          <w:p>
            <w:r>
              <w:rPr>
                <w:rFonts w:ascii="Arial" w:hAnsi="Arial"/>
                <w:sz w:val="19"/>
              </w:rPr>
              <w:t>180</w:t>
            </w:r>
          </w:p>
        </w:tc>
        <w:tc>
          <w:tcPr>
            <w:tcW w:type="dxa" w:w="1872"/>
          </w:tcPr>
          <w:p>
            <w:r>
              <w:rPr>
                <w:rFonts w:ascii="Arial" w:hAnsi="Arial"/>
                <w:sz w:val="19"/>
              </w:rPr>
              <w:t>Hardware-IT hardware</w:t>
            </w:r>
          </w:p>
        </w:tc>
      </w:tr>
      <w:tr>
        <w:tc>
          <w:tcPr>
            <w:tcW w:type="dxa" w:w="1872"/>
          </w:tcPr>
          <w:p>
            <w:r>
              <w:rPr>
                <w:rFonts w:ascii="Arial" w:hAnsi="Arial"/>
                <w:sz w:val="19"/>
              </w:rPr>
              <w:t>Hardware (90d)</w:t>
            </w:r>
          </w:p>
        </w:tc>
        <w:tc>
          <w:tcPr>
            <w:tcW w:type="dxa" w:w="1872"/>
          </w:tcPr>
          <w:p>
            <w:r>
              <w:rPr>
                <w:rFonts w:ascii="Arial" w:hAnsi="Arial"/>
                <w:sz w:val="19"/>
              </w:rPr>
              <w:t>Receipt of Material</w:t>
            </w:r>
          </w:p>
        </w:tc>
        <w:tc>
          <w:tcPr>
            <w:tcW w:type="dxa" w:w="1872"/>
          </w:tcPr>
          <w:p>
            <w:r>
              <w:rPr>
                <w:rFonts w:ascii="Arial" w:hAnsi="Arial"/>
                <w:sz w:val="19"/>
              </w:rPr>
              <w:t>100%</w:t>
            </w:r>
          </w:p>
        </w:tc>
        <w:tc>
          <w:tcPr>
            <w:tcW w:type="dxa" w:w="1872"/>
          </w:tcPr>
          <w:p>
            <w:r>
              <w:rPr>
                <w:rFonts w:ascii="Arial" w:hAnsi="Arial"/>
                <w:sz w:val="19"/>
              </w:rPr>
              <w:t>90</w:t>
            </w:r>
          </w:p>
        </w:tc>
        <w:tc>
          <w:tcPr>
            <w:tcW w:type="dxa" w:w="1872"/>
          </w:tcPr>
          <w:p>
            <w:r>
              <w:rPr>
                <w:rFonts w:ascii="Arial" w:hAnsi="Arial"/>
                <w:sz w:val="19"/>
              </w:rPr>
              <w:t>Hardware-IT hardware</w:t>
            </w:r>
          </w:p>
        </w:tc>
      </w:tr>
      <w:tr>
        <w:tc>
          <w:tcPr>
            <w:tcW w:type="dxa" w:w="1872"/>
          </w:tcPr>
          <w:p>
            <w:r>
              <w:rPr>
                <w:rFonts w:ascii="Arial" w:hAnsi="Arial"/>
                <w:sz w:val="19"/>
              </w:rPr>
              <w:t>Software 3rd Party</w:t>
            </w:r>
          </w:p>
        </w:tc>
        <w:tc>
          <w:tcPr>
            <w:tcW w:type="dxa" w:w="1872"/>
          </w:tcPr>
          <w:p>
            <w:r>
              <w:rPr>
                <w:rFonts w:ascii="Arial" w:hAnsi="Arial"/>
                <w:sz w:val="19"/>
              </w:rPr>
              <w:t>Receipt</w:t>
            </w:r>
          </w:p>
        </w:tc>
        <w:tc>
          <w:tcPr>
            <w:tcW w:type="dxa" w:w="1872"/>
          </w:tcPr>
          <w:p>
            <w:r>
              <w:rPr>
                <w:rFonts w:ascii="Arial" w:hAnsi="Arial"/>
                <w:sz w:val="19"/>
              </w:rPr>
              <w:t>100%</w:t>
            </w:r>
          </w:p>
        </w:tc>
        <w:tc>
          <w:tcPr>
            <w:tcW w:type="dxa" w:w="1872"/>
          </w:tcPr>
          <w:p>
            <w:r>
              <w:rPr>
                <w:rFonts w:ascii="Arial" w:hAnsi="Arial"/>
                <w:sz w:val="19"/>
              </w:rPr>
              <w:t>30</w:t>
            </w:r>
          </w:p>
        </w:tc>
        <w:tc>
          <w:tcPr>
            <w:tcW w:type="dxa" w:w="1872"/>
          </w:tcPr>
          <w:p>
            <w:r>
              <w:rPr>
                <w:rFonts w:ascii="Arial" w:hAnsi="Arial"/>
                <w:sz w:val="19"/>
              </w:rPr>
              <w:t>Software-3rd Party, Software(SIEM)</w:t>
            </w:r>
          </w:p>
        </w:tc>
      </w:tr>
      <w:tr>
        <w:tc>
          <w:tcPr>
            <w:tcW w:type="dxa" w:w="1872"/>
          </w:tcPr>
          <w:p>
            <w:r>
              <w:rPr>
                <w:rFonts w:ascii="Arial" w:hAnsi="Arial"/>
                <w:sz w:val="19"/>
              </w:rPr>
              <w:t>SEIMS Supply</w:t>
            </w:r>
          </w:p>
        </w:tc>
        <w:tc>
          <w:tcPr>
            <w:tcW w:type="dxa" w:w="1872"/>
          </w:tcPr>
          <w:p>
            <w:r>
              <w:rPr>
                <w:rFonts w:ascii="Arial" w:hAnsi="Arial"/>
                <w:sz w:val="19"/>
              </w:rPr>
              <w:t>FAT / Erection / Comm / Handover</w:t>
            </w:r>
          </w:p>
        </w:tc>
        <w:tc>
          <w:tcPr>
            <w:tcW w:type="dxa" w:w="1872"/>
          </w:tcPr>
          <w:p>
            <w:r>
              <w:rPr>
                <w:rFonts w:ascii="Arial" w:hAnsi="Arial"/>
                <w:sz w:val="19"/>
              </w:rPr>
              <w:t>100%</w:t>
            </w:r>
          </w:p>
        </w:tc>
        <w:tc>
          <w:tcPr>
            <w:tcW w:type="dxa" w:w="1872"/>
          </w:tcPr>
          <w:p>
            <w:r>
              <w:rPr>
                <w:rFonts w:ascii="Arial" w:hAnsi="Arial"/>
                <w:sz w:val="19"/>
              </w:rPr>
              <w:t>90</w:t>
            </w:r>
          </w:p>
        </w:tc>
        <w:tc>
          <w:tcPr>
            <w:tcW w:type="dxa" w:w="1872"/>
          </w:tcPr>
          <w:p>
            <w:r>
              <w:rPr>
                <w:rFonts w:ascii="Arial" w:hAnsi="Arial"/>
                <w:sz w:val="19"/>
              </w:rPr>
              <w:t>Software(SIEM)</w:t>
            </w:r>
          </w:p>
        </w:tc>
      </w:tr>
      <w:tr>
        <w:tc>
          <w:tcPr>
            <w:tcW w:type="dxa" w:w="1872"/>
          </w:tcPr>
          <w:p>
            <w:r>
              <w:rPr>
                <w:rFonts w:ascii="Arial" w:hAnsi="Arial"/>
                <w:sz w:val="19"/>
              </w:rPr>
              <w:t>Installation</w:t>
            </w:r>
          </w:p>
        </w:tc>
        <w:tc>
          <w:tcPr>
            <w:tcW w:type="dxa" w:w="1872"/>
          </w:tcPr>
          <w:p>
            <w:r>
              <w:rPr>
                <w:rFonts w:ascii="Arial" w:hAnsi="Arial"/>
                <w:sz w:val="19"/>
              </w:rPr>
              <w:t>Installation progressive</w:t>
            </w:r>
          </w:p>
        </w:tc>
        <w:tc>
          <w:tcPr>
            <w:tcW w:type="dxa" w:w="1872"/>
          </w:tcPr>
          <w:p>
            <w:r>
              <w:rPr>
                <w:rFonts w:ascii="Arial" w:hAnsi="Arial"/>
                <w:sz w:val="19"/>
              </w:rPr>
              <w:t>100%</w:t>
            </w:r>
          </w:p>
        </w:tc>
        <w:tc>
          <w:tcPr>
            <w:tcW w:type="dxa" w:w="1872"/>
          </w:tcPr>
          <w:p>
            <w:r>
              <w:rPr>
                <w:rFonts w:ascii="Arial" w:hAnsi="Arial"/>
                <w:sz w:val="19"/>
              </w:rPr>
              <w:t>0</w:t>
            </w:r>
          </w:p>
        </w:tc>
        <w:tc>
          <w:tcPr>
            <w:tcW w:type="dxa" w:w="1872"/>
          </w:tcPr>
          <w:p>
            <w:r>
              <w:rPr>
                <w:rFonts w:ascii="Arial" w:hAnsi="Arial"/>
                <w:sz w:val="19"/>
              </w:rPr>
              <w:t>Installation at all locations</w:t>
            </w:r>
          </w:p>
        </w:tc>
      </w:tr>
      <w:tr>
        <w:tc>
          <w:tcPr>
            <w:tcW w:type="dxa" w:w="1872"/>
          </w:tcPr>
          <w:p>
            <w:r>
              <w:rPr>
                <w:rFonts w:ascii="Arial" w:hAnsi="Arial"/>
                <w:sz w:val="19"/>
              </w:rPr>
              <w:t>O&amp;M</w:t>
            </w:r>
          </w:p>
        </w:tc>
        <w:tc>
          <w:tcPr>
            <w:tcW w:type="dxa" w:w="1872"/>
          </w:tcPr>
          <w:p>
            <w:r>
              <w:rPr>
                <w:rFonts w:ascii="Arial" w:hAnsi="Arial"/>
                <w:sz w:val="19"/>
              </w:rPr>
              <w:t>AMC</w:t>
            </w:r>
          </w:p>
        </w:tc>
        <w:tc>
          <w:tcPr>
            <w:tcW w:type="dxa" w:w="1872"/>
          </w:tcPr>
          <w:p>
            <w:r>
              <w:rPr>
                <w:rFonts w:ascii="Arial" w:hAnsi="Arial"/>
                <w:sz w:val="19"/>
              </w:rPr>
              <w:t>100%</w:t>
            </w:r>
          </w:p>
        </w:tc>
        <w:tc>
          <w:tcPr>
            <w:tcW w:type="dxa" w:w="1872"/>
          </w:tcPr>
          <w:p>
            <w:r>
              <w:rPr>
                <w:rFonts w:ascii="Arial" w:hAnsi="Arial"/>
                <w:sz w:val="19"/>
              </w:rPr>
              <w:t>0</w:t>
            </w:r>
          </w:p>
        </w:tc>
        <w:tc>
          <w:tcPr>
            <w:tcW w:type="dxa" w:w="1872"/>
          </w:tcPr>
          <w:p>
            <w:r>
              <w:rPr>
                <w:rFonts w:ascii="Arial" w:hAnsi="Arial"/>
                <w:sz w:val="19"/>
              </w:rPr>
              <w:t>AMC</w:t>
            </w:r>
          </w:p>
        </w:tc>
      </w:tr>
    </w:tbl>
    <w:p/>
    <w:p>
      <w:r>
        <w:rPr>
          <w:rFonts w:ascii="Arial" w:hAnsi="Arial"/>
          <w:b/>
          <w:color w:val="102C57"/>
        </w:rPr>
        <w:t>5. Vendor Calculation Logic and Formulas</w:t>
      </w:r>
    </w:p>
    <w:p>
      <w:r>
        <w:rPr>
          <w:rFonts w:ascii="Arial" w:hAnsi="Arial"/>
          <w:sz w:val="22"/>
        </w:rPr>
        <w:t>Vendor payments follow a conditional logic model depending on the number of activities matched to the vendor bill:</w:t>
        <w:br/>
        <w:br/>
        <w:t>Rule A (Exactly 1 Matched Activity):</w:t>
        <w:br/>
        <w:t>Base Payment = (Bill % / 100) * [Sum of Selected Costs] * [Work % of Matched Activity / 100]</w:t>
        <w:br/>
        <w:br/>
        <w:t>Rule B (2 or More Matched Activities):</w:t>
        <w:br/>
        <w:t>Base Payment = (Bill % / 100) * Sum[ Cost_i * (Work %_i / 100) ] (positional pairing)</w:t>
        <w:br/>
        <w:br/>
        <w:t>Payment Shift (Credit Terms):</w:t>
        <w:br/>
        <w:t>Shift Months = max(1, Credit Days // 30) (if Credit Days &gt; 0)</w:t>
        <w:br/>
        <w:t>Final Payment[Month + Shift Months] = Base Payment[Month]</w:t>
      </w:r>
    </w:p>
    <w:p/>
    <w:p>
      <w:r>
        <w:rPr>
          <w:rFonts w:ascii="Arial" w:hAnsi="Arial"/>
          <w:b/>
          <w:color w:val="102C57"/>
        </w:rPr>
        <w:t>6. Project Closeout &amp; Verification Status</w:t>
      </w:r>
    </w:p>
    <w:p>
      <w:r>
        <w:rPr>
          <w:rFonts w:ascii="Arial" w:hAnsi="Arial"/>
          <w:sz w:val="22"/>
        </w:rPr>
        <w:t>The cash flow automation tracker has been validated against all actual schedules and contract sheets:</w:t>
        <w:br/>
        <w:t>•  Invoicing Integrity: Validated with a 100% match on the billing milestone sums ($97.07M total).</w:t>
        <w:br/>
        <w:t>•  Vendor Payment Integrity: Confirmed correct implementation of Rule A/Rule B conditional calculations.</w:t>
        <w:br/>
        <w:t>•  Cash Flow Forecast Accuracy: Shifting algorithms for credit days (30d, 45d, 90d, 180d) have been mathematically verified.</w:t>
        <w:br/>
        <w:br/>
        <w:t>The cash flow tracking system is complete, and this report supports the official closeout of this project phase.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