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B7749" w14:textId="77777777" w:rsidR="000C7DA3" w:rsidRDefault="00482F13">
      <w:pPr>
        <w:spacing w:before="240" w:line="288" w:lineRule="auto"/>
      </w:pPr>
      <w:bookmarkStart w:id="0" w:name="career_longevity_and_performance_ec0ddc"/>
      <w:r>
        <w:rPr>
          <w:b/>
          <w:sz w:val="56"/>
        </w:rPr>
        <w:t>Career Longevity and Performance Trajectories in Elite Football: A Survival Analysis of LaLiga Athletes</w:t>
      </w:r>
      <w:bookmarkEnd w:id="0"/>
    </w:p>
    <w:p w14:paraId="19FC115A" w14:textId="77777777" w:rsidR="000C7DA3" w:rsidRDefault="00482F13">
      <w:pPr>
        <w:spacing w:before="240" w:line="271" w:lineRule="auto"/>
      </w:pPr>
      <w:bookmarkStart w:id="1" w:name="executive_summary"/>
      <w:r>
        <w:rPr>
          <w:b/>
          <w:sz w:val="42"/>
        </w:rPr>
        <w:t>Executive Summary</w:t>
      </w:r>
      <w:bookmarkEnd w:id="1"/>
    </w:p>
    <w:p w14:paraId="76325766" w14:textId="77777777" w:rsidR="000C7DA3" w:rsidRDefault="00482F13">
      <w:pPr>
        <w:spacing w:after="210"/>
      </w:pPr>
      <w:r>
        <w:t xml:space="preserve">This analysis examines career longevity patterns among 2,778 LaLiga players using survival analysis and time-varying Cox regression models. </w:t>
      </w:r>
      <w:r>
        <w:rPr>
          <w:b/>
        </w:rPr>
        <w:t>Key findings</w:t>
      </w:r>
      <w:r>
        <w:rPr>
          <w:rFonts w:eastAsia="Georgia" w:hAnsi="Georgia" w:cs="Georgia"/>
        </w:rPr>
        <w:t>: (1) Goalkeepers sustain appreciable career extensions relative to outfield positions, demonstrating role-specific durability patterns; (2) Early professional debut (17–21 years) predicts extended career windows relative to late debut cohorts; (3) Injury burden shows moderate correlations with both career termination and time-away patterns, indicating injury as a significant career determinant; (4) Height demonstrates minimal independent association with career longevity once position effects are controlled; (5) Match participation signals sustained organizational confidence and predicts career continuation across all player segments. These findings inform position-specific development strategies, injury management protocols, and player succession planning within LaLiga contexts.</w:t>
      </w:r>
    </w:p>
    <w:p w14:paraId="044FDC9E" w14:textId="77777777" w:rsidR="000C7DA3" w:rsidRDefault="00482F13">
      <w:pPr>
        <w:spacing w:before="240" w:line="271" w:lineRule="auto"/>
      </w:pPr>
      <w:bookmarkStart w:id="2" w:name="analytical_process_flow"/>
      <w:r>
        <w:rPr>
          <w:b/>
          <w:sz w:val="42"/>
        </w:rPr>
        <w:t>Analytical Process Flow</w:t>
      </w:r>
      <w:bookmarkEnd w:id="2"/>
    </w:p>
    <w:p w14:paraId="06CF56EB" w14:textId="77777777" w:rsidR="000C7DA3" w:rsidRDefault="00482F13">
      <w:pPr>
        <w:numPr>
          <w:ilvl w:val="0"/>
          <w:numId w:val="1"/>
        </w:numPr>
      </w:pPr>
      <w:r>
        <w:rPr>
          <w:b/>
        </w:rPr>
        <w:t>Data Assembly</w:t>
      </w:r>
      <w:r>
        <w:rPr>
          <w:rFonts w:eastAsia="Georgia" w:hAnsi="Georgia" w:cs="Georgia"/>
        </w:rPr>
        <w:t xml:space="preserve"> → Load complete career records (n=2,778) with demographic, injury, and match participation data from 2010–2015 seasons</w:t>
      </w:r>
    </w:p>
    <w:p w14:paraId="5B462DB7" w14:textId="77777777" w:rsidR="000C7DA3" w:rsidRDefault="00482F13">
      <w:pPr>
        <w:numPr>
          <w:ilvl w:val="0"/>
          <w:numId w:val="1"/>
        </w:numPr>
      </w:pPr>
      <w:r>
        <w:rPr>
          <w:b/>
        </w:rPr>
        <w:t>Descriptive Analysis</w:t>
      </w:r>
      <w:r>
        <w:rPr>
          <w:rFonts w:eastAsia="Georgia" w:hAnsi="Georgia" w:cs="Georgia"/>
        </w:rPr>
        <w:t xml:space="preserve"> → Compute position-specific, debut-age, and height-stratified summary statistics; Pearson correlations</w:t>
      </w:r>
    </w:p>
    <w:p w14:paraId="2E54B619" w14:textId="77777777" w:rsidR="000C7DA3" w:rsidRDefault="00482F13">
      <w:pPr>
        <w:numPr>
          <w:ilvl w:val="0"/>
          <w:numId w:val="1"/>
        </w:numPr>
      </w:pPr>
      <w:r>
        <w:rPr>
          <w:b/>
        </w:rPr>
        <w:t>Event Definition</w:t>
      </w:r>
      <w:r>
        <w:rPr>
          <w:rFonts w:eastAsia="Georgia" w:hAnsi="Georgia" w:cs="Georgia"/>
        </w:rPr>
        <w:t xml:space="preserve"> → Code retirement status as binary outcome; establish follow-up time as career years since professional debut</w:t>
      </w:r>
    </w:p>
    <w:p w14:paraId="02DAB726" w14:textId="77777777" w:rsidR="000C7DA3" w:rsidRDefault="00482F13">
      <w:pPr>
        <w:numPr>
          <w:ilvl w:val="0"/>
          <w:numId w:val="1"/>
        </w:numPr>
      </w:pPr>
      <w:r>
        <w:rPr>
          <w:b/>
        </w:rPr>
        <w:t>Kaplan-Meier Estimation</w:t>
      </w:r>
      <w:r>
        <w:rPr>
          <w:rFonts w:eastAsia="Georgia" w:hAnsi="Georgia" w:cs="Georgia"/>
        </w:rPr>
        <w:t xml:space="preserve"> → Overall and stratified (position, debut age, height) survival curves with confidence bands</w:t>
      </w:r>
    </w:p>
    <w:p w14:paraId="1BB0ED05" w14:textId="77777777" w:rsidR="000C7DA3" w:rsidRDefault="00482F13">
      <w:pPr>
        <w:numPr>
          <w:ilvl w:val="0"/>
          <w:numId w:val="1"/>
        </w:numPr>
      </w:pPr>
      <w:r>
        <w:rPr>
          <w:b/>
        </w:rPr>
        <w:t>Cox Model Specification</w:t>
      </w:r>
      <w:r>
        <w:rPr>
          <w:rFonts w:eastAsia="Georgia" w:hAnsi="Georgia" w:cs="Georgia"/>
        </w:rPr>
        <w:t xml:space="preserve"> → Time-varying coefficient models with position, injury band, height, and match exposure</w:t>
      </w:r>
    </w:p>
    <w:p w14:paraId="6D81A5D8" w14:textId="77777777" w:rsidR="000C7DA3" w:rsidRDefault="00482F13">
      <w:pPr>
        <w:numPr>
          <w:ilvl w:val="0"/>
          <w:numId w:val="1"/>
        </w:numPr>
      </w:pPr>
      <w:r>
        <w:rPr>
          <w:b/>
        </w:rPr>
        <w:t>Inference &amp; Interpretation</w:t>
      </w:r>
      <w:r>
        <w:rPr>
          <w:rFonts w:eastAsia="Georgia" w:hAnsi="Georgia" w:cs="Georgia"/>
        </w:rPr>
        <w:t xml:space="preserve"> → Synthesize KM curves and Cox results to identify mechanistic patterns and causal pathways</w:t>
      </w:r>
    </w:p>
    <w:p w14:paraId="21C435D3" w14:textId="77777777" w:rsidR="000C7DA3" w:rsidRDefault="00482F13">
      <w:pPr>
        <w:numPr>
          <w:ilvl w:val="0"/>
          <w:numId w:val="1"/>
        </w:numPr>
      </w:pPr>
      <w:r>
        <w:rPr>
          <w:b/>
        </w:rPr>
        <w:t>Strategic Translation</w:t>
      </w:r>
      <w:r>
        <w:rPr>
          <w:rFonts w:eastAsia="Georgia" w:hAnsi="Georgia" w:cs="Georgia"/>
        </w:rPr>
        <w:t xml:space="preserve"> → Convert statistical findings into position-specific, organizational recommendations</w:t>
      </w:r>
    </w:p>
    <w:p w14:paraId="7F5197EC" w14:textId="77777777" w:rsidR="000C7DA3" w:rsidRDefault="00482F13">
      <w:pPr>
        <w:numPr>
          <w:ilvl w:val="0"/>
          <w:numId w:val="1"/>
        </w:numPr>
      </w:pPr>
      <w:r>
        <w:rPr>
          <w:b/>
        </w:rPr>
        <w:t>Validation Checks</w:t>
      </w:r>
      <w:r>
        <w:rPr>
          <w:rFonts w:eastAsia="Georgia" w:hAnsi="Georgia" w:cs="Georgia"/>
        </w:rPr>
        <w:t xml:space="preserve"> → Assess proportional hazards assumptions; examine censoring bias</w:t>
      </w:r>
    </w:p>
    <w:p w14:paraId="783E2261" w14:textId="77777777" w:rsidR="000C7DA3" w:rsidRDefault="00482F13">
      <w:pPr>
        <w:spacing w:before="240" w:line="271" w:lineRule="auto"/>
      </w:pPr>
      <w:bookmarkStart w:id="3" w:name="bm_1_methods_and_descriptive_findings"/>
      <w:r>
        <w:rPr>
          <w:b/>
          <w:sz w:val="42"/>
        </w:rPr>
        <w:lastRenderedPageBreak/>
        <w:t>1. Methods and Descriptive Findings</w:t>
      </w:r>
      <w:bookmarkEnd w:id="3"/>
    </w:p>
    <w:p w14:paraId="02B9E7F1" w14:textId="77777777" w:rsidR="000C7DA3" w:rsidRDefault="00482F13">
      <w:pPr>
        <w:spacing w:before="240" w:line="271" w:lineRule="auto"/>
      </w:pPr>
      <w:bookmarkStart w:id="4" w:name="bm_1_1_study_population_and_stati_9085bf"/>
      <w:r>
        <w:rPr>
          <w:b/>
          <w:sz w:val="33"/>
        </w:rPr>
        <w:t>1.1 Study Population and Statistical Framework</w:t>
      </w:r>
      <w:bookmarkEnd w:id="4"/>
    </w:p>
    <w:p w14:paraId="3103B00A" w14:textId="77777777" w:rsidR="000C7DA3" w:rsidRDefault="00482F13">
      <w:pPr>
        <w:spacing w:after="210"/>
      </w:pPr>
      <w:r>
        <w:t>This analysis examines career longevity patterns among 2,778 LaLiga players, with comprehensive demographic, injury, and match participation data. Career longevity is defined as the number of years from top-tier professional debut to either confirmed retirement or administrative censoring at the last observed competitive season. Retirement status is recorded as binary (retired: Yes/No), enabling time-to-event analysis via Kaplan-Meier and Cox proportional hazards methods.</w:t>
      </w:r>
    </w:p>
    <w:p w14:paraId="75853EE8" w14:textId="77777777" w:rsidR="000C7DA3" w:rsidRDefault="00482F13">
      <w:pPr>
        <w:spacing w:after="210"/>
      </w:pPr>
      <w:r>
        <w:rPr>
          <w:b/>
        </w:rPr>
        <w:t>Statistical framework</w:t>
      </w:r>
      <w:r>
        <w:rPr>
          <w:rFonts w:eastAsia="Georgia" w:hAnsi="Georgia" w:cs="Georgia"/>
        </w:rPr>
        <w:t xml:space="preserve">: Kaplan-Meier estimation computes survival probabilities (probability of remaining active) as functions of career duration. Time-varying Cox proportional hazards regression models incorporate </w:t>
      </w:r>
      <w:proofErr w:type="spellStart"/>
      <w:r>
        <w:rPr>
          <w:rFonts w:eastAsia="Georgia" w:hAnsi="Georgia" w:cs="Georgia"/>
        </w:rPr>
        <w:t>position_simple</w:t>
      </w:r>
      <w:proofErr w:type="spellEnd"/>
      <w:r>
        <w:rPr>
          <w:rFonts w:eastAsia="Georgia" w:hAnsi="Georgia" w:cs="Georgia"/>
        </w:rPr>
        <w:t xml:space="preserve"> (Attack, Defender, Goalkeeper, Midfield), </w:t>
      </w:r>
      <w:proofErr w:type="spellStart"/>
      <w:r>
        <w:rPr>
          <w:rFonts w:eastAsia="Georgia" w:hAnsi="Georgia" w:cs="Georgia"/>
        </w:rPr>
        <w:t>debut_age_num</w:t>
      </w:r>
      <w:proofErr w:type="spellEnd"/>
      <w:r>
        <w:rPr>
          <w:rFonts w:eastAsia="Georgia" w:hAnsi="Georgia" w:cs="Georgia"/>
        </w:rPr>
        <w:t xml:space="preserve"> (years), </w:t>
      </w:r>
      <w:proofErr w:type="spellStart"/>
      <w:r>
        <w:rPr>
          <w:rFonts w:eastAsia="Georgia" w:hAnsi="Georgia" w:cs="Georgia"/>
        </w:rPr>
        <w:t>injury_count_band</w:t>
      </w:r>
      <w:proofErr w:type="spellEnd"/>
      <w:r>
        <w:rPr>
          <w:rFonts w:eastAsia="Georgia" w:hAnsi="Georgia" w:cs="Georgia"/>
        </w:rPr>
        <w:t xml:space="preserve"> (categorical), </w:t>
      </w:r>
      <w:proofErr w:type="spellStart"/>
      <w:r>
        <w:rPr>
          <w:rFonts w:eastAsia="Georgia" w:hAnsi="Georgia" w:cs="Georgia"/>
        </w:rPr>
        <w:t>height_group</w:t>
      </w:r>
      <w:proofErr w:type="spellEnd"/>
      <w:r>
        <w:rPr>
          <w:rFonts w:eastAsia="Georgia" w:hAnsi="Georgia" w:cs="Georgia"/>
        </w:rPr>
        <w:t xml:space="preserve"> (categorical), and </w:t>
      </w:r>
      <w:proofErr w:type="spellStart"/>
      <w:r>
        <w:rPr>
          <w:rFonts w:eastAsia="Georgia" w:hAnsi="Georgia" w:cs="Georgia"/>
        </w:rPr>
        <w:t>total_matches_club</w:t>
      </w:r>
      <w:proofErr w:type="spellEnd"/>
      <w:r>
        <w:rPr>
          <w:rFonts w:eastAsia="Georgia" w:hAnsi="Georgia" w:cs="Georgia"/>
        </w:rPr>
        <w:t xml:space="preserve"> as covariates. Time-varying coefficients β(t) capture how hazard ratios evolve across career duration, revealing whether positional demands or injury effects manifest early versus late in careers.</w:t>
      </w:r>
    </w:p>
    <w:p w14:paraId="13CB41DF" w14:textId="77777777" w:rsidR="000C7DA3" w:rsidRDefault="00482F13">
      <w:pPr>
        <w:spacing w:before="240" w:line="271" w:lineRule="auto"/>
      </w:pPr>
      <w:bookmarkStart w:id="5" w:name="bm_1_2_career_length_distribution_d914a6"/>
      <w:r>
        <w:rPr>
          <w:b/>
          <w:sz w:val="33"/>
        </w:rPr>
        <w:t>1.2 Career Length Distribution and Retirement Status</w:t>
      </w:r>
      <w:bookmarkEnd w:id="5"/>
    </w:p>
    <w:p w14:paraId="77AAB797" w14:textId="77777777" w:rsidR="000C7DA3" w:rsidRDefault="00482F13">
      <w:pPr>
        <w:spacing w:after="210"/>
      </w:pPr>
      <w:r>
        <w:rPr>
          <w:rFonts w:eastAsia="Georgia" w:hAnsi="Georgia" w:cs="Georgia"/>
        </w:rPr>
        <w:t>Career length follows an approximately normal distribution: mean 15.2 years (SD ± 3.4), median 15 years, range 4–27 years, IQR 13–17 years. Active players (n=1,087, 39%) average 15.4 ± 3.5 years; retired players (n=1,684, 61%) average 15.1 ± 3.3 years. The minimal 0.3-year difference indicates limited censoring bias—active players transitioning from elite football follow similar temporal patterns to completed-career cohorts.</w:t>
      </w:r>
    </w:p>
    <w:tbl>
      <w:tblPr>
        <w:tblStyle w:val="NormalGrid"/>
        <w:tblW w:w="0" w:type="auto"/>
        <w:jc w:val="center"/>
        <w:tblCellSpacing w:w="0" w:type="dxa"/>
        <w:tblLook w:val="04A0" w:firstRow="1" w:lastRow="0" w:firstColumn="1" w:lastColumn="0" w:noHBand="0" w:noVBand="1"/>
      </w:tblPr>
      <w:tblGrid>
        <w:gridCol w:w="2328"/>
        <w:gridCol w:w="1461"/>
        <w:gridCol w:w="1521"/>
        <w:gridCol w:w="1159"/>
        <w:gridCol w:w="1078"/>
        <w:gridCol w:w="677"/>
      </w:tblGrid>
      <w:tr w:rsidR="000C7DA3" w14:paraId="768E3EC8"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B5202CE" w14:textId="77777777" w:rsidR="000C7DA3" w:rsidRDefault="00482F13">
            <w:r>
              <w:rPr>
                <w:b/>
              </w:rPr>
              <w:t>Retirement Status</w:t>
            </w:r>
          </w:p>
        </w:tc>
        <w:tc>
          <w:tcPr>
            <w:tcW w:w="0" w:type="auto"/>
            <w:tcBorders>
              <w:top w:val="single" w:sz="8" w:space="0" w:color="000000"/>
              <w:bottom w:val="single" w:sz="8" w:space="0" w:color="000000"/>
              <w:right w:val="single" w:sz="8" w:space="0" w:color="000000"/>
            </w:tcBorders>
            <w:vAlign w:val="center"/>
          </w:tcPr>
          <w:p w14:paraId="444288DB" w14:textId="77777777" w:rsidR="000C7DA3" w:rsidRDefault="00482F13">
            <w:pPr>
              <w:jc w:val="center"/>
            </w:pPr>
            <w:r>
              <w:rPr>
                <w:b/>
              </w:rPr>
              <w:t>n (%)</w:t>
            </w:r>
          </w:p>
        </w:tc>
        <w:tc>
          <w:tcPr>
            <w:tcW w:w="0" w:type="auto"/>
            <w:tcBorders>
              <w:top w:val="single" w:sz="8" w:space="0" w:color="000000"/>
              <w:bottom w:val="single" w:sz="8" w:space="0" w:color="000000"/>
              <w:right w:val="single" w:sz="8" w:space="0" w:color="000000"/>
            </w:tcBorders>
            <w:vAlign w:val="center"/>
          </w:tcPr>
          <w:p w14:paraId="47890250" w14:textId="77777777" w:rsidR="000C7DA3" w:rsidRDefault="00482F13">
            <w:pPr>
              <w:jc w:val="center"/>
            </w:pPr>
            <w:r>
              <w:rPr>
                <w:b/>
              </w:rPr>
              <w:t>Mean (yrs)</w:t>
            </w:r>
          </w:p>
        </w:tc>
        <w:tc>
          <w:tcPr>
            <w:tcW w:w="0" w:type="auto"/>
            <w:tcBorders>
              <w:top w:val="single" w:sz="8" w:space="0" w:color="000000"/>
              <w:bottom w:val="single" w:sz="8" w:space="0" w:color="000000"/>
              <w:right w:val="single" w:sz="8" w:space="0" w:color="000000"/>
            </w:tcBorders>
            <w:vAlign w:val="center"/>
          </w:tcPr>
          <w:p w14:paraId="6E2A9F36" w14:textId="77777777" w:rsidR="000C7DA3" w:rsidRDefault="00482F13">
            <w:pPr>
              <w:jc w:val="center"/>
            </w:pPr>
            <w:r>
              <w:rPr>
                <w:b/>
              </w:rPr>
              <w:t>Median</w:t>
            </w:r>
          </w:p>
        </w:tc>
        <w:tc>
          <w:tcPr>
            <w:tcW w:w="0" w:type="auto"/>
            <w:tcBorders>
              <w:top w:val="single" w:sz="8" w:space="0" w:color="000000"/>
              <w:bottom w:val="single" w:sz="8" w:space="0" w:color="000000"/>
              <w:right w:val="single" w:sz="8" w:space="0" w:color="000000"/>
            </w:tcBorders>
            <w:vAlign w:val="center"/>
          </w:tcPr>
          <w:p w14:paraId="742AC6E3" w14:textId="77777777" w:rsidR="000C7DA3" w:rsidRDefault="00482F13">
            <w:pPr>
              <w:jc w:val="center"/>
            </w:pPr>
            <w:r>
              <w:rPr>
                <w:b/>
              </w:rPr>
              <w:t>Q1--Q3</w:t>
            </w:r>
          </w:p>
        </w:tc>
        <w:tc>
          <w:tcPr>
            <w:tcW w:w="0" w:type="auto"/>
            <w:tcBorders>
              <w:top w:val="single" w:sz="8" w:space="0" w:color="000000"/>
              <w:bottom w:val="single" w:sz="8" w:space="0" w:color="000000"/>
              <w:right w:val="single" w:sz="8" w:space="0" w:color="000000"/>
            </w:tcBorders>
            <w:vAlign w:val="center"/>
          </w:tcPr>
          <w:p w14:paraId="281CDE70" w14:textId="77777777" w:rsidR="000C7DA3" w:rsidRDefault="00482F13">
            <w:pPr>
              <w:jc w:val="center"/>
            </w:pPr>
            <w:r>
              <w:rPr>
                <w:b/>
              </w:rPr>
              <w:t>SD</w:t>
            </w:r>
          </w:p>
        </w:tc>
      </w:tr>
      <w:tr w:rsidR="000C7DA3" w14:paraId="4087F98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A0B8587" w14:textId="77777777" w:rsidR="000C7DA3" w:rsidRDefault="00482F13">
            <w:r>
              <w:t>Active (No)</w:t>
            </w:r>
          </w:p>
        </w:tc>
        <w:tc>
          <w:tcPr>
            <w:tcW w:w="0" w:type="auto"/>
            <w:tcBorders>
              <w:bottom w:val="single" w:sz="8" w:space="0" w:color="000000"/>
              <w:right w:val="single" w:sz="8" w:space="0" w:color="000000"/>
            </w:tcBorders>
            <w:vAlign w:val="center"/>
          </w:tcPr>
          <w:p w14:paraId="370E6416" w14:textId="77777777" w:rsidR="000C7DA3" w:rsidRDefault="00482F13">
            <w:pPr>
              <w:jc w:val="center"/>
            </w:pPr>
            <w:r>
              <w:t>1,087 (39%)</w:t>
            </w:r>
          </w:p>
        </w:tc>
        <w:tc>
          <w:tcPr>
            <w:tcW w:w="0" w:type="auto"/>
            <w:tcBorders>
              <w:bottom w:val="single" w:sz="8" w:space="0" w:color="000000"/>
              <w:right w:val="single" w:sz="8" w:space="0" w:color="000000"/>
            </w:tcBorders>
            <w:vAlign w:val="center"/>
          </w:tcPr>
          <w:p w14:paraId="3E2263E1" w14:textId="77777777" w:rsidR="000C7DA3" w:rsidRDefault="00482F13">
            <w:pPr>
              <w:jc w:val="center"/>
            </w:pPr>
            <w:r>
              <w:t>15.4</w:t>
            </w:r>
          </w:p>
        </w:tc>
        <w:tc>
          <w:tcPr>
            <w:tcW w:w="0" w:type="auto"/>
            <w:tcBorders>
              <w:bottom w:val="single" w:sz="8" w:space="0" w:color="000000"/>
              <w:right w:val="single" w:sz="8" w:space="0" w:color="000000"/>
            </w:tcBorders>
            <w:vAlign w:val="center"/>
          </w:tcPr>
          <w:p w14:paraId="485E77F1" w14:textId="77777777" w:rsidR="000C7DA3" w:rsidRDefault="00482F13">
            <w:pPr>
              <w:jc w:val="center"/>
            </w:pPr>
            <w:r>
              <w:t>15</w:t>
            </w:r>
          </w:p>
        </w:tc>
        <w:tc>
          <w:tcPr>
            <w:tcW w:w="0" w:type="auto"/>
            <w:tcBorders>
              <w:bottom w:val="single" w:sz="8" w:space="0" w:color="000000"/>
              <w:right w:val="single" w:sz="8" w:space="0" w:color="000000"/>
            </w:tcBorders>
            <w:vAlign w:val="center"/>
          </w:tcPr>
          <w:p w14:paraId="6B2C4425" w14:textId="77777777" w:rsidR="000C7DA3" w:rsidRDefault="00482F13">
            <w:pPr>
              <w:jc w:val="center"/>
            </w:pPr>
            <w:r>
              <w:t>13--17</w:t>
            </w:r>
          </w:p>
        </w:tc>
        <w:tc>
          <w:tcPr>
            <w:tcW w:w="0" w:type="auto"/>
            <w:tcBorders>
              <w:bottom w:val="single" w:sz="8" w:space="0" w:color="000000"/>
              <w:right w:val="single" w:sz="8" w:space="0" w:color="000000"/>
            </w:tcBorders>
            <w:vAlign w:val="center"/>
          </w:tcPr>
          <w:p w14:paraId="1C3F395A" w14:textId="77777777" w:rsidR="000C7DA3" w:rsidRDefault="00482F13">
            <w:pPr>
              <w:jc w:val="center"/>
            </w:pPr>
            <w:r>
              <w:t>3.5</w:t>
            </w:r>
          </w:p>
        </w:tc>
      </w:tr>
      <w:tr w:rsidR="000C7DA3" w14:paraId="7776491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B7D777B" w14:textId="77777777" w:rsidR="000C7DA3" w:rsidRDefault="00482F13">
            <w:r>
              <w:t>Retired (Yes)</w:t>
            </w:r>
          </w:p>
        </w:tc>
        <w:tc>
          <w:tcPr>
            <w:tcW w:w="0" w:type="auto"/>
            <w:tcBorders>
              <w:bottom w:val="single" w:sz="8" w:space="0" w:color="000000"/>
              <w:right w:val="single" w:sz="8" w:space="0" w:color="000000"/>
            </w:tcBorders>
            <w:vAlign w:val="center"/>
          </w:tcPr>
          <w:p w14:paraId="575D7AAE" w14:textId="77777777" w:rsidR="000C7DA3" w:rsidRDefault="00482F13">
            <w:pPr>
              <w:jc w:val="center"/>
            </w:pPr>
            <w:r>
              <w:t>1,684 (61%)</w:t>
            </w:r>
          </w:p>
        </w:tc>
        <w:tc>
          <w:tcPr>
            <w:tcW w:w="0" w:type="auto"/>
            <w:tcBorders>
              <w:bottom w:val="single" w:sz="8" w:space="0" w:color="000000"/>
              <w:right w:val="single" w:sz="8" w:space="0" w:color="000000"/>
            </w:tcBorders>
            <w:vAlign w:val="center"/>
          </w:tcPr>
          <w:p w14:paraId="38384C9D" w14:textId="77777777" w:rsidR="000C7DA3" w:rsidRDefault="00482F13">
            <w:pPr>
              <w:jc w:val="center"/>
            </w:pPr>
            <w:r>
              <w:t>15.1</w:t>
            </w:r>
          </w:p>
        </w:tc>
        <w:tc>
          <w:tcPr>
            <w:tcW w:w="0" w:type="auto"/>
            <w:tcBorders>
              <w:bottom w:val="single" w:sz="8" w:space="0" w:color="000000"/>
              <w:right w:val="single" w:sz="8" w:space="0" w:color="000000"/>
            </w:tcBorders>
            <w:vAlign w:val="center"/>
          </w:tcPr>
          <w:p w14:paraId="62DFEFFC" w14:textId="77777777" w:rsidR="000C7DA3" w:rsidRDefault="00482F13">
            <w:pPr>
              <w:jc w:val="center"/>
            </w:pPr>
            <w:r>
              <w:t>15</w:t>
            </w:r>
          </w:p>
        </w:tc>
        <w:tc>
          <w:tcPr>
            <w:tcW w:w="0" w:type="auto"/>
            <w:tcBorders>
              <w:bottom w:val="single" w:sz="8" w:space="0" w:color="000000"/>
              <w:right w:val="single" w:sz="8" w:space="0" w:color="000000"/>
            </w:tcBorders>
            <w:vAlign w:val="center"/>
          </w:tcPr>
          <w:p w14:paraId="4406854A" w14:textId="77777777" w:rsidR="000C7DA3" w:rsidRDefault="00482F13">
            <w:pPr>
              <w:jc w:val="center"/>
            </w:pPr>
            <w:r>
              <w:t>13--17</w:t>
            </w:r>
          </w:p>
        </w:tc>
        <w:tc>
          <w:tcPr>
            <w:tcW w:w="0" w:type="auto"/>
            <w:tcBorders>
              <w:bottom w:val="single" w:sz="8" w:space="0" w:color="000000"/>
              <w:right w:val="single" w:sz="8" w:space="0" w:color="000000"/>
            </w:tcBorders>
            <w:vAlign w:val="center"/>
          </w:tcPr>
          <w:p w14:paraId="4934538E" w14:textId="77777777" w:rsidR="000C7DA3" w:rsidRDefault="00482F13">
            <w:pPr>
              <w:jc w:val="center"/>
            </w:pPr>
            <w:r>
              <w:t>3.3</w:t>
            </w:r>
          </w:p>
        </w:tc>
      </w:tr>
      <w:tr w:rsidR="000C7DA3" w14:paraId="335022D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FDF2E1C" w14:textId="77777777" w:rsidR="000C7DA3" w:rsidRDefault="00482F13">
            <w:r>
              <w:rPr>
                <w:b/>
              </w:rPr>
              <w:t>Total Cohort</w:t>
            </w:r>
          </w:p>
        </w:tc>
        <w:tc>
          <w:tcPr>
            <w:tcW w:w="0" w:type="auto"/>
            <w:tcBorders>
              <w:bottom w:val="single" w:sz="8" w:space="0" w:color="000000"/>
              <w:right w:val="single" w:sz="8" w:space="0" w:color="000000"/>
            </w:tcBorders>
            <w:vAlign w:val="center"/>
          </w:tcPr>
          <w:p w14:paraId="7FF89C8B" w14:textId="77777777" w:rsidR="000C7DA3" w:rsidRDefault="00482F13">
            <w:pPr>
              <w:jc w:val="center"/>
            </w:pPr>
            <w:r>
              <w:rPr>
                <w:b/>
              </w:rPr>
              <w:t>2,771</w:t>
            </w:r>
          </w:p>
        </w:tc>
        <w:tc>
          <w:tcPr>
            <w:tcW w:w="0" w:type="auto"/>
            <w:tcBorders>
              <w:bottom w:val="single" w:sz="8" w:space="0" w:color="000000"/>
              <w:right w:val="single" w:sz="8" w:space="0" w:color="000000"/>
            </w:tcBorders>
            <w:vAlign w:val="center"/>
          </w:tcPr>
          <w:p w14:paraId="7F9A7F6C" w14:textId="77777777" w:rsidR="000C7DA3" w:rsidRDefault="00482F13">
            <w:pPr>
              <w:jc w:val="center"/>
            </w:pPr>
            <w:r>
              <w:rPr>
                <w:b/>
              </w:rPr>
              <w:t>15.2</w:t>
            </w:r>
          </w:p>
        </w:tc>
        <w:tc>
          <w:tcPr>
            <w:tcW w:w="0" w:type="auto"/>
            <w:tcBorders>
              <w:bottom w:val="single" w:sz="8" w:space="0" w:color="000000"/>
              <w:right w:val="single" w:sz="8" w:space="0" w:color="000000"/>
            </w:tcBorders>
            <w:vAlign w:val="center"/>
          </w:tcPr>
          <w:p w14:paraId="6517470C" w14:textId="77777777" w:rsidR="000C7DA3" w:rsidRDefault="00482F13">
            <w:pPr>
              <w:jc w:val="center"/>
            </w:pPr>
            <w:r>
              <w:rPr>
                <w:b/>
              </w:rPr>
              <w:t>15</w:t>
            </w:r>
          </w:p>
        </w:tc>
        <w:tc>
          <w:tcPr>
            <w:tcW w:w="0" w:type="auto"/>
            <w:tcBorders>
              <w:bottom w:val="single" w:sz="8" w:space="0" w:color="000000"/>
              <w:right w:val="single" w:sz="8" w:space="0" w:color="000000"/>
            </w:tcBorders>
            <w:vAlign w:val="center"/>
          </w:tcPr>
          <w:p w14:paraId="490D7817" w14:textId="77777777" w:rsidR="000C7DA3" w:rsidRDefault="00482F13">
            <w:pPr>
              <w:jc w:val="center"/>
            </w:pPr>
            <w:r>
              <w:rPr>
                <w:b/>
              </w:rPr>
              <w:t>13--17</w:t>
            </w:r>
          </w:p>
        </w:tc>
        <w:tc>
          <w:tcPr>
            <w:tcW w:w="0" w:type="auto"/>
            <w:tcBorders>
              <w:bottom w:val="single" w:sz="8" w:space="0" w:color="000000"/>
              <w:right w:val="single" w:sz="8" w:space="0" w:color="000000"/>
            </w:tcBorders>
            <w:vAlign w:val="center"/>
          </w:tcPr>
          <w:p w14:paraId="24C4F74E" w14:textId="77777777" w:rsidR="000C7DA3" w:rsidRDefault="00482F13">
            <w:pPr>
              <w:jc w:val="center"/>
            </w:pPr>
            <w:r>
              <w:rPr>
                <w:b/>
              </w:rPr>
              <w:t>3.4</w:t>
            </w:r>
          </w:p>
        </w:tc>
      </w:tr>
    </w:tbl>
    <w:p w14:paraId="24561C41" w14:textId="77777777" w:rsidR="000C7DA3" w:rsidRDefault="000C7DA3"/>
    <w:p w14:paraId="1686A449" w14:textId="450CF6E3" w:rsidR="000C7DA3" w:rsidRDefault="00482F13">
      <w:r>
        <w:t>Table 1: Career Length Distribution by Retirement Status</w:t>
      </w:r>
    </w:p>
    <w:p w14:paraId="4659409D" w14:textId="77777777" w:rsidR="000C7DA3" w:rsidRDefault="00482F13">
      <w:pPr>
        <w:spacing w:before="240" w:line="271" w:lineRule="auto"/>
      </w:pPr>
      <w:bookmarkStart w:id="6" w:name="bm_1_3_position_specific_career_l_b6933a"/>
      <w:r>
        <w:rPr>
          <w:b/>
          <w:sz w:val="33"/>
        </w:rPr>
        <w:t>1.3 Position-Specific Career Longevity Patterns</w:t>
      </w:r>
      <w:bookmarkEnd w:id="6"/>
    </w:p>
    <w:p w14:paraId="6910946F" w14:textId="77777777" w:rsidR="000C7DA3" w:rsidRDefault="00482F13">
      <w:pPr>
        <w:spacing w:after="210"/>
      </w:pPr>
      <w:r>
        <w:t>Position-stratified analysis reveals substantial variation in career duration:</w:t>
      </w:r>
    </w:p>
    <w:tbl>
      <w:tblPr>
        <w:tblStyle w:val="NormalGrid"/>
        <w:tblW w:w="0" w:type="auto"/>
        <w:jc w:val="center"/>
        <w:tblCellSpacing w:w="0" w:type="dxa"/>
        <w:tblLook w:val="04A0" w:firstRow="1" w:lastRow="0" w:firstColumn="1" w:lastColumn="0" w:noHBand="0" w:noVBand="1"/>
      </w:tblPr>
      <w:tblGrid>
        <w:gridCol w:w="1415"/>
        <w:gridCol w:w="916"/>
        <w:gridCol w:w="2309"/>
        <w:gridCol w:w="1159"/>
        <w:gridCol w:w="672"/>
        <w:gridCol w:w="1434"/>
      </w:tblGrid>
      <w:tr w:rsidR="000C7DA3" w14:paraId="7297C98D"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C1B5884" w14:textId="77777777" w:rsidR="000C7DA3" w:rsidRDefault="00482F13">
            <w:r>
              <w:rPr>
                <w:b/>
              </w:rPr>
              <w:t>Position</w:t>
            </w:r>
          </w:p>
        </w:tc>
        <w:tc>
          <w:tcPr>
            <w:tcW w:w="0" w:type="auto"/>
            <w:tcBorders>
              <w:top w:val="single" w:sz="8" w:space="0" w:color="000000"/>
              <w:bottom w:val="single" w:sz="8" w:space="0" w:color="000000"/>
              <w:right w:val="single" w:sz="8" w:space="0" w:color="000000"/>
            </w:tcBorders>
            <w:vAlign w:val="center"/>
          </w:tcPr>
          <w:p w14:paraId="001F92E7" w14:textId="77777777" w:rsidR="000C7DA3" w:rsidRDefault="00482F13">
            <w:pPr>
              <w:jc w:val="center"/>
            </w:pPr>
            <w:r>
              <w:rPr>
                <w:b/>
              </w:rPr>
              <w:t>n</w:t>
            </w:r>
          </w:p>
        </w:tc>
        <w:tc>
          <w:tcPr>
            <w:tcW w:w="0" w:type="auto"/>
            <w:tcBorders>
              <w:top w:val="single" w:sz="8" w:space="0" w:color="000000"/>
              <w:bottom w:val="single" w:sz="8" w:space="0" w:color="000000"/>
              <w:right w:val="single" w:sz="8" w:space="0" w:color="000000"/>
            </w:tcBorders>
            <w:vAlign w:val="center"/>
          </w:tcPr>
          <w:p w14:paraId="56535E51" w14:textId="77777777" w:rsidR="000C7DA3" w:rsidRDefault="00482F13">
            <w:pPr>
              <w:jc w:val="center"/>
            </w:pPr>
            <w:r>
              <w:rPr>
                <w:b/>
              </w:rPr>
              <w:t>Mean Career (yrs)</w:t>
            </w:r>
          </w:p>
        </w:tc>
        <w:tc>
          <w:tcPr>
            <w:tcW w:w="0" w:type="auto"/>
            <w:tcBorders>
              <w:top w:val="single" w:sz="8" w:space="0" w:color="000000"/>
              <w:bottom w:val="single" w:sz="8" w:space="0" w:color="000000"/>
              <w:right w:val="single" w:sz="8" w:space="0" w:color="000000"/>
            </w:tcBorders>
            <w:vAlign w:val="center"/>
          </w:tcPr>
          <w:p w14:paraId="57561E52" w14:textId="77777777" w:rsidR="000C7DA3" w:rsidRDefault="00482F13">
            <w:pPr>
              <w:jc w:val="center"/>
            </w:pPr>
            <w:r>
              <w:rPr>
                <w:b/>
              </w:rPr>
              <w:t>Median</w:t>
            </w:r>
          </w:p>
        </w:tc>
        <w:tc>
          <w:tcPr>
            <w:tcW w:w="0" w:type="auto"/>
            <w:tcBorders>
              <w:top w:val="single" w:sz="8" w:space="0" w:color="000000"/>
              <w:bottom w:val="single" w:sz="8" w:space="0" w:color="000000"/>
              <w:right w:val="single" w:sz="8" w:space="0" w:color="000000"/>
            </w:tcBorders>
            <w:vAlign w:val="center"/>
          </w:tcPr>
          <w:p w14:paraId="1DD6104D" w14:textId="77777777" w:rsidR="000C7DA3" w:rsidRDefault="00482F13">
            <w:pPr>
              <w:jc w:val="center"/>
            </w:pPr>
            <w:r>
              <w:rPr>
                <w:b/>
              </w:rPr>
              <w:t>SD</w:t>
            </w:r>
          </w:p>
        </w:tc>
        <w:tc>
          <w:tcPr>
            <w:tcW w:w="0" w:type="auto"/>
            <w:tcBorders>
              <w:top w:val="single" w:sz="8" w:space="0" w:color="000000"/>
              <w:bottom w:val="single" w:sz="8" w:space="0" w:color="000000"/>
              <w:right w:val="single" w:sz="8" w:space="0" w:color="000000"/>
            </w:tcBorders>
            <w:vAlign w:val="center"/>
          </w:tcPr>
          <w:p w14:paraId="383C0BA7" w14:textId="77777777" w:rsidR="000C7DA3" w:rsidRDefault="00482F13">
            <w:pPr>
              <w:jc w:val="center"/>
            </w:pPr>
            <w:r>
              <w:rPr>
                <w:b/>
              </w:rPr>
              <w:t>Active (%)</w:t>
            </w:r>
          </w:p>
        </w:tc>
      </w:tr>
      <w:tr w:rsidR="000C7DA3" w14:paraId="10D4108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41C15CA" w14:textId="77777777" w:rsidR="000C7DA3" w:rsidRDefault="00482F13">
            <w:r>
              <w:t>Goalkeeper</w:t>
            </w:r>
          </w:p>
        </w:tc>
        <w:tc>
          <w:tcPr>
            <w:tcW w:w="0" w:type="auto"/>
            <w:tcBorders>
              <w:bottom w:val="single" w:sz="8" w:space="0" w:color="000000"/>
              <w:right w:val="single" w:sz="8" w:space="0" w:color="000000"/>
            </w:tcBorders>
            <w:vAlign w:val="center"/>
          </w:tcPr>
          <w:p w14:paraId="047CD20F" w14:textId="7A3FFB97" w:rsidR="000C7DA3" w:rsidRDefault="007C462C">
            <w:pPr>
              <w:jc w:val="center"/>
            </w:pPr>
            <w:r>
              <w:t>233</w:t>
            </w:r>
          </w:p>
        </w:tc>
        <w:tc>
          <w:tcPr>
            <w:tcW w:w="0" w:type="auto"/>
            <w:tcBorders>
              <w:bottom w:val="single" w:sz="8" w:space="0" w:color="000000"/>
              <w:right w:val="single" w:sz="8" w:space="0" w:color="000000"/>
            </w:tcBorders>
            <w:vAlign w:val="center"/>
          </w:tcPr>
          <w:p w14:paraId="43933D99" w14:textId="1FE5A7FA" w:rsidR="000C7DA3" w:rsidRDefault="007C462C">
            <w:pPr>
              <w:jc w:val="center"/>
            </w:pPr>
            <w:r>
              <w:t>15.6</w:t>
            </w:r>
          </w:p>
        </w:tc>
        <w:tc>
          <w:tcPr>
            <w:tcW w:w="0" w:type="auto"/>
            <w:tcBorders>
              <w:bottom w:val="single" w:sz="8" w:space="0" w:color="000000"/>
              <w:right w:val="single" w:sz="8" w:space="0" w:color="000000"/>
            </w:tcBorders>
            <w:vAlign w:val="center"/>
          </w:tcPr>
          <w:p w14:paraId="02AF009C" w14:textId="700CACAC" w:rsidR="000C7DA3" w:rsidRDefault="007C462C">
            <w:pPr>
              <w:jc w:val="center"/>
            </w:pPr>
            <w:r>
              <w:t>16</w:t>
            </w:r>
          </w:p>
        </w:tc>
        <w:tc>
          <w:tcPr>
            <w:tcW w:w="0" w:type="auto"/>
            <w:tcBorders>
              <w:bottom w:val="single" w:sz="8" w:space="0" w:color="000000"/>
              <w:right w:val="single" w:sz="8" w:space="0" w:color="000000"/>
            </w:tcBorders>
            <w:vAlign w:val="center"/>
          </w:tcPr>
          <w:p w14:paraId="0EB714FA" w14:textId="5FA4CD4F" w:rsidR="000C7DA3" w:rsidRDefault="00482F13">
            <w:pPr>
              <w:jc w:val="center"/>
            </w:pPr>
            <w:r>
              <w:t>3.</w:t>
            </w:r>
            <w:r w:rsidR="007C462C">
              <w:t>2</w:t>
            </w:r>
          </w:p>
        </w:tc>
        <w:tc>
          <w:tcPr>
            <w:tcW w:w="0" w:type="auto"/>
            <w:tcBorders>
              <w:bottom w:val="single" w:sz="8" w:space="0" w:color="000000"/>
              <w:right w:val="single" w:sz="8" w:space="0" w:color="000000"/>
            </w:tcBorders>
            <w:vAlign w:val="center"/>
          </w:tcPr>
          <w:p w14:paraId="20AC660F" w14:textId="4D8CD5A3" w:rsidR="000C7DA3" w:rsidRDefault="007C462C">
            <w:pPr>
              <w:jc w:val="center"/>
            </w:pPr>
            <w:r>
              <w:t>36</w:t>
            </w:r>
            <w:r w:rsidR="00482F13">
              <w:t>%</w:t>
            </w:r>
          </w:p>
        </w:tc>
      </w:tr>
      <w:tr w:rsidR="000C7DA3" w14:paraId="0FD9E3D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28A3ADF" w14:textId="77777777" w:rsidR="000C7DA3" w:rsidRDefault="00482F13">
            <w:r>
              <w:t>Defender</w:t>
            </w:r>
          </w:p>
        </w:tc>
        <w:tc>
          <w:tcPr>
            <w:tcW w:w="0" w:type="auto"/>
            <w:tcBorders>
              <w:bottom w:val="single" w:sz="8" w:space="0" w:color="000000"/>
              <w:right w:val="single" w:sz="8" w:space="0" w:color="000000"/>
            </w:tcBorders>
            <w:vAlign w:val="center"/>
          </w:tcPr>
          <w:p w14:paraId="7C014936" w14:textId="7D2D9ECD" w:rsidR="000C7DA3" w:rsidRDefault="007C462C">
            <w:pPr>
              <w:jc w:val="center"/>
            </w:pPr>
            <w:r>
              <w:t>942</w:t>
            </w:r>
          </w:p>
        </w:tc>
        <w:tc>
          <w:tcPr>
            <w:tcW w:w="0" w:type="auto"/>
            <w:tcBorders>
              <w:bottom w:val="single" w:sz="8" w:space="0" w:color="000000"/>
              <w:right w:val="single" w:sz="8" w:space="0" w:color="000000"/>
            </w:tcBorders>
            <w:vAlign w:val="center"/>
          </w:tcPr>
          <w:p w14:paraId="58629267" w14:textId="34C8B41B" w:rsidR="000C7DA3" w:rsidRDefault="00482F13">
            <w:pPr>
              <w:jc w:val="center"/>
            </w:pPr>
            <w:r>
              <w:t>15.</w:t>
            </w:r>
            <w:r w:rsidR="007C462C">
              <w:t>0</w:t>
            </w:r>
          </w:p>
        </w:tc>
        <w:tc>
          <w:tcPr>
            <w:tcW w:w="0" w:type="auto"/>
            <w:tcBorders>
              <w:bottom w:val="single" w:sz="8" w:space="0" w:color="000000"/>
              <w:right w:val="single" w:sz="8" w:space="0" w:color="000000"/>
            </w:tcBorders>
            <w:vAlign w:val="center"/>
          </w:tcPr>
          <w:p w14:paraId="589767F0" w14:textId="77777777" w:rsidR="000C7DA3" w:rsidRDefault="00482F13">
            <w:pPr>
              <w:jc w:val="center"/>
            </w:pPr>
            <w:r>
              <w:t>15</w:t>
            </w:r>
          </w:p>
        </w:tc>
        <w:tc>
          <w:tcPr>
            <w:tcW w:w="0" w:type="auto"/>
            <w:tcBorders>
              <w:bottom w:val="single" w:sz="8" w:space="0" w:color="000000"/>
              <w:right w:val="single" w:sz="8" w:space="0" w:color="000000"/>
            </w:tcBorders>
            <w:vAlign w:val="center"/>
          </w:tcPr>
          <w:p w14:paraId="437B38F4" w14:textId="77777777" w:rsidR="000C7DA3" w:rsidRDefault="00482F13">
            <w:pPr>
              <w:jc w:val="center"/>
            </w:pPr>
            <w:r>
              <w:t>3.2</w:t>
            </w:r>
          </w:p>
        </w:tc>
        <w:tc>
          <w:tcPr>
            <w:tcW w:w="0" w:type="auto"/>
            <w:tcBorders>
              <w:bottom w:val="single" w:sz="8" w:space="0" w:color="000000"/>
              <w:right w:val="single" w:sz="8" w:space="0" w:color="000000"/>
            </w:tcBorders>
            <w:vAlign w:val="center"/>
          </w:tcPr>
          <w:p w14:paraId="6944CF84" w14:textId="1C9F48EE" w:rsidR="000C7DA3" w:rsidRDefault="00482F13">
            <w:pPr>
              <w:jc w:val="center"/>
            </w:pPr>
            <w:r>
              <w:t>3</w:t>
            </w:r>
            <w:r w:rsidR="00F7201C">
              <w:t>1</w:t>
            </w:r>
            <w:r>
              <w:t>%</w:t>
            </w:r>
          </w:p>
        </w:tc>
      </w:tr>
      <w:tr w:rsidR="000C7DA3" w14:paraId="374AEC7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507076D" w14:textId="77777777" w:rsidR="000C7DA3" w:rsidRDefault="00482F13">
            <w:r>
              <w:t>Midfielder</w:t>
            </w:r>
          </w:p>
        </w:tc>
        <w:tc>
          <w:tcPr>
            <w:tcW w:w="0" w:type="auto"/>
            <w:tcBorders>
              <w:bottom w:val="single" w:sz="8" w:space="0" w:color="000000"/>
              <w:right w:val="single" w:sz="8" w:space="0" w:color="000000"/>
            </w:tcBorders>
            <w:vAlign w:val="center"/>
          </w:tcPr>
          <w:p w14:paraId="69B4A348" w14:textId="083B3943" w:rsidR="000C7DA3" w:rsidRDefault="007C462C">
            <w:pPr>
              <w:jc w:val="center"/>
            </w:pPr>
            <w:r>
              <w:t>819</w:t>
            </w:r>
          </w:p>
        </w:tc>
        <w:tc>
          <w:tcPr>
            <w:tcW w:w="0" w:type="auto"/>
            <w:tcBorders>
              <w:bottom w:val="single" w:sz="8" w:space="0" w:color="000000"/>
              <w:right w:val="single" w:sz="8" w:space="0" w:color="000000"/>
            </w:tcBorders>
            <w:vAlign w:val="center"/>
          </w:tcPr>
          <w:p w14:paraId="51E8F452" w14:textId="72BCC339" w:rsidR="000C7DA3" w:rsidRDefault="00482F13">
            <w:pPr>
              <w:jc w:val="center"/>
            </w:pPr>
            <w:r>
              <w:t>15.</w:t>
            </w:r>
            <w:r w:rsidR="00F7201C">
              <w:t>3</w:t>
            </w:r>
          </w:p>
        </w:tc>
        <w:tc>
          <w:tcPr>
            <w:tcW w:w="0" w:type="auto"/>
            <w:tcBorders>
              <w:bottom w:val="single" w:sz="8" w:space="0" w:color="000000"/>
              <w:right w:val="single" w:sz="8" w:space="0" w:color="000000"/>
            </w:tcBorders>
            <w:vAlign w:val="center"/>
          </w:tcPr>
          <w:p w14:paraId="70F1CE98" w14:textId="77777777" w:rsidR="000C7DA3" w:rsidRDefault="00482F13">
            <w:pPr>
              <w:jc w:val="center"/>
            </w:pPr>
            <w:r>
              <w:t>15</w:t>
            </w:r>
          </w:p>
        </w:tc>
        <w:tc>
          <w:tcPr>
            <w:tcW w:w="0" w:type="auto"/>
            <w:tcBorders>
              <w:bottom w:val="single" w:sz="8" w:space="0" w:color="000000"/>
              <w:right w:val="single" w:sz="8" w:space="0" w:color="000000"/>
            </w:tcBorders>
            <w:vAlign w:val="center"/>
          </w:tcPr>
          <w:p w14:paraId="078F9123" w14:textId="3CAB44B0" w:rsidR="000C7DA3" w:rsidRDefault="00F7201C">
            <w:pPr>
              <w:jc w:val="center"/>
            </w:pPr>
            <w:r>
              <w:t>2.9</w:t>
            </w:r>
          </w:p>
        </w:tc>
        <w:tc>
          <w:tcPr>
            <w:tcW w:w="0" w:type="auto"/>
            <w:tcBorders>
              <w:bottom w:val="single" w:sz="8" w:space="0" w:color="000000"/>
              <w:right w:val="single" w:sz="8" w:space="0" w:color="000000"/>
            </w:tcBorders>
            <w:vAlign w:val="center"/>
          </w:tcPr>
          <w:p w14:paraId="29BF9F31" w14:textId="7466073C" w:rsidR="000C7DA3" w:rsidRDefault="00482F13">
            <w:pPr>
              <w:jc w:val="center"/>
            </w:pPr>
            <w:r>
              <w:t>3</w:t>
            </w:r>
            <w:r w:rsidR="00F7201C">
              <w:t>8</w:t>
            </w:r>
            <w:r>
              <w:t>%</w:t>
            </w:r>
          </w:p>
        </w:tc>
      </w:tr>
      <w:tr w:rsidR="000C7DA3" w14:paraId="24E83A3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05EB759" w14:textId="77777777" w:rsidR="000C7DA3" w:rsidRDefault="00482F13">
            <w:r>
              <w:t>Attack</w:t>
            </w:r>
          </w:p>
        </w:tc>
        <w:tc>
          <w:tcPr>
            <w:tcW w:w="0" w:type="auto"/>
            <w:tcBorders>
              <w:bottom w:val="single" w:sz="8" w:space="0" w:color="000000"/>
              <w:right w:val="single" w:sz="8" w:space="0" w:color="000000"/>
            </w:tcBorders>
            <w:vAlign w:val="center"/>
          </w:tcPr>
          <w:p w14:paraId="5CAC9F8E" w14:textId="6335E6F4" w:rsidR="000C7DA3" w:rsidRDefault="007C462C">
            <w:pPr>
              <w:jc w:val="center"/>
            </w:pPr>
            <w:r>
              <w:t>784</w:t>
            </w:r>
          </w:p>
        </w:tc>
        <w:tc>
          <w:tcPr>
            <w:tcW w:w="0" w:type="auto"/>
            <w:tcBorders>
              <w:bottom w:val="single" w:sz="8" w:space="0" w:color="000000"/>
              <w:right w:val="single" w:sz="8" w:space="0" w:color="000000"/>
            </w:tcBorders>
            <w:vAlign w:val="center"/>
          </w:tcPr>
          <w:p w14:paraId="6571FCB3" w14:textId="063F7347" w:rsidR="000C7DA3" w:rsidRDefault="00482F13">
            <w:pPr>
              <w:jc w:val="center"/>
            </w:pPr>
            <w:r>
              <w:t>1</w:t>
            </w:r>
            <w:r w:rsidR="00F7201C">
              <w:t>5.6</w:t>
            </w:r>
          </w:p>
        </w:tc>
        <w:tc>
          <w:tcPr>
            <w:tcW w:w="0" w:type="auto"/>
            <w:tcBorders>
              <w:bottom w:val="single" w:sz="8" w:space="0" w:color="000000"/>
              <w:right w:val="single" w:sz="8" w:space="0" w:color="000000"/>
            </w:tcBorders>
            <w:vAlign w:val="center"/>
          </w:tcPr>
          <w:p w14:paraId="60F8515E" w14:textId="2D7F50DE" w:rsidR="000C7DA3" w:rsidRDefault="00482F13">
            <w:pPr>
              <w:jc w:val="center"/>
            </w:pPr>
            <w:r>
              <w:t>1</w:t>
            </w:r>
            <w:r w:rsidR="00F7201C">
              <w:t>6</w:t>
            </w:r>
          </w:p>
        </w:tc>
        <w:tc>
          <w:tcPr>
            <w:tcW w:w="0" w:type="auto"/>
            <w:tcBorders>
              <w:bottom w:val="single" w:sz="8" w:space="0" w:color="000000"/>
              <w:right w:val="single" w:sz="8" w:space="0" w:color="000000"/>
            </w:tcBorders>
            <w:vAlign w:val="center"/>
          </w:tcPr>
          <w:p w14:paraId="31566408" w14:textId="18C97146" w:rsidR="000C7DA3" w:rsidRDefault="00482F13">
            <w:pPr>
              <w:jc w:val="center"/>
            </w:pPr>
            <w:r>
              <w:t>3.</w:t>
            </w:r>
            <w:r w:rsidR="00F7201C">
              <w:t>2</w:t>
            </w:r>
          </w:p>
        </w:tc>
        <w:tc>
          <w:tcPr>
            <w:tcW w:w="0" w:type="auto"/>
            <w:tcBorders>
              <w:bottom w:val="single" w:sz="8" w:space="0" w:color="000000"/>
              <w:right w:val="single" w:sz="8" w:space="0" w:color="000000"/>
            </w:tcBorders>
            <w:vAlign w:val="center"/>
          </w:tcPr>
          <w:p w14:paraId="5A485B6D" w14:textId="216E3CA5" w:rsidR="000C7DA3" w:rsidRDefault="00F7201C">
            <w:pPr>
              <w:jc w:val="center"/>
            </w:pPr>
            <w:r>
              <w:t>47</w:t>
            </w:r>
            <w:r w:rsidR="00482F13">
              <w:t>%</w:t>
            </w:r>
          </w:p>
        </w:tc>
      </w:tr>
      <w:tr w:rsidR="000C7DA3" w14:paraId="41079A5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C0F2799" w14:textId="77777777" w:rsidR="000C7DA3" w:rsidRDefault="00482F13">
            <w:r>
              <w:rPr>
                <w:b/>
              </w:rPr>
              <w:lastRenderedPageBreak/>
              <w:t>Total</w:t>
            </w:r>
          </w:p>
        </w:tc>
        <w:tc>
          <w:tcPr>
            <w:tcW w:w="0" w:type="auto"/>
            <w:tcBorders>
              <w:bottom w:val="single" w:sz="8" w:space="0" w:color="000000"/>
              <w:right w:val="single" w:sz="8" w:space="0" w:color="000000"/>
            </w:tcBorders>
            <w:vAlign w:val="center"/>
          </w:tcPr>
          <w:p w14:paraId="6C6F18EF" w14:textId="2F9D54A3" w:rsidR="000C7DA3" w:rsidRPr="00F7201C" w:rsidRDefault="007C462C">
            <w:pPr>
              <w:jc w:val="center"/>
              <w:rPr>
                <w:b/>
                <w:bCs/>
              </w:rPr>
            </w:pPr>
            <w:r w:rsidRPr="00F7201C">
              <w:rPr>
                <w:b/>
                <w:bCs/>
              </w:rPr>
              <w:t>2,778</w:t>
            </w:r>
          </w:p>
        </w:tc>
        <w:tc>
          <w:tcPr>
            <w:tcW w:w="0" w:type="auto"/>
            <w:tcBorders>
              <w:bottom w:val="single" w:sz="8" w:space="0" w:color="000000"/>
              <w:right w:val="single" w:sz="8" w:space="0" w:color="000000"/>
            </w:tcBorders>
            <w:vAlign w:val="center"/>
          </w:tcPr>
          <w:p w14:paraId="7D1C6881" w14:textId="784D968D" w:rsidR="000C7DA3" w:rsidRDefault="00482F13">
            <w:pPr>
              <w:jc w:val="center"/>
            </w:pPr>
            <w:r>
              <w:rPr>
                <w:b/>
              </w:rPr>
              <w:t>15.</w:t>
            </w:r>
            <w:r w:rsidR="00F7201C">
              <w:rPr>
                <w:b/>
              </w:rPr>
              <w:t>3</w:t>
            </w:r>
          </w:p>
        </w:tc>
        <w:tc>
          <w:tcPr>
            <w:tcW w:w="0" w:type="auto"/>
            <w:tcBorders>
              <w:bottom w:val="single" w:sz="8" w:space="0" w:color="000000"/>
              <w:right w:val="single" w:sz="8" w:space="0" w:color="000000"/>
            </w:tcBorders>
            <w:vAlign w:val="center"/>
          </w:tcPr>
          <w:p w14:paraId="45E21B6B" w14:textId="77777777" w:rsidR="000C7DA3" w:rsidRDefault="00482F13">
            <w:pPr>
              <w:jc w:val="center"/>
            </w:pPr>
            <w:r>
              <w:rPr>
                <w:b/>
              </w:rPr>
              <w:t>15</w:t>
            </w:r>
          </w:p>
        </w:tc>
        <w:tc>
          <w:tcPr>
            <w:tcW w:w="0" w:type="auto"/>
            <w:tcBorders>
              <w:bottom w:val="single" w:sz="8" w:space="0" w:color="000000"/>
              <w:right w:val="single" w:sz="8" w:space="0" w:color="000000"/>
            </w:tcBorders>
            <w:vAlign w:val="center"/>
          </w:tcPr>
          <w:p w14:paraId="0E42A9C5" w14:textId="607B28A7" w:rsidR="000C7DA3" w:rsidRDefault="00482F13">
            <w:pPr>
              <w:jc w:val="center"/>
            </w:pPr>
            <w:r>
              <w:rPr>
                <w:b/>
              </w:rPr>
              <w:t>3.</w:t>
            </w:r>
            <w:r w:rsidR="00F7201C">
              <w:rPr>
                <w:b/>
              </w:rPr>
              <w:t>2</w:t>
            </w:r>
          </w:p>
        </w:tc>
        <w:tc>
          <w:tcPr>
            <w:tcW w:w="0" w:type="auto"/>
            <w:tcBorders>
              <w:bottom w:val="single" w:sz="8" w:space="0" w:color="000000"/>
              <w:right w:val="single" w:sz="8" w:space="0" w:color="000000"/>
            </w:tcBorders>
            <w:vAlign w:val="center"/>
          </w:tcPr>
          <w:p w14:paraId="2E77B280" w14:textId="77777777" w:rsidR="000C7DA3" w:rsidRDefault="00482F13">
            <w:pPr>
              <w:jc w:val="center"/>
            </w:pPr>
            <w:r>
              <w:rPr>
                <w:b/>
              </w:rPr>
              <w:t>39%</w:t>
            </w:r>
          </w:p>
        </w:tc>
      </w:tr>
    </w:tbl>
    <w:p w14:paraId="5BB9AEA9" w14:textId="77777777" w:rsidR="000C7DA3" w:rsidRDefault="000C7DA3"/>
    <w:p w14:paraId="7D6E712B" w14:textId="6C1036A3" w:rsidR="000C7DA3" w:rsidRDefault="00482F13">
      <w:r>
        <w:t>Table 2: Career Length Distribution by Playing Position</w:t>
      </w:r>
    </w:p>
    <w:p w14:paraId="10F86E6B" w14:textId="77777777" w:rsidR="000C7DA3" w:rsidRDefault="00482F13">
      <w:pPr>
        <w:spacing w:after="210"/>
      </w:pPr>
      <w:r>
        <w:rPr>
          <w:b/>
        </w:rPr>
        <w:t>Key observations</w:t>
      </w:r>
      <w:r>
        <w:rPr>
          <w:rFonts w:eastAsia="Georgia" w:hAnsi="Georgia" w:cs="Georgia"/>
        </w:rPr>
        <w:t>: Goalkeepers average 17.2 years, substantially exceeding defenders (15.4 years), midfielders (15.1 years), and attackers (14.8 years). The 2.4-year goalkeeper advantage represents a 16% extension relative to attackers, comparable to Premier League findings. Midfielder and attacker career lengths are closely aligned (~15 years), reflecting comparable physical demands and skill-depreciation trajectories.</w:t>
      </w:r>
    </w:p>
    <w:p w14:paraId="25B0B2A6" w14:textId="77777777" w:rsidR="000C7DA3" w:rsidRDefault="00482F13">
      <w:pPr>
        <w:spacing w:before="240" w:line="271" w:lineRule="auto"/>
      </w:pPr>
      <w:bookmarkStart w:id="7" w:name="bm_1_4_debut_age_stratification"/>
      <w:r>
        <w:rPr>
          <w:b/>
          <w:sz w:val="33"/>
        </w:rPr>
        <w:t>1.4 Debut Age Stratification</w:t>
      </w:r>
      <w:bookmarkEnd w:id="7"/>
    </w:p>
    <w:p w14:paraId="06C2517E" w14:textId="77777777" w:rsidR="000C7DA3" w:rsidRDefault="00482F13">
      <w:pPr>
        <w:spacing w:after="210"/>
      </w:pPr>
      <w:r>
        <w:t>Early professional debut predicts extended career windows:</w:t>
      </w:r>
    </w:p>
    <w:tbl>
      <w:tblPr>
        <w:tblStyle w:val="NormalGrid"/>
        <w:tblW w:w="0" w:type="auto"/>
        <w:jc w:val="center"/>
        <w:tblCellSpacing w:w="0" w:type="dxa"/>
        <w:tblLook w:val="04A0" w:firstRow="1" w:lastRow="0" w:firstColumn="1" w:lastColumn="0" w:noHBand="0" w:noVBand="1"/>
      </w:tblPr>
      <w:tblGrid>
        <w:gridCol w:w="2092"/>
        <w:gridCol w:w="877"/>
        <w:gridCol w:w="2309"/>
        <w:gridCol w:w="1159"/>
        <w:gridCol w:w="677"/>
        <w:gridCol w:w="1434"/>
      </w:tblGrid>
      <w:tr w:rsidR="000C7DA3" w14:paraId="620D7D88"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7BCF150" w14:textId="77777777" w:rsidR="000C7DA3" w:rsidRDefault="00482F13">
            <w:r>
              <w:rPr>
                <w:b/>
              </w:rPr>
              <w:t>Debut Age Band</w:t>
            </w:r>
          </w:p>
        </w:tc>
        <w:tc>
          <w:tcPr>
            <w:tcW w:w="0" w:type="auto"/>
            <w:tcBorders>
              <w:top w:val="single" w:sz="8" w:space="0" w:color="000000"/>
              <w:bottom w:val="single" w:sz="8" w:space="0" w:color="000000"/>
              <w:right w:val="single" w:sz="8" w:space="0" w:color="000000"/>
            </w:tcBorders>
            <w:vAlign w:val="center"/>
          </w:tcPr>
          <w:p w14:paraId="56828026" w14:textId="77777777" w:rsidR="000C7DA3" w:rsidRDefault="00482F13">
            <w:pPr>
              <w:jc w:val="center"/>
            </w:pPr>
            <w:r>
              <w:rPr>
                <w:b/>
              </w:rPr>
              <w:t>n</w:t>
            </w:r>
          </w:p>
        </w:tc>
        <w:tc>
          <w:tcPr>
            <w:tcW w:w="0" w:type="auto"/>
            <w:tcBorders>
              <w:top w:val="single" w:sz="8" w:space="0" w:color="000000"/>
              <w:bottom w:val="single" w:sz="8" w:space="0" w:color="000000"/>
              <w:right w:val="single" w:sz="8" w:space="0" w:color="000000"/>
            </w:tcBorders>
            <w:vAlign w:val="center"/>
          </w:tcPr>
          <w:p w14:paraId="677B15D5" w14:textId="77777777" w:rsidR="000C7DA3" w:rsidRDefault="00482F13">
            <w:pPr>
              <w:jc w:val="center"/>
            </w:pPr>
            <w:r>
              <w:rPr>
                <w:b/>
              </w:rPr>
              <w:t>Mean Career (yrs)</w:t>
            </w:r>
          </w:p>
        </w:tc>
        <w:tc>
          <w:tcPr>
            <w:tcW w:w="0" w:type="auto"/>
            <w:tcBorders>
              <w:top w:val="single" w:sz="8" w:space="0" w:color="000000"/>
              <w:bottom w:val="single" w:sz="8" w:space="0" w:color="000000"/>
              <w:right w:val="single" w:sz="8" w:space="0" w:color="000000"/>
            </w:tcBorders>
            <w:vAlign w:val="center"/>
          </w:tcPr>
          <w:p w14:paraId="78017906" w14:textId="77777777" w:rsidR="000C7DA3" w:rsidRDefault="00482F13">
            <w:pPr>
              <w:jc w:val="center"/>
            </w:pPr>
            <w:r>
              <w:rPr>
                <w:b/>
              </w:rPr>
              <w:t>Median</w:t>
            </w:r>
          </w:p>
        </w:tc>
        <w:tc>
          <w:tcPr>
            <w:tcW w:w="0" w:type="auto"/>
            <w:tcBorders>
              <w:top w:val="single" w:sz="8" w:space="0" w:color="000000"/>
              <w:bottom w:val="single" w:sz="8" w:space="0" w:color="000000"/>
              <w:right w:val="single" w:sz="8" w:space="0" w:color="000000"/>
            </w:tcBorders>
            <w:vAlign w:val="center"/>
          </w:tcPr>
          <w:p w14:paraId="6B8CC38D" w14:textId="77777777" w:rsidR="000C7DA3" w:rsidRDefault="00482F13">
            <w:pPr>
              <w:jc w:val="center"/>
            </w:pPr>
            <w:r>
              <w:rPr>
                <w:b/>
              </w:rPr>
              <w:t>SD</w:t>
            </w:r>
          </w:p>
        </w:tc>
        <w:tc>
          <w:tcPr>
            <w:tcW w:w="0" w:type="auto"/>
            <w:tcBorders>
              <w:top w:val="single" w:sz="8" w:space="0" w:color="000000"/>
              <w:bottom w:val="single" w:sz="8" w:space="0" w:color="000000"/>
              <w:right w:val="single" w:sz="8" w:space="0" w:color="000000"/>
            </w:tcBorders>
            <w:vAlign w:val="center"/>
          </w:tcPr>
          <w:p w14:paraId="1236F97A" w14:textId="77777777" w:rsidR="000C7DA3" w:rsidRDefault="00482F13">
            <w:pPr>
              <w:jc w:val="center"/>
            </w:pPr>
            <w:r>
              <w:rPr>
                <w:b/>
              </w:rPr>
              <w:t>Active (%)</w:t>
            </w:r>
          </w:p>
        </w:tc>
      </w:tr>
      <w:tr w:rsidR="000C7DA3" w14:paraId="6388A0F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A95BDCC" w14:textId="77777777" w:rsidR="000C7DA3" w:rsidRDefault="00482F13">
            <w:r>
              <w:t>15--18 years</w:t>
            </w:r>
          </w:p>
        </w:tc>
        <w:tc>
          <w:tcPr>
            <w:tcW w:w="0" w:type="auto"/>
            <w:tcBorders>
              <w:bottom w:val="single" w:sz="8" w:space="0" w:color="000000"/>
              <w:right w:val="single" w:sz="8" w:space="0" w:color="000000"/>
            </w:tcBorders>
            <w:vAlign w:val="center"/>
          </w:tcPr>
          <w:p w14:paraId="1D9F0A76" w14:textId="77777777" w:rsidR="000C7DA3" w:rsidRDefault="00482F13">
            <w:pPr>
              <w:jc w:val="center"/>
            </w:pPr>
            <w:r>
              <w:t>321</w:t>
            </w:r>
          </w:p>
        </w:tc>
        <w:tc>
          <w:tcPr>
            <w:tcW w:w="0" w:type="auto"/>
            <w:tcBorders>
              <w:bottom w:val="single" w:sz="8" w:space="0" w:color="000000"/>
              <w:right w:val="single" w:sz="8" w:space="0" w:color="000000"/>
            </w:tcBorders>
            <w:vAlign w:val="center"/>
          </w:tcPr>
          <w:p w14:paraId="7961120D" w14:textId="77777777" w:rsidR="000C7DA3" w:rsidRDefault="00482F13">
            <w:pPr>
              <w:jc w:val="center"/>
            </w:pPr>
            <w:r>
              <w:t>16.8</w:t>
            </w:r>
          </w:p>
        </w:tc>
        <w:tc>
          <w:tcPr>
            <w:tcW w:w="0" w:type="auto"/>
            <w:tcBorders>
              <w:bottom w:val="single" w:sz="8" w:space="0" w:color="000000"/>
              <w:right w:val="single" w:sz="8" w:space="0" w:color="000000"/>
            </w:tcBorders>
            <w:vAlign w:val="center"/>
          </w:tcPr>
          <w:p w14:paraId="1BFE7DFA" w14:textId="77777777" w:rsidR="000C7DA3" w:rsidRDefault="00482F13">
            <w:pPr>
              <w:jc w:val="center"/>
            </w:pPr>
            <w:r>
              <w:t>17</w:t>
            </w:r>
          </w:p>
        </w:tc>
        <w:tc>
          <w:tcPr>
            <w:tcW w:w="0" w:type="auto"/>
            <w:tcBorders>
              <w:bottom w:val="single" w:sz="8" w:space="0" w:color="000000"/>
              <w:right w:val="single" w:sz="8" w:space="0" w:color="000000"/>
            </w:tcBorders>
            <w:vAlign w:val="center"/>
          </w:tcPr>
          <w:p w14:paraId="0D33A00A" w14:textId="77777777" w:rsidR="000C7DA3" w:rsidRDefault="00482F13">
            <w:pPr>
              <w:jc w:val="center"/>
            </w:pPr>
            <w:r>
              <w:t>3.0</w:t>
            </w:r>
          </w:p>
        </w:tc>
        <w:tc>
          <w:tcPr>
            <w:tcW w:w="0" w:type="auto"/>
            <w:tcBorders>
              <w:bottom w:val="single" w:sz="8" w:space="0" w:color="000000"/>
              <w:right w:val="single" w:sz="8" w:space="0" w:color="000000"/>
            </w:tcBorders>
            <w:vAlign w:val="center"/>
          </w:tcPr>
          <w:p w14:paraId="108F464D" w14:textId="77777777" w:rsidR="000C7DA3" w:rsidRDefault="00482F13">
            <w:pPr>
              <w:jc w:val="center"/>
            </w:pPr>
            <w:r>
              <w:t>44%</w:t>
            </w:r>
          </w:p>
        </w:tc>
      </w:tr>
      <w:tr w:rsidR="000C7DA3" w14:paraId="3742937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B93BE8F" w14:textId="77777777" w:rsidR="000C7DA3" w:rsidRDefault="00482F13">
            <w:r>
              <w:t>18--21 years</w:t>
            </w:r>
          </w:p>
        </w:tc>
        <w:tc>
          <w:tcPr>
            <w:tcW w:w="0" w:type="auto"/>
            <w:tcBorders>
              <w:bottom w:val="single" w:sz="8" w:space="0" w:color="000000"/>
              <w:right w:val="single" w:sz="8" w:space="0" w:color="000000"/>
            </w:tcBorders>
            <w:vAlign w:val="center"/>
          </w:tcPr>
          <w:p w14:paraId="3E022879" w14:textId="77777777" w:rsidR="000C7DA3" w:rsidRDefault="00482F13">
            <w:pPr>
              <w:jc w:val="center"/>
            </w:pPr>
            <w:r>
              <w:t>1,569</w:t>
            </w:r>
          </w:p>
        </w:tc>
        <w:tc>
          <w:tcPr>
            <w:tcW w:w="0" w:type="auto"/>
            <w:tcBorders>
              <w:bottom w:val="single" w:sz="8" w:space="0" w:color="000000"/>
              <w:right w:val="single" w:sz="8" w:space="0" w:color="000000"/>
            </w:tcBorders>
            <w:vAlign w:val="center"/>
          </w:tcPr>
          <w:p w14:paraId="73D79075" w14:textId="77777777" w:rsidR="000C7DA3" w:rsidRDefault="00482F13">
            <w:pPr>
              <w:jc w:val="center"/>
            </w:pPr>
            <w:r>
              <w:t>15.5</w:t>
            </w:r>
          </w:p>
        </w:tc>
        <w:tc>
          <w:tcPr>
            <w:tcW w:w="0" w:type="auto"/>
            <w:tcBorders>
              <w:bottom w:val="single" w:sz="8" w:space="0" w:color="000000"/>
              <w:right w:val="single" w:sz="8" w:space="0" w:color="000000"/>
            </w:tcBorders>
            <w:vAlign w:val="center"/>
          </w:tcPr>
          <w:p w14:paraId="2FCDC4ED" w14:textId="77777777" w:rsidR="000C7DA3" w:rsidRDefault="00482F13">
            <w:pPr>
              <w:jc w:val="center"/>
            </w:pPr>
            <w:r>
              <w:t>15</w:t>
            </w:r>
          </w:p>
        </w:tc>
        <w:tc>
          <w:tcPr>
            <w:tcW w:w="0" w:type="auto"/>
            <w:tcBorders>
              <w:bottom w:val="single" w:sz="8" w:space="0" w:color="000000"/>
              <w:right w:val="single" w:sz="8" w:space="0" w:color="000000"/>
            </w:tcBorders>
            <w:vAlign w:val="center"/>
          </w:tcPr>
          <w:p w14:paraId="04088BA6" w14:textId="77777777" w:rsidR="000C7DA3" w:rsidRDefault="00482F13">
            <w:pPr>
              <w:jc w:val="center"/>
            </w:pPr>
            <w:r>
              <w:t>3.2</w:t>
            </w:r>
          </w:p>
        </w:tc>
        <w:tc>
          <w:tcPr>
            <w:tcW w:w="0" w:type="auto"/>
            <w:tcBorders>
              <w:bottom w:val="single" w:sz="8" w:space="0" w:color="000000"/>
              <w:right w:val="single" w:sz="8" w:space="0" w:color="000000"/>
            </w:tcBorders>
            <w:vAlign w:val="center"/>
          </w:tcPr>
          <w:p w14:paraId="56E200B9" w14:textId="77777777" w:rsidR="000C7DA3" w:rsidRDefault="00482F13">
            <w:pPr>
              <w:jc w:val="center"/>
            </w:pPr>
            <w:r>
              <w:t>40%</w:t>
            </w:r>
          </w:p>
        </w:tc>
      </w:tr>
      <w:tr w:rsidR="000C7DA3" w14:paraId="2224FEE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0214442" w14:textId="77777777" w:rsidR="000C7DA3" w:rsidRDefault="00482F13">
            <w:r>
              <w:t>21--24 years</w:t>
            </w:r>
          </w:p>
        </w:tc>
        <w:tc>
          <w:tcPr>
            <w:tcW w:w="0" w:type="auto"/>
            <w:tcBorders>
              <w:bottom w:val="single" w:sz="8" w:space="0" w:color="000000"/>
              <w:right w:val="single" w:sz="8" w:space="0" w:color="000000"/>
            </w:tcBorders>
            <w:vAlign w:val="center"/>
          </w:tcPr>
          <w:p w14:paraId="674458A3" w14:textId="77777777" w:rsidR="000C7DA3" w:rsidRDefault="00482F13">
            <w:pPr>
              <w:jc w:val="center"/>
            </w:pPr>
            <w:r>
              <w:t>730</w:t>
            </w:r>
          </w:p>
        </w:tc>
        <w:tc>
          <w:tcPr>
            <w:tcW w:w="0" w:type="auto"/>
            <w:tcBorders>
              <w:bottom w:val="single" w:sz="8" w:space="0" w:color="000000"/>
              <w:right w:val="single" w:sz="8" w:space="0" w:color="000000"/>
            </w:tcBorders>
            <w:vAlign w:val="center"/>
          </w:tcPr>
          <w:p w14:paraId="44095C0D" w14:textId="77777777" w:rsidR="000C7DA3" w:rsidRDefault="00482F13">
            <w:pPr>
              <w:jc w:val="center"/>
            </w:pPr>
            <w:r>
              <w:t>14.6</w:t>
            </w:r>
          </w:p>
        </w:tc>
        <w:tc>
          <w:tcPr>
            <w:tcW w:w="0" w:type="auto"/>
            <w:tcBorders>
              <w:bottom w:val="single" w:sz="8" w:space="0" w:color="000000"/>
              <w:right w:val="single" w:sz="8" w:space="0" w:color="000000"/>
            </w:tcBorders>
            <w:vAlign w:val="center"/>
          </w:tcPr>
          <w:p w14:paraId="361D3BB6" w14:textId="77777777" w:rsidR="000C7DA3" w:rsidRDefault="00482F13">
            <w:pPr>
              <w:jc w:val="center"/>
            </w:pPr>
            <w:r>
              <w:t>14</w:t>
            </w:r>
          </w:p>
        </w:tc>
        <w:tc>
          <w:tcPr>
            <w:tcW w:w="0" w:type="auto"/>
            <w:tcBorders>
              <w:bottom w:val="single" w:sz="8" w:space="0" w:color="000000"/>
              <w:right w:val="single" w:sz="8" w:space="0" w:color="000000"/>
            </w:tcBorders>
            <w:vAlign w:val="center"/>
          </w:tcPr>
          <w:p w14:paraId="1A88788E" w14:textId="77777777" w:rsidR="000C7DA3" w:rsidRDefault="00482F13">
            <w:pPr>
              <w:jc w:val="center"/>
            </w:pPr>
            <w:r>
              <w:t>3.3</w:t>
            </w:r>
          </w:p>
        </w:tc>
        <w:tc>
          <w:tcPr>
            <w:tcW w:w="0" w:type="auto"/>
            <w:tcBorders>
              <w:bottom w:val="single" w:sz="8" w:space="0" w:color="000000"/>
              <w:right w:val="single" w:sz="8" w:space="0" w:color="000000"/>
            </w:tcBorders>
            <w:vAlign w:val="center"/>
          </w:tcPr>
          <w:p w14:paraId="0085A559" w14:textId="77777777" w:rsidR="000C7DA3" w:rsidRDefault="00482F13">
            <w:pPr>
              <w:jc w:val="center"/>
            </w:pPr>
            <w:r>
              <w:t>36%</w:t>
            </w:r>
          </w:p>
        </w:tc>
      </w:tr>
      <w:tr w:rsidR="000C7DA3" w14:paraId="6023E53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054C1C3" w14:textId="77777777" w:rsidR="000C7DA3" w:rsidRDefault="00482F13">
            <w:r>
              <w:t>24--30 years</w:t>
            </w:r>
          </w:p>
        </w:tc>
        <w:tc>
          <w:tcPr>
            <w:tcW w:w="0" w:type="auto"/>
            <w:tcBorders>
              <w:bottom w:val="single" w:sz="8" w:space="0" w:color="000000"/>
              <w:right w:val="single" w:sz="8" w:space="0" w:color="000000"/>
            </w:tcBorders>
            <w:vAlign w:val="center"/>
          </w:tcPr>
          <w:p w14:paraId="4E9A17E3" w14:textId="77777777" w:rsidR="000C7DA3" w:rsidRDefault="00482F13">
            <w:pPr>
              <w:jc w:val="center"/>
            </w:pPr>
            <w:r>
              <w:t>151</w:t>
            </w:r>
          </w:p>
        </w:tc>
        <w:tc>
          <w:tcPr>
            <w:tcW w:w="0" w:type="auto"/>
            <w:tcBorders>
              <w:bottom w:val="single" w:sz="8" w:space="0" w:color="000000"/>
              <w:right w:val="single" w:sz="8" w:space="0" w:color="000000"/>
            </w:tcBorders>
            <w:vAlign w:val="center"/>
          </w:tcPr>
          <w:p w14:paraId="089350F3" w14:textId="77777777" w:rsidR="000C7DA3" w:rsidRDefault="00482F13">
            <w:pPr>
              <w:jc w:val="center"/>
            </w:pPr>
            <w:r>
              <w:t>12.8</w:t>
            </w:r>
          </w:p>
        </w:tc>
        <w:tc>
          <w:tcPr>
            <w:tcW w:w="0" w:type="auto"/>
            <w:tcBorders>
              <w:bottom w:val="single" w:sz="8" w:space="0" w:color="000000"/>
              <w:right w:val="single" w:sz="8" w:space="0" w:color="000000"/>
            </w:tcBorders>
            <w:vAlign w:val="center"/>
          </w:tcPr>
          <w:p w14:paraId="16952C8F" w14:textId="77777777" w:rsidR="000C7DA3" w:rsidRDefault="00482F13">
            <w:pPr>
              <w:jc w:val="center"/>
            </w:pPr>
            <w:r>
              <w:t>12</w:t>
            </w:r>
          </w:p>
        </w:tc>
        <w:tc>
          <w:tcPr>
            <w:tcW w:w="0" w:type="auto"/>
            <w:tcBorders>
              <w:bottom w:val="single" w:sz="8" w:space="0" w:color="000000"/>
              <w:right w:val="single" w:sz="8" w:space="0" w:color="000000"/>
            </w:tcBorders>
            <w:vAlign w:val="center"/>
          </w:tcPr>
          <w:p w14:paraId="73DB18DA" w14:textId="77777777" w:rsidR="000C7DA3" w:rsidRDefault="00482F13">
            <w:pPr>
              <w:jc w:val="center"/>
            </w:pPr>
            <w:r>
              <w:t>2.8</w:t>
            </w:r>
          </w:p>
        </w:tc>
        <w:tc>
          <w:tcPr>
            <w:tcW w:w="0" w:type="auto"/>
            <w:tcBorders>
              <w:bottom w:val="single" w:sz="8" w:space="0" w:color="000000"/>
              <w:right w:val="single" w:sz="8" w:space="0" w:color="000000"/>
            </w:tcBorders>
            <w:vAlign w:val="center"/>
          </w:tcPr>
          <w:p w14:paraId="37555829" w14:textId="77777777" w:rsidR="000C7DA3" w:rsidRDefault="00482F13">
            <w:pPr>
              <w:jc w:val="center"/>
            </w:pPr>
            <w:r>
              <w:t>28%</w:t>
            </w:r>
          </w:p>
        </w:tc>
      </w:tr>
      <w:tr w:rsidR="000C7DA3" w14:paraId="21F9C8B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C1CBA3B" w14:textId="77777777" w:rsidR="000C7DA3" w:rsidRDefault="00482F13">
            <w:r>
              <w:rPr>
                <w:b/>
              </w:rPr>
              <w:t>Total</w:t>
            </w:r>
          </w:p>
        </w:tc>
        <w:tc>
          <w:tcPr>
            <w:tcW w:w="0" w:type="auto"/>
            <w:tcBorders>
              <w:bottom w:val="single" w:sz="8" w:space="0" w:color="000000"/>
              <w:right w:val="single" w:sz="8" w:space="0" w:color="000000"/>
            </w:tcBorders>
            <w:vAlign w:val="center"/>
          </w:tcPr>
          <w:p w14:paraId="55214811" w14:textId="77777777" w:rsidR="000C7DA3" w:rsidRDefault="00482F13">
            <w:pPr>
              <w:jc w:val="center"/>
            </w:pPr>
            <w:r>
              <w:rPr>
                <w:b/>
              </w:rPr>
              <w:t>2,771</w:t>
            </w:r>
          </w:p>
        </w:tc>
        <w:tc>
          <w:tcPr>
            <w:tcW w:w="0" w:type="auto"/>
            <w:tcBorders>
              <w:bottom w:val="single" w:sz="8" w:space="0" w:color="000000"/>
              <w:right w:val="single" w:sz="8" w:space="0" w:color="000000"/>
            </w:tcBorders>
            <w:vAlign w:val="center"/>
          </w:tcPr>
          <w:p w14:paraId="78D69DD2" w14:textId="77777777" w:rsidR="000C7DA3" w:rsidRDefault="00482F13">
            <w:pPr>
              <w:jc w:val="center"/>
            </w:pPr>
            <w:r>
              <w:rPr>
                <w:b/>
              </w:rPr>
              <w:t>15.2</w:t>
            </w:r>
          </w:p>
        </w:tc>
        <w:tc>
          <w:tcPr>
            <w:tcW w:w="0" w:type="auto"/>
            <w:tcBorders>
              <w:bottom w:val="single" w:sz="8" w:space="0" w:color="000000"/>
              <w:right w:val="single" w:sz="8" w:space="0" w:color="000000"/>
            </w:tcBorders>
            <w:vAlign w:val="center"/>
          </w:tcPr>
          <w:p w14:paraId="5C7185D6" w14:textId="77777777" w:rsidR="000C7DA3" w:rsidRDefault="00482F13">
            <w:pPr>
              <w:jc w:val="center"/>
            </w:pPr>
            <w:r>
              <w:rPr>
                <w:b/>
              </w:rPr>
              <w:t>15</w:t>
            </w:r>
          </w:p>
        </w:tc>
        <w:tc>
          <w:tcPr>
            <w:tcW w:w="0" w:type="auto"/>
            <w:tcBorders>
              <w:bottom w:val="single" w:sz="8" w:space="0" w:color="000000"/>
              <w:right w:val="single" w:sz="8" w:space="0" w:color="000000"/>
            </w:tcBorders>
            <w:vAlign w:val="center"/>
          </w:tcPr>
          <w:p w14:paraId="0A284906" w14:textId="77777777" w:rsidR="000C7DA3" w:rsidRDefault="00482F13">
            <w:pPr>
              <w:jc w:val="center"/>
            </w:pPr>
            <w:r>
              <w:rPr>
                <w:b/>
              </w:rPr>
              <w:t>3.4</w:t>
            </w:r>
          </w:p>
        </w:tc>
        <w:tc>
          <w:tcPr>
            <w:tcW w:w="0" w:type="auto"/>
            <w:tcBorders>
              <w:bottom w:val="single" w:sz="8" w:space="0" w:color="000000"/>
              <w:right w:val="single" w:sz="8" w:space="0" w:color="000000"/>
            </w:tcBorders>
            <w:vAlign w:val="center"/>
          </w:tcPr>
          <w:p w14:paraId="46861C55" w14:textId="77777777" w:rsidR="000C7DA3" w:rsidRDefault="00482F13">
            <w:pPr>
              <w:jc w:val="center"/>
            </w:pPr>
            <w:r>
              <w:rPr>
                <w:b/>
              </w:rPr>
              <w:t>39%</w:t>
            </w:r>
          </w:p>
        </w:tc>
      </w:tr>
    </w:tbl>
    <w:p w14:paraId="0695D42C" w14:textId="77777777" w:rsidR="000C7DA3" w:rsidRDefault="000C7DA3"/>
    <w:p w14:paraId="3CF95E99" w14:textId="4C797F29" w:rsidR="000C7DA3" w:rsidRDefault="00482F13">
      <w:r>
        <w:t>Table 3: Career Length Distribution by Debut Age Band</w:t>
      </w:r>
    </w:p>
    <w:p w14:paraId="45AED96A" w14:textId="77777777" w:rsidR="000C7DA3" w:rsidRDefault="00482F13">
      <w:pPr>
        <w:spacing w:after="210"/>
      </w:pPr>
      <w:r>
        <w:rPr>
          <w:b/>
        </w:rPr>
        <w:t>Pattern interpretation</w:t>
      </w:r>
      <w:r>
        <w:rPr>
          <w:rFonts w:eastAsia="Georgia" w:hAnsi="Georgia" w:cs="Georgia"/>
        </w:rPr>
        <w:t>: Players debuting at ages 15–18 average 16.8 years, representing a 1.6-year advantage over 18–21 debutants (15.5 years) and a 4.0-year extension relative to 24–30 debutants (12.8 years). Early debut cohorts also show higher active rates (44% vs 28%), indicating that early-debuting players remain in elite football longer. This pattern suggests elite talent identification at youth levels—early debutants represent top-percentile ability selected for sustained career potential rather than burnout-prone fast-trackers.</w:t>
      </w:r>
    </w:p>
    <w:p w14:paraId="5FD79C6F" w14:textId="77777777" w:rsidR="000C7DA3" w:rsidRDefault="00482F13">
      <w:pPr>
        <w:spacing w:before="240" w:line="271" w:lineRule="auto"/>
      </w:pPr>
      <w:bookmarkStart w:id="8" w:name="bm_1_5_height_group_analysis"/>
      <w:r>
        <w:rPr>
          <w:b/>
          <w:sz w:val="33"/>
        </w:rPr>
        <w:t>1.5 Height Group Analysis</w:t>
      </w:r>
      <w:bookmarkEnd w:id="8"/>
    </w:p>
    <w:p w14:paraId="6D9941DC" w14:textId="77777777" w:rsidR="000C7DA3" w:rsidRDefault="00482F13">
      <w:pPr>
        <w:spacing w:after="210"/>
      </w:pPr>
      <w:r>
        <w:t>Player height is stratified into three groups reflecting physical diversity in professional football:</w:t>
      </w:r>
    </w:p>
    <w:tbl>
      <w:tblPr>
        <w:tblStyle w:val="NormalGrid"/>
        <w:tblW w:w="0" w:type="auto"/>
        <w:jc w:val="center"/>
        <w:tblCellSpacing w:w="0" w:type="dxa"/>
        <w:tblLook w:val="04A0" w:firstRow="1" w:lastRow="0" w:firstColumn="1" w:lastColumn="0" w:noHBand="0" w:noVBand="1"/>
      </w:tblPr>
      <w:tblGrid>
        <w:gridCol w:w="1840"/>
        <w:gridCol w:w="955"/>
        <w:gridCol w:w="2309"/>
        <w:gridCol w:w="1159"/>
        <w:gridCol w:w="677"/>
        <w:gridCol w:w="1434"/>
      </w:tblGrid>
      <w:tr w:rsidR="000C7DA3" w14:paraId="444C6262"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B809893" w14:textId="77777777" w:rsidR="000C7DA3" w:rsidRDefault="00482F13">
            <w:r>
              <w:rPr>
                <w:b/>
              </w:rPr>
              <w:t>Height Group</w:t>
            </w:r>
          </w:p>
        </w:tc>
        <w:tc>
          <w:tcPr>
            <w:tcW w:w="0" w:type="auto"/>
            <w:tcBorders>
              <w:top w:val="single" w:sz="8" w:space="0" w:color="000000"/>
              <w:bottom w:val="single" w:sz="8" w:space="0" w:color="000000"/>
              <w:right w:val="single" w:sz="8" w:space="0" w:color="000000"/>
            </w:tcBorders>
            <w:vAlign w:val="center"/>
          </w:tcPr>
          <w:p w14:paraId="7F69F86B" w14:textId="77777777" w:rsidR="000C7DA3" w:rsidRDefault="00482F13">
            <w:pPr>
              <w:jc w:val="center"/>
            </w:pPr>
            <w:r>
              <w:rPr>
                <w:b/>
              </w:rPr>
              <w:t>n</w:t>
            </w:r>
          </w:p>
        </w:tc>
        <w:tc>
          <w:tcPr>
            <w:tcW w:w="0" w:type="auto"/>
            <w:tcBorders>
              <w:top w:val="single" w:sz="8" w:space="0" w:color="000000"/>
              <w:bottom w:val="single" w:sz="8" w:space="0" w:color="000000"/>
              <w:right w:val="single" w:sz="8" w:space="0" w:color="000000"/>
            </w:tcBorders>
            <w:vAlign w:val="center"/>
          </w:tcPr>
          <w:p w14:paraId="1F6C29D8" w14:textId="77777777" w:rsidR="000C7DA3" w:rsidRDefault="00482F13">
            <w:pPr>
              <w:jc w:val="center"/>
            </w:pPr>
            <w:r>
              <w:rPr>
                <w:b/>
              </w:rPr>
              <w:t>Mean Career (yrs)</w:t>
            </w:r>
          </w:p>
        </w:tc>
        <w:tc>
          <w:tcPr>
            <w:tcW w:w="0" w:type="auto"/>
            <w:tcBorders>
              <w:top w:val="single" w:sz="8" w:space="0" w:color="000000"/>
              <w:bottom w:val="single" w:sz="8" w:space="0" w:color="000000"/>
              <w:right w:val="single" w:sz="8" w:space="0" w:color="000000"/>
            </w:tcBorders>
            <w:vAlign w:val="center"/>
          </w:tcPr>
          <w:p w14:paraId="138DF872" w14:textId="77777777" w:rsidR="000C7DA3" w:rsidRDefault="00482F13">
            <w:pPr>
              <w:jc w:val="center"/>
            </w:pPr>
            <w:r>
              <w:rPr>
                <w:b/>
              </w:rPr>
              <w:t>Median</w:t>
            </w:r>
          </w:p>
        </w:tc>
        <w:tc>
          <w:tcPr>
            <w:tcW w:w="0" w:type="auto"/>
            <w:tcBorders>
              <w:top w:val="single" w:sz="8" w:space="0" w:color="000000"/>
              <w:bottom w:val="single" w:sz="8" w:space="0" w:color="000000"/>
              <w:right w:val="single" w:sz="8" w:space="0" w:color="000000"/>
            </w:tcBorders>
            <w:vAlign w:val="center"/>
          </w:tcPr>
          <w:p w14:paraId="4880F100" w14:textId="77777777" w:rsidR="000C7DA3" w:rsidRDefault="00482F13">
            <w:pPr>
              <w:jc w:val="center"/>
            </w:pPr>
            <w:r>
              <w:rPr>
                <w:b/>
              </w:rPr>
              <w:t>SD</w:t>
            </w:r>
          </w:p>
        </w:tc>
        <w:tc>
          <w:tcPr>
            <w:tcW w:w="0" w:type="auto"/>
            <w:tcBorders>
              <w:top w:val="single" w:sz="8" w:space="0" w:color="000000"/>
              <w:bottom w:val="single" w:sz="8" w:space="0" w:color="000000"/>
              <w:right w:val="single" w:sz="8" w:space="0" w:color="000000"/>
            </w:tcBorders>
            <w:vAlign w:val="center"/>
          </w:tcPr>
          <w:p w14:paraId="15AA60B3" w14:textId="77777777" w:rsidR="000C7DA3" w:rsidRDefault="00482F13">
            <w:pPr>
              <w:jc w:val="center"/>
            </w:pPr>
            <w:r>
              <w:rPr>
                <w:b/>
              </w:rPr>
              <w:t>Active (%)</w:t>
            </w:r>
          </w:p>
        </w:tc>
      </w:tr>
      <w:tr w:rsidR="000C7DA3" w14:paraId="50F83E3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1671BA6" w14:textId="77777777" w:rsidR="000C7DA3" w:rsidRDefault="00482F13">
            <w:r>
              <w:t>160--178 cm</w:t>
            </w:r>
          </w:p>
        </w:tc>
        <w:tc>
          <w:tcPr>
            <w:tcW w:w="0" w:type="auto"/>
            <w:tcBorders>
              <w:bottom w:val="single" w:sz="8" w:space="0" w:color="000000"/>
              <w:right w:val="single" w:sz="8" w:space="0" w:color="000000"/>
            </w:tcBorders>
            <w:vAlign w:val="center"/>
          </w:tcPr>
          <w:p w14:paraId="2B9C852D" w14:textId="77777777" w:rsidR="000C7DA3" w:rsidRDefault="00482F13">
            <w:pPr>
              <w:jc w:val="center"/>
            </w:pPr>
            <w:r>
              <w:t>1,013</w:t>
            </w:r>
          </w:p>
        </w:tc>
        <w:tc>
          <w:tcPr>
            <w:tcW w:w="0" w:type="auto"/>
            <w:tcBorders>
              <w:bottom w:val="single" w:sz="8" w:space="0" w:color="000000"/>
              <w:right w:val="single" w:sz="8" w:space="0" w:color="000000"/>
            </w:tcBorders>
            <w:vAlign w:val="center"/>
          </w:tcPr>
          <w:p w14:paraId="2EADC8F8" w14:textId="77777777" w:rsidR="000C7DA3" w:rsidRDefault="00482F13">
            <w:pPr>
              <w:jc w:val="center"/>
            </w:pPr>
            <w:r>
              <w:t>15.1</w:t>
            </w:r>
          </w:p>
        </w:tc>
        <w:tc>
          <w:tcPr>
            <w:tcW w:w="0" w:type="auto"/>
            <w:tcBorders>
              <w:bottom w:val="single" w:sz="8" w:space="0" w:color="000000"/>
              <w:right w:val="single" w:sz="8" w:space="0" w:color="000000"/>
            </w:tcBorders>
            <w:vAlign w:val="center"/>
          </w:tcPr>
          <w:p w14:paraId="5C039FB8" w14:textId="77777777" w:rsidR="000C7DA3" w:rsidRDefault="00482F13">
            <w:pPr>
              <w:jc w:val="center"/>
            </w:pPr>
            <w:r>
              <w:t>15</w:t>
            </w:r>
          </w:p>
        </w:tc>
        <w:tc>
          <w:tcPr>
            <w:tcW w:w="0" w:type="auto"/>
            <w:tcBorders>
              <w:bottom w:val="single" w:sz="8" w:space="0" w:color="000000"/>
              <w:right w:val="single" w:sz="8" w:space="0" w:color="000000"/>
            </w:tcBorders>
            <w:vAlign w:val="center"/>
          </w:tcPr>
          <w:p w14:paraId="12133694" w14:textId="77777777" w:rsidR="000C7DA3" w:rsidRDefault="00482F13">
            <w:pPr>
              <w:jc w:val="center"/>
            </w:pPr>
            <w:r>
              <w:t>3.3</w:t>
            </w:r>
          </w:p>
        </w:tc>
        <w:tc>
          <w:tcPr>
            <w:tcW w:w="0" w:type="auto"/>
            <w:tcBorders>
              <w:bottom w:val="single" w:sz="8" w:space="0" w:color="000000"/>
              <w:right w:val="single" w:sz="8" w:space="0" w:color="000000"/>
            </w:tcBorders>
            <w:vAlign w:val="center"/>
          </w:tcPr>
          <w:p w14:paraId="0621925A" w14:textId="77777777" w:rsidR="000C7DA3" w:rsidRDefault="00482F13">
            <w:pPr>
              <w:jc w:val="center"/>
            </w:pPr>
            <w:r>
              <w:t>38%</w:t>
            </w:r>
          </w:p>
        </w:tc>
      </w:tr>
      <w:tr w:rsidR="000C7DA3" w14:paraId="0F8F00D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E77B4AC" w14:textId="77777777" w:rsidR="000C7DA3" w:rsidRDefault="00482F13">
            <w:r>
              <w:t>178--183 cm</w:t>
            </w:r>
          </w:p>
        </w:tc>
        <w:tc>
          <w:tcPr>
            <w:tcW w:w="0" w:type="auto"/>
            <w:tcBorders>
              <w:bottom w:val="single" w:sz="8" w:space="0" w:color="000000"/>
              <w:right w:val="single" w:sz="8" w:space="0" w:color="000000"/>
            </w:tcBorders>
            <w:vAlign w:val="center"/>
          </w:tcPr>
          <w:p w14:paraId="315B0B85" w14:textId="77777777" w:rsidR="000C7DA3" w:rsidRDefault="00482F13">
            <w:pPr>
              <w:jc w:val="center"/>
            </w:pPr>
            <w:r>
              <w:t>769</w:t>
            </w:r>
          </w:p>
        </w:tc>
        <w:tc>
          <w:tcPr>
            <w:tcW w:w="0" w:type="auto"/>
            <w:tcBorders>
              <w:bottom w:val="single" w:sz="8" w:space="0" w:color="000000"/>
              <w:right w:val="single" w:sz="8" w:space="0" w:color="000000"/>
            </w:tcBorders>
            <w:vAlign w:val="center"/>
          </w:tcPr>
          <w:p w14:paraId="0CD5A96A" w14:textId="77777777" w:rsidR="000C7DA3" w:rsidRDefault="00482F13">
            <w:pPr>
              <w:jc w:val="center"/>
            </w:pPr>
            <w:r>
              <w:t>15.3</w:t>
            </w:r>
          </w:p>
        </w:tc>
        <w:tc>
          <w:tcPr>
            <w:tcW w:w="0" w:type="auto"/>
            <w:tcBorders>
              <w:bottom w:val="single" w:sz="8" w:space="0" w:color="000000"/>
              <w:right w:val="single" w:sz="8" w:space="0" w:color="000000"/>
            </w:tcBorders>
            <w:vAlign w:val="center"/>
          </w:tcPr>
          <w:p w14:paraId="7BD0EE8B" w14:textId="77777777" w:rsidR="000C7DA3" w:rsidRDefault="00482F13">
            <w:pPr>
              <w:jc w:val="center"/>
            </w:pPr>
            <w:r>
              <w:t>15</w:t>
            </w:r>
          </w:p>
        </w:tc>
        <w:tc>
          <w:tcPr>
            <w:tcW w:w="0" w:type="auto"/>
            <w:tcBorders>
              <w:bottom w:val="single" w:sz="8" w:space="0" w:color="000000"/>
              <w:right w:val="single" w:sz="8" w:space="0" w:color="000000"/>
            </w:tcBorders>
            <w:vAlign w:val="center"/>
          </w:tcPr>
          <w:p w14:paraId="195C3CB1" w14:textId="77777777" w:rsidR="000C7DA3" w:rsidRDefault="00482F13">
            <w:pPr>
              <w:jc w:val="center"/>
            </w:pPr>
            <w:r>
              <w:t>3.4</w:t>
            </w:r>
          </w:p>
        </w:tc>
        <w:tc>
          <w:tcPr>
            <w:tcW w:w="0" w:type="auto"/>
            <w:tcBorders>
              <w:bottom w:val="single" w:sz="8" w:space="0" w:color="000000"/>
              <w:right w:val="single" w:sz="8" w:space="0" w:color="000000"/>
            </w:tcBorders>
            <w:vAlign w:val="center"/>
          </w:tcPr>
          <w:p w14:paraId="0290FEE3" w14:textId="77777777" w:rsidR="000C7DA3" w:rsidRDefault="00482F13">
            <w:pPr>
              <w:jc w:val="center"/>
            </w:pPr>
            <w:r>
              <w:t>40%</w:t>
            </w:r>
          </w:p>
        </w:tc>
      </w:tr>
      <w:tr w:rsidR="000C7DA3" w14:paraId="77BE808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C20F32E" w14:textId="77777777" w:rsidR="000C7DA3" w:rsidRDefault="00482F13">
            <w:r>
              <w:t>183--200 cm</w:t>
            </w:r>
          </w:p>
        </w:tc>
        <w:tc>
          <w:tcPr>
            <w:tcW w:w="0" w:type="auto"/>
            <w:tcBorders>
              <w:bottom w:val="single" w:sz="8" w:space="0" w:color="000000"/>
              <w:right w:val="single" w:sz="8" w:space="0" w:color="000000"/>
            </w:tcBorders>
            <w:vAlign w:val="center"/>
          </w:tcPr>
          <w:p w14:paraId="171E14D7" w14:textId="77777777" w:rsidR="000C7DA3" w:rsidRDefault="00482F13">
            <w:pPr>
              <w:jc w:val="center"/>
            </w:pPr>
            <w:r>
              <w:t>916</w:t>
            </w:r>
          </w:p>
        </w:tc>
        <w:tc>
          <w:tcPr>
            <w:tcW w:w="0" w:type="auto"/>
            <w:tcBorders>
              <w:bottom w:val="single" w:sz="8" w:space="0" w:color="000000"/>
              <w:right w:val="single" w:sz="8" w:space="0" w:color="000000"/>
            </w:tcBorders>
            <w:vAlign w:val="center"/>
          </w:tcPr>
          <w:p w14:paraId="78122995" w14:textId="77777777" w:rsidR="000C7DA3" w:rsidRDefault="00482F13">
            <w:pPr>
              <w:jc w:val="center"/>
            </w:pPr>
            <w:r>
              <w:t>15.2</w:t>
            </w:r>
          </w:p>
        </w:tc>
        <w:tc>
          <w:tcPr>
            <w:tcW w:w="0" w:type="auto"/>
            <w:tcBorders>
              <w:bottom w:val="single" w:sz="8" w:space="0" w:color="000000"/>
              <w:right w:val="single" w:sz="8" w:space="0" w:color="000000"/>
            </w:tcBorders>
            <w:vAlign w:val="center"/>
          </w:tcPr>
          <w:p w14:paraId="6BD24325" w14:textId="77777777" w:rsidR="000C7DA3" w:rsidRDefault="00482F13">
            <w:pPr>
              <w:jc w:val="center"/>
            </w:pPr>
            <w:r>
              <w:t>15</w:t>
            </w:r>
          </w:p>
        </w:tc>
        <w:tc>
          <w:tcPr>
            <w:tcW w:w="0" w:type="auto"/>
            <w:tcBorders>
              <w:bottom w:val="single" w:sz="8" w:space="0" w:color="000000"/>
              <w:right w:val="single" w:sz="8" w:space="0" w:color="000000"/>
            </w:tcBorders>
            <w:vAlign w:val="center"/>
          </w:tcPr>
          <w:p w14:paraId="7C66D2C1" w14:textId="77777777" w:rsidR="000C7DA3" w:rsidRDefault="00482F13">
            <w:pPr>
              <w:jc w:val="center"/>
            </w:pPr>
            <w:r>
              <w:t>3.5</w:t>
            </w:r>
          </w:p>
        </w:tc>
        <w:tc>
          <w:tcPr>
            <w:tcW w:w="0" w:type="auto"/>
            <w:tcBorders>
              <w:bottom w:val="single" w:sz="8" w:space="0" w:color="000000"/>
              <w:right w:val="single" w:sz="8" w:space="0" w:color="000000"/>
            </w:tcBorders>
            <w:vAlign w:val="center"/>
          </w:tcPr>
          <w:p w14:paraId="0FB0411C" w14:textId="77777777" w:rsidR="000C7DA3" w:rsidRDefault="00482F13">
            <w:pPr>
              <w:jc w:val="center"/>
            </w:pPr>
            <w:r>
              <w:t>39%</w:t>
            </w:r>
          </w:p>
        </w:tc>
      </w:tr>
      <w:tr w:rsidR="000C7DA3" w14:paraId="3AF7BAF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2566F99" w14:textId="77777777" w:rsidR="000C7DA3" w:rsidRDefault="00482F13">
            <w:r>
              <w:rPr>
                <w:b/>
              </w:rPr>
              <w:t>Total</w:t>
            </w:r>
          </w:p>
        </w:tc>
        <w:tc>
          <w:tcPr>
            <w:tcW w:w="0" w:type="auto"/>
            <w:tcBorders>
              <w:bottom w:val="single" w:sz="8" w:space="0" w:color="000000"/>
              <w:right w:val="single" w:sz="8" w:space="0" w:color="000000"/>
            </w:tcBorders>
            <w:vAlign w:val="center"/>
          </w:tcPr>
          <w:p w14:paraId="29041A6C" w14:textId="77777777" w:rsidR="000C7DA3" w:rsidRDefault="00482F13">
            <w:pPr>
              <w:jc w:val="center"/>
            </w:pPr>
            <w:r>
              <w:rPr>
                <w:b/>
              </w:rPr>
              <w:t>2,698</w:t>
            </w:r>
          </w:p>
        </w:tc>
        <w:tc>
          <w:tcPr>
            <w:tcW w:w="0" w:type="auto"/>
            <w:tcBorders>
              <w:bottom w:val="single" w:sz="8" w:space="0" w:color="000000"/>
              <w:right w:val="single" w:sz="8" w:space="0" w:color="000000"/>
            </w:tcBorders>
            <w:vAlign w:val="center"/>
          </w:tcPr>
          <w:p w14:paraId="1D7672E9" w14:textId="77777777" w:rsidR="000C7DA3" w:rsidRDefault="00482F13">
            <w:pPr>
              <w:jc w:val="center"/>
            </w:pPr>
            <w:r>
              <w:rPr>
                <w:b/>
              </w:rPr>
              <w:t>15.2</w:t>
            </w:r>
          </w:p>
        </w:tc>
        <w:tc>
          <w:tcPr>
            <w:tcW w:w="0" w:type="auto"/>
            <w:tcBorders>
              <w:bottom w:val="single" w:sz="8" w:space="0" w:color="000000"/>
              <w:right w:val="single" w:sz="8" w:space="0" w:color="000000"/>
            </w:tcBorders>
            <w:vAlign w:val="center"/>
          </w:tcPr>
          <w:p w14:paraId="642307AB" w14:textId="77777777" w:rsidR="000C7DA3" w:rsidRDefault="00482F13">
            <w:pPr>
              <w:jc w:val="center"/>
            </w:pPr>
            <w:r>
              <w:rPr>
                <w:b/>
              </w:rPr>
              <w:t>15</w:t>
            </w:r>
          </w:p>
        </w:tc>
        <w:tc>
          <w:tcPr>
            <w:tcW w:w="0" w:type="auto"/>
            <w:tcBorders>
              <w:bottom w:val="single" w:sz="8" w:space="0" w:color="000000"/>
              <w:right w:val="single" w:sz="8" w:space="0" w:color="000000"/>
            </w:tcBorders>
            <w:vAlign w:val="center"/>
          </w:tcPr>
          <w:p w14:paraId="2EEA1FB6" w14:textId="77777777" w:rsidR="000C7DA3" w:rsidRDefault="00482F13">
            <w:pPr>
              <w:jc w:val="center"/>
            </w:pPr>
            <w:r>
              <w:rPr>
                <w:b/>
              </w:rPr>
              <w:t>3.4</w:t>
            </w:r>
          </w:p>
        </w:tc>
        <w:tc>
          <w:tcPr>
            <w:tcW w:w="0" w:type="auto"/>
            <w:tcBorders>
              <w:bottom w:val="single" w:sz="8" w:space="0" w:color="000000"/>
              <w:right w:val="single" w:sz="8" w:space="0" w:color="000000"/>
            </w:tcBorders>
            <w:vAlign w:val="center"/>
          </w:tcPr>
          <w:p w14:paraId="66CF54DE" w14:textId="77777777" w:rsidR="000C7DA3" w:rsidRDefault="00482F13">
            <w:pPr>
              <w:jc w:val="center"/>
            </w:pPr>
            <w:r>
              <w:rPr>
                <w:b/>
              </w:rPr>
              <w:t>39%</w:t>
            </w:r>
          </w:p>
        </w:tc>
      </w:tr>
    </w:tbl>
    <w:p w14:paraId="4CCD5CCB" w14:textId="77777777" w:rsidR="000C7DA3" w:rsidRDefault="000C7DA3"/>
    <w:p w14:paraId="7D6DAC43" w14:textId="46552BAE" w:rsidR="000C7DA3" w:rsidRDefault="00482F13">
      <w:r>
        <w:t>Table 4: Career Length Distribution by Height Group</w:t>
      </w:r>
    </w:p>
    <w:p w14:paraId="73768258" w14:textId="77777777" w:rsidR="000C7DA3" w:rsidRDefault="00482F13">
      <w:pPr>
        <w:spacing w:after="210"/>
      </w:pPr>
      <w:r>
        <w:rPr>
          <w:rFonts w:eastAsia="Georgia" w:hAnsi="Georgia" w:cs="Georgia"/>
        </w:rPr>
        <w:lastRenderedPageBreak/>
        <w:t>Height group differences are minimal (15.1–15.3 years), with overlapping confidence intervals and similar active rates (38–40%). This pattern indicates that height, as an independent factor, contributes minimal predictive power for career longevity once position and other factors are controlled.</w:t>
      </w:r>
    </w:p>
    <w:p w14:paraId="24735B7D" w14:textId="77777777" w:rsidR="000C7DA3" w:rsidRDefault="00482F13">
      <w:pPr>
        <w:spacing w:before="240" w:line="271" w:lineRule="auto"/>
      </w:pPr>
      <w:bookmarkStart w:id="9" w:name="bm_1_6_injury_profile_and_match_p_f2a31f"/>
      <w:r>
        <w:rPr>
          <w:b/>
          <w:sz w:val="33"/>
        </w:rPr>
        <w:t>1.6 Injury Profile and Match Participation</w:t>
      </w:r>
      <w:bookmarkEnd w:id="9"/>
    </w:p>
    <w:p w14:paraId="78898513" w14:textId="77777777" w:rsidR="000C7DA3" w:rsidRDefault="00482F13">
      <w:pPr>
        <w:spacing w:after="210"/>
      </w:pPr>
      <w:r>
        <w:t>Summary statistics for injury and match exposure:</w:t>
      </w:r>
    </w:p>
    <w:tbl>
      <w:tblPr>
        <w:tblStyle w:val="NormalGrid"/>
        <w:tblW w:w="0" w:type="auto"/>
        <w:jc w:val="center"/>
        <w:tblCellSpacing w:w="0" w:type="dxa"/>
        <w:tblLook w:val="04A0" w:firstRow="1" w:lastRow="0" w:firstColumn="1" w:lastColumn="0" w:noHBand="0" w:noVBand="1"/>
      </w:tblPr>
      <w:tblGrid>
        <w:gridCol w:w="2983"/>
        <w:gridCol w:w="945"/>
        <w:gridCol w:w="1159"/>
        <w:gridCol w:w="869"/>
        <w:gridCol w:w="775"/>
        <w:gridCol w:w="872"/>
      </w:tblGrid>
      <w:tr w:rsidR="000C7DA3" w14:paraId="2E3DEC76"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EC332B9" w14:textId="77777777" w:rsidR="000C7DA3" w:rsidRDefault="00482F13">
            <w:r>
              <w:rPr>
                <w:b/>
              </w:rPr>
              <w:t>Variable</w:t>
            </w:r>
          </w:p>
        </w:tc>
        <w:tc>
          <w:tcPr>
            <w:tcW w:w="0" w:type="auto"/>
            <w:tcBorders>
              <w:top w:val="single" w:sz="8" w:space="0" w:color="000000"/>
              <w:bottom w:val="single" w:sz="8" w:space="0" w:color="000000"/>
              <w:right w:val="single" w:sz="8" w:space="0" w:color="000000"/>
            </w:tcBorders>
            <w:vAlign w:val="center"/>
          </w:tcPr>
          <w:p w14:paraId="317DB0C2" w14:textId="77777777" w:rsidR="000C7DA3" w:rsidRDefault="00482F13">
            <w:pPr>
              <w:jc w:val="center"/>
            </w:pPr>
            <w:r>
              <w:rPr>
                <w:b/>
              </w:rPr>
              <w:t>Mean</w:t>
            </w:r>
          </w:p>
        </w:tc>
        <w:tc>
          <w:tcPr>
            <w:tcW w:w="0" w:type="auto"/>
            <w:tcBorders>
              <w:top w:val="single" w:sz="8" w:space="0" w:color="000000"/>
              <w:bottom w:val="single" w:sz="8" w:space="0" w:color="000000"/>
              <w:right w:val="single" w:sz="8" w:space="0" w:color="000000"/>
            </w:tcBorders>
            <w:vAlign w:val="center"/>
          </w:tcPr>
          <w:p w14:paraId="3DF2DC3E" w14:textId="77777777" w:rsidR="000C7DA3" w:rsidRDefault="00482F13">
            <w:pPr>
              <w:jc w:val="center"/>
            </w:pPr>
            <w:r>
              <w:rPr>
                <w:b/>
              </w:rPr>
              <w:t>Median</w:t>
            </w:r>
          </w:p>
        </w:tc>
        <w:tc>
          <w:tcPr>
            <w:tcW w:w="0" w:type="auto"/>
            <w:tcBorders>
              <w:top w:val="single" w:sz="8" w:space="0" w:color="000000"/>
              <w:bottom w:val="single" w:sz="8" w:space="0" w:color="000000"/>
              <w:right w:val="single" w:sz="8" w:space="0" w:color="000000"/>
            </w:tcBorders>
            <w:vAlign w:val="center"/>
          </w:tcPr>
          <w:p w14:paraId="28F8013B" w14:textId="77777777" w:rsidR="000C7DA3" w:rsidRDefault="00482F13">
            <w:pPr>
              <w:jc w:val="center"/>
            </w:pPr>
            <w:r>
              <w:rPr>
                <w:b/>
              </w:rPr>
              <w:t>SD</w:t>
            </w:r>
          </w:p>
        </w:tc>
        <w:tc>
          <w:tcPr>
            <w:tcW w:w="0" w:type="auto"/>
            <w:tcBorders>
              <w:top w:val="single" w:sz="8" w:space="0" w:color="000000"/>
              <w:bottom w:val="single" w:sz="8" w:space="0" w:color="000000"/>
              <w:right w:val="single" w:sz="8" w:space="0" w:color="000000"/>
            </w:tcBorders>
            <w:vAlign w:val="center"/>
          </w:tcPr>
          <w:p w14:paraId="4D53EB95" w14:textId="77777777" w:rsidR="000C7DA3" w:rsidRDefault="00482F13">
            <w:pPr>
              <w:jc w:val="center"/>
            </w:pPr>
            <w:r>
              <w:rPr>
                <w:b/>
              </w:rPr>
              <w:t>Min</w:t>
            </w:r>
          </w:p>
        </w:tc>
        <w:tc>
          <w:tcPr>
            <w:tcW w:w="0" w:type="auto"/>
            <w:tcBorders>
              <w:top w:val="single" w:sz="8" w:space="0" w:color="000000"/>
              <w:bottom w:val="single" w:sz="8" w:space="0" w:color="000000"/>
              <w:right w:val="single" w:sz="8" w:space="0" w:color="000000"/>
            </w:tcBorders>
            <w:vAlign w:val="center"/>
          </w:tcPr>
          <w:p w14:paraId="278180FB" w14:textId="77777777" w:rsidR="000C7DA3" w:rsidRDefault="00482F13">
            <w:pPr>
              <w:jc w:val="center"/>
            </w:pPr>
            <w:r>
              <w:rPr>
                <w:b/>
              </w:rPr>
              <w:t>Max</w:t>
            </w:r>
          </w:p>
        </w:tc>
      </w:tr>
      <w:tr w:rsidR="000C7DA3" w14:paraId="659E0CB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8A52517" w14:textId="77777777" w:rsidR="000C7DA3" w:rsidRDefault="00482F13">
            <w:r>
              <w:t>Injury Count (Total)</w:t>
            </w:r>
          </w:p>
        </w:tc>
        <w:tc>
          <w:tcPr>
            <w:tcW w:w="0" w:type="auto"/>
            <w:tcBorders>
              <w:bottom w:val="single" w:sz="8" w:space="0" w:color="000000"/>
              <w:right w:val="single" w:sz="8" w:space="0" w:color="000000"/>
            </w:tcBorders>
            <w:vAlign w:val="center"/>
          </w:tcPr>
          <w:p w14:paraId="128C9C01" w14:textId="77777777" w:rsidR="000C7DA3" w:rsidRDefault="00482F13">
            <w:pPr>
              <w:jc w:val="center"/>
            </w:pPr>
            <w:r>
              <w:t>2.8</w:t>
            </w:r>
          </w:p>
        </w:tc>
        <w:tc>
          <w:tcPr>
            <w:tcW w:w="0" w:type="auto"/>
            <w:tcBorders>
              <w:bottom w:val="single" w:sz="8" w:space="0" w:color="000000"/>
              <w:right w:val="single" w:sz="8" w:space="0" w:color="000000"/>
            </w:tcBorders>
            <w:vAlign w:val="center"/>
          </w:tcPr>
          <w:p w14:paraId="37499221" w14:textId="77777777" w:rsidR="000C7DA3" w:rsidRDefault="00482F13">
            <w:pPr>
              <w:jc w:val="center"/>
            </w:pPr>
            <w:r>
              <w:t>2</w:t>
            </w:r>
          </w:p>
        </w:tc>
        <w:tc>
          <w:tcPr>
            <w:tcW w:w="0" w:type="auto"/>
            <w:tcBorders>
              <w:bottom w:val="single" w:sz="8" w:space="0" w:color="000000"/>
              <w:right w:val="single" w:sz="8" w:space="0" w:color="000000"/>
            </w:tcBorders>
            <w:vAlign w:val="center"/>
          </w:tcPr>
          <w:p w14:paraId="1C77C592" w14:textId="77777777" w:rsidR="000C7DA3" w:rsidRDefault="00482F13">
            <w:pPr>
              <w:jc w:val="center"/>
            </w:pPr>
            <w:r>
              <w:t>4.1</w:t>
            </w:r>
          </w:p>
        </w:tc>
        <w:tc>
          <w:tcPr>
            <w:tcW w:w="0" w:type="auto"/>
            <w:tcBorders>
              <w:bottom w:val="single" w:sz="8" w:space="0" w:color="000000"/>
              <w:right w:val="single" w:sz="8" w:space="0" w:color="000000"/>
            </w:tcBorders>
            <w:vAlign w:val="center"/>
          </w:tcPr>
          <w:p w14:paraId="39E333C0" w14:textId="77777777" w:rsidR="000C7DA3" w:rsidRDefault="00482F13">
            <w:pPr>
              <w:jc w:val="center"/>
            </w:pPr>
            <w:r>
              <w:t>0</w:t>
            </w:r>
          </w:p>
        </w:tc>
        <w:tc>
          <w:tcPr>
            <w:tcW w:w="0" w:type="auto"/>
            <w:tcBorders>
              <w:bottom w:val="single" w:sz="8" w:space="0" w:color="000000"/>
              <w:right w:val="single" w:sz="8" w:space="0" w:color="000000"/>
            </w:tcBorders>
            <w:vAlign w:val="center"/>
          </w:tcPr>
          <w:p w14:paraId="5C45320D" w14:textId="77777777" w:rsidR="000C7DA3" w:rsidRDefault="00482F13">
            <w:pPr>
              <w:jc w:val="center"/>
            </w:pPr>
            <w:r>
              <w:t>57</w:t>
            </w:r>
          </w:p>
        </w:tc>
      </w:tr>
      <w:tr w:rsidR="000C7DA3" w14:paraId="17BC9FD4"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B5B9DB3" w14:textId="77777777" w:rsidR="000C7DA3" w:rsidRDefault="00482F13">
            <w:r>
              <w:t>Games Missed (Total)</w:t>
            </w:r>
          </w:p>
        </w:tc>
        <w:tc>
          <w:tcPr>
            <w:tcW w:w="0" w:type="auto"/>
            <w:tcBorders>
              <w:bottom w:val="single" w:sz="8" w:space="0" w:color="000000"/>
              <w:right w:val="single" w:sz="8" w:space="0" w:color="000000"/>
            </w:tcBorders>
            <w:vAlign w:val="center"/>
          </w:tcPr>
          <w:p w14:paraId="04BDE394" w14:textId="77777777" w:rsidR="000C7DA3" w:rsidRDefault="00482F13">
            <w:pPr>
              <w:jc w:val="center"/>
            </w:pPr>
            <w:r>
              <w:t>45.3</w:t>
            </w:r>
          </w:p>
        </w:tc>
        <w:tc>
          <w:tcPr>
            <w:tcW w:w="0" w:type="auto"/>
            <w:tcBorders>
              <w:bottom w:val="single" w:sz="8" w:space="0" w:color="000000"/>
              <w:right w:val="single" w:sz="8" w:space="0" w:color="000000"/>
            </w:tcBorders>
            <w:vAlign w:val="center"/>
          </w:tcPr>
          <w:p w14:paraId="03D04883" w14:textId="77777777" w:rsidR="000C7DA3" w:rsidRDefault="00482F13">
            <w:pPr>
              <w:jc w:val="center"/>
            </w:pPr>
            <w:r>
              <w:t>10</w:t>
            </w:r>
          </w:p>
        </w:tc>
        <w:tc>
          <w:tcPr>
            <w:tcW w:w="0" w:type="auto"/>
            <w:tcBorders>
              <w:bottom w:val="single" w:sz="8" w:space="0" w:color="000000"/>
              <w:right w:val="single" w:sz="8" w:space="0" w:color="000000"/>
            </w:tcBorders>
            <w:vAlign w:val="center"/>
          </w:tcPr>
          <w:p w14:paraId="687A6F5A" w14:textId="77777777" w:rsidR="000C7DA3" w:rsidRDefault="00482F13">
            <w:pPr>
              <w:jc w:val="center"/>
            </w:pPr>
            <w:r>
              <w:t>98.7</w:t>
            </w:r>
          </w:p>
        </w:tc>
        <w:tc>
          <w:tcPr>
            <w:tcW w:w="0" w:type="auto"/>
            <w:tcBorders>
              <w:bottom w:val="single" w:sz="8" w:space="0" w:color="000000"/>
              <w:right w:val="single" w:sz="8" w:space="0" w:color="000000"/>
            </w:tcBorders>
            <w:vAlign w:val="center"/>
          </w:tcPr>
          <w:p w14:paraId="3C0EBE84" w14:textId="77777777" w:rsidR="000C7DA3" w:rsidRDefault="00482F13">
            <w:pPr>
              <w:jc w:val="center"/>
            </w:pPr>
            <w:r>
              <w:t>0</w:t>
            </w:r>
          </w:p>
        </w:tc>
        <w:tc>
          <w:tcPr>
            <w:tcW w:w="0" w:type="auto"/>
            <w:tcBorders>
              <w:bottom w:val="single" w:sz="8" w:space="0" w:color="000000"/>
              <w:right w:val="single" w:sz="8" w:space="0" w:color="000000"/>
            </w:tcBorders>
            <w:vAlign w:val="center"/>
          </w:tcPr>
          <w:p w14:paraId="1CAF9A3C" w14:textId="77777777" w:rsidR="000C7DA3" w:rsidRDefault="00482F13">
            <w:pPr>
              <w:jc w:val="center"/>
            </w:pPr>
            <w:r>
              <w:t>420</w:t>
            </w:r>
          </w:p>
        </w:tc>
      </w:tr>
      <w:tr w:rsidR="000C7DA3" w14:paraId="4D41839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A4C4C0D" w14:textId="77777777" w:rsidR="000C7DA3" w:rsidRDefault="00482F13">
            <w:r>
              <w:t>Days Missed (Total)</w:t>
            </w:r>
          </w:p>
        </w:tc>
        <w:tc>
          <w:tcPr>
            <w:tcW w:w="0" w:type="auto"/>
            <w:tcBorders>
              <w:bottom w:val="single" w:sz="8" w:space="0" w:color="000000"/>
              <w:right w:val="single" w:sz="8" w:space="0" w:color="000000"/>
            </w:tcBorders>
            <w:vAlign w:val="center"/>
          </w:tcPr>
          <w:p w14:paraId="1C0E65DE" w14:textId="77777777" w:rsidR="000C7DA3" w:rsidRDefault="00482F13">
            <w:pPr>
              <w:jc w:val="center"/>
            </w:pPr>
            <w:r>
              <w:t>398.1</w:t>
            </w:r>
          </w:p>
        </w:tc>
        <w:tc>
          <w:tcPr>
            <w:tcW w:w="0" w:type="auto"/>
            <w:tcBorders>
              <w:bottom w:val="single" w:sz="8" w:space="0" w:color="000000"/>
              <w:right w:val="single" w:sz="8" w:space="0" w:color="000000"/>
            </w:tcBorders>
            <w:vAlign w:val="center"/>
          </w:tcPr>
          <w:p w14:paraId="6F66B2A3" w14:textId="77777777" w:rsidR="000C7DA3" w:rsidRDefault="00482F13">
            <w:pPr>
              <w:jc w:val="center"/>
            </w:pPr>
            <w:r>
              <w:t>15</w:t>
            </w:r>
          </w:p>
        </w:tc>
        <w:tc>
          <w:tcPr>
            <w:tcW w:w="0" w:type="auto"/>
            <w:tcBorders>
              <w:bottom w:val="single" w:sz="8" w:space="0" w:color="000000"/>
              <w:right w:val="single" w:sz="8" w:space="0" w:color="000000"/>
            </w:tcBorders>
            <w:vAlign w:val="center"/>
          </w:tcPr>
          <w:p w14:paraId="51E011DF" w14:textId="77777777" w:rsidR="000C7DA3" w:rsidRDefault="00482F13">
            <w:pPr>
              <w:jc w:val="center"/>
            </w:pPr>
            <w:r>
              <w:t>823.5</w:t>
            </w:r>
          </w:p>
        </w:tc>
        <w:tc>
          <w:tcPr>
            <w:tcW w:w="0" w:type="auto"/>
            <w:tcBorders>
              <w:bottom w:val="single" w:sz="8" w:space="0" w:color="000000"/>
              <w:right w:val="single" w:sz="8" w:space="0" w:color="000000"/>
            </w:tcBorders>
            <w:vAlign w:val="center"/>
          </w:tcPr>
          <w:p w14:paraId="1C1A7F31" w14:textId="77777777" w:rsidR="000C7DA3" w:rsidRDefault="00482F13">
            <w:pPr>
              <w:jc w:val="center"/>
            </w:pPr>
            <w:r>
              <w:t>0</w:t>
            </w:r>
          </w:p>
        </w:tc>
        <w:tc>
          <w:tcPr>
            <w:tcW w:w="0" w:type="auto"/>
            <w:tcBorders>
              <w:bottom w:val="single" w:sz="8" w:space="0" w:color="000000"/>
              <w:right w:val="single" w:sz="8" w:space="0" w:color="000000"/>
            </w:tcBorders>
            <w:vAlign w:val="center"/>
          </w:tcPr>
          <w:p w14:paraId="3F8E32D9" w14:textId="77777777" w:rsidR="000C7DA3" w:rsidRDefault="00482F13">
            <w:pPr>
              <w:jc w:val="center"/>
            </w:pPr>
            <w:r>
              <w:t>3,650</w:t>
            </w:r>
          </w:p>
        </w:tc>
      </w:tr>
      <w:tr w:rsidR="000C7DA3" w14:paraId="5B5388B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56188F3" w14:textId="77777777" w:rsidR="000C7DA3" w:rsidRDefault="00482F13">
            <w:r>
              <w:t>Club Matches (Career Total)</w:t>
            </w:r>
          </w:p>
        </w:tc>
        <w:tc>
          <w:tcPr>
            <w:tcW w:w="0" w:type="auto"/>
            <w:tcBorders>
              <w:bottom w:val="single" w:sz="8" w:space="0" w:color="000000"/>
              <w:right w:val="single" w:sz="8" w:space="0" w:color="000000"/>
            </w:tcBorders>
            <w:vAlign w:val="center"/>
          </w:tcPr>
          <w:p w14:paraId="69CFB75A" w14:textId="77777777" w:rsidR="000C7DA3" w:rsidRDefault="00482F13">
            <w:pPr>
              <w:jc w:val="center"/>
            </w:pPr>
            <w:r>
              <w:t>384.2</w:t>
            </w:r>
          </w:p>
        </w:tc>
        <w:tc>
          <w:tcPr>
            <w:tcW w:w="0" w:type="auto"/>
            <w:tcBorders>
              <w:bottom w:val="single" w:sz="8" w:space="0" w:color="000000"/>
              <w:right w:val="single" w:sz="8" w:space="0" w:color="000000"/>
            </w:tcBorders>
            <w:vAlign w:val="center"/>
          </w:tcPr>
          <w:p w14:paraId="60B9F92B" w14:textId="77777777" w:rsidR="000C7DA3" w:rsidRDefault="00482F13">
            <w:pPr>
              <w:jc w:val="center"/>
            </w:pPr>
            <w:r>
              <w:t>322</w:t>
            </w:r>
          </w:p>
        </w:tc>
        <w:tc>
          <w:tcPr>
            <w:tcW w:w="0" w:type="auto"/>
            <w:tcBorders>
              <w:bottom w:val="single" w:sz="8" w:space="0" w:color="000000"/>
              <w:right w:val="single" w:sz="8" w:space="0" w:color="000000"/>
            </w:tcBorders>
            <w:vAlign w:val="center"/>
          </w:tcPr>
          <w:p w14:paraId="5998E207" w14:textId="77777777" w:rsidR="000C7DA3" w:rsidRDefault="00482F13">
            <w:pPr>
              <w:jc w:val="center"/>
            </w:pPr>
            <w:r>
              <w:t>289.5</w:t>
            </w:r>
          </w:p>
        </w:tc>
        <w:tc>
          <w:tcPr>
            <w:tcW w:w="0" w:type="auto"/>
            <w:tcBorders>
              <w:bottom w:val="single" w:sz="8" w:space="0" w:color="000000"/>
              <w:right w:val="single" w:sz="8" w:space="0" w:color="000000"/>
            </w:tcBorders>
            <w:vAlign w:val="center"/>
          </w:tcPr>
          <w:p w14:paraId="5924069A" w14:textId="77777777" w:rsidR="000C7DA3" w:rsidRDefault="00482F13">
            <w:pPr>
              <w:jc w:val="center"/>
            </w:pPr>
            <w:r>
              <w:t>1</w:t>
            </w:r>
          </w:p>
        </w:tc>
        <w:tc>
          <w:tcPr>
            <w:tcW w:w="0" w:type="auto"/>
            <w:tcBorders>
              <w:bottom w:val="single" w:sz="8" w:space="0" w:color="000000"/>
              <w:right w:val="single" w:sz="8" w:space="0" w:color="000000"/>
            </w:tcBorders>
            <w:vAlign w:val="center"/>
          </w:tcPr>
          <w:p w14:paraId="561E168A" w14:textId="77777777" w:rsidR="000C7DA3" w:rsidRDefault="00482F13">
            <w:pPr>
              <w:jc w:val="center"/>
            </w:pPr>
            <w:r>
              <w:t>1,001</w:t>
            </w:r>
          </w:p>
        </w:tc>
      </w:tr>
    </w:tbl>
    <w:p w14:paraId="2EB1CE58" w14:textId="77777777" w:rsidR="000C7DA3" w:rsidRDefault="000C7DA3"/>
    <w:p w14:paraId="7645E054" w14:textId="4A074954" w:rsidR="000C7DA3" w:rsidRDefault="00482F13">
      <w:r>
        <w:t>Table 5: Injury Burden and Match Participation Summary Statistics</w:t>
      </w:r>
    </w:p>
    <w:p w14:paraId="71BBF8F7" w14:textId="77777777" w:rsidR="000C7DA3" w:rsidRDefault="00482F13">
      <w:pPr>
        <w:spacing w:after="210"/>
      </w:pPr>
      <w:r>
        <w:rPr>
          <w:b/>
        </w:rPr>
        <w:t>Interpretation</w:t>
      </w:r>
      <w:r>
        <w:rPr>
          <w:rFonts w:eastAsia="Georgia" w:hAnsi="Georgia" w:cs="Georgia"/>
        </w:rPr>
        <w:t>: Injury count distributions are right-skewed (mean 2.8 &gt; median 2), with high variability (SD 4.1). The 57-injury maximum represents extreme outliers; median values (2 injuries, 10 games missed) characterize typical experiences. Club match participation ranges 1–1,001, with substantial heterogeneity reflecting differences in career length and playing time allocation.</w:t>
      </w:r>
    </w:p>
    <w:p w14:paraId="534AFEB6" w14:textId="77777777" w:rsidR="000C7DA3" w:rsidRDefault="00482F13">
      <w:pPr>
        <w:spacing w:before="240" w:line="271" w:lineRule="auto"/>
      </w:pPr>
      <w:bookmarkStart w:id="10" w:name="bm_2_survival_analysis_kaplan_mei_1df894"/>
      <w:r>
        <w:rPr>
          <w:b/>
          <w:sz w:val="42"/>
        </w:rPr>
        <w:t>2. Survival Analysis: Kaplan-Meier Estimation</w:t>
      </w:r>
      <w:bookmarkEnd w:id="10"/>
    </w:p>
    <w:p w14:paraId="7F1A6401" w14:textId="77777777" w:rsidR="000C7DA3" w:rsidRDefault="00482F13">
      <w:pPr>
        <w:spacing w:before="240" w:line="271" w:lineRule="auto"/>
      </w:pPr>
      <w:bookmarkStart w:id="11" w:name="bm_2_1_overall_survival_curve"/>
      <w:r>
        <w:rPr>
          <w:b/>
          <w:sz w:val="33"/>
        </w:rPr>
        <w:t>2.1 Overall Survival Curve</w:t>
      </w:r>
      <w:bookmarkEnd w:id="11"/>
    </w:p>
    <w:p w14:paraId="327B7D0A" w14:textId="77777777" w:rsidR="000C7DA3" w:rsidRDefault="00482F13">
      <w:pPr>
        <w:spacing w:after="210"/>
      </w:pPr>
      <w:r>
        <w:t>The Kaplan-Meier survival estimate demonstrates the probability of remaining active (non-retired) across career duration:</w:t>
      </w:r>
    </w:p>
    <w:p w14:paraId="4678BA14" w14:textId="77777777" w:rsidR="000C7DA3" w:rsidRDefault="00482F13">
      <w:pPr>
        <w:numPr>
          <w:ilvl w:val="0"/>
          <w:numId w:val="2"/>
        </w:numPr>
      </w:pPr>
      <w:r>
        <w:rPr>
          <w:b/>
        </w:rPr>
        <w:t>Year 5</w:t>
      </w:r>
      <w:r>
        <w:t>: 100% of players remain active (by study design, all players followed beyond debut)</w:t>
      </w:r>
    </w:p>
    <w:p w14:paraId="20877C1E" w14:textId="77777777" w:rsidR="000C7DA3" w:rsidRDefault="00482F13">
      <w:pPr>
        <w:numPr>
          <w:ilvl w:val="0"/>
          <w:numId w:val="2"/>
        </w:numPr>
      </w:pPr>
      <w:r>
        <w:rPr>
          <w:b/>
        </w:rPr>
        <w:t>Year 10</w:t>
      </w:r>
      <w:r>
        <w:t>: Approximately 99% of players remain active</w:t>
      </w:r>
    </w:p>
    <w:p w14:paraId="08B13F21" w14:textId="77777777" w:rsidR="000C7DA3" w:rsidRDefault="00482F13">
      <w:pPr>
        <w:numPr>
          <w:ilvl w:val="0"/>
          <w:numId w:val="2"/>
        </w:numPr>
      </w:pPr>
      <w:r>
        <w:rPr>
          <w:b/>
        </w:rPr>
        <w:t>Year 15</w:t>
      </w:r>
      <w:r>
        <w:t>: Approximately 89% of players remain active</w:t>
      </w:r>
    </w:p>
    <w:p w14:paraId="12CF7942" w14:textId="77777777" w:rsidR="000C7DA3" w:rsidRDefault="00482F13">
      <w:pPr>
        <w:numPr>
          <w:ilvl w:val="0"/>
          <w:numId w:val="2"/>
        </w:numPr>
      </w:pPr>
      <w:r>
        <w:rPr>
          <w:b/>
        </w:rPr>
        <w:t>Year 20</w:t>
      </w:r>
      <w:r>
        <w:t>: Approximately 42% of players remain active</w:t>
      </w:r>
    </w:p>
    <w:p w14:paraId="3C6B8928" w14:textId="77777777" w:rsidR="000C7DA3" w:rsidRDefault="00482F13">
      <w:pPr>
        <w:numPr>
          <w:ilvl w:val="0"/>
          <w:numId w:val="2"/>
        </w:numPr>
      </w:pPr>
      <w:r>
        <w:rPr>
          <w:b/>
        </w:rPr>
        <w:t>Year 25</w:t>
      </w:r>
      <w:r>
        <w:t>: Approximately 11% of players remain active</w:t>
      </w:r>
    </w:p>
    <w:p w14:paraId="04799582" w14:textId="77777777" w:rsidR="000C7DA3" w:rsidRDefault="00482F13">
      <w:pPr>
        <w:spacing w:after="210"/>
      </w:pPr>
      <w:r>
        <w:rPr>
          <w:rFonts w:eastAsia="Georgia" w:hAnsi="Georgia" w:cs="Georgia"/>
        </w:rPr>
        <w:t>This trajectory reflects natural attrition through retirement, injuries, and competitive performance degradation. The inflection point occurs around year 18–20, consistent with declining physical capabilities and increased retirement risk among aging players.</w:t>
      </w:r>
    </w:p>
    <w:p w14:paraId="476944C3" w14:textId="4069F363" w:rsidR="000C7DA3" w:rsidRDefault="00167FC3">
      <w:r>
        <w:rPr>
          <w:noProof/>
        </w:rPr>
        <w:lastRenderedPageBreak/>
        <w:drawing>
          <wp:inline distT="0" distB="0" distL="0" distR="0" wp14:anchorId="77F1538F" wp14:editId="371F220C">
            <wp:extent cx="5516880" cy="3459480"/>
            <wp:effectExtent l="0" t="0" r="7620" b="7620"/>
            <wp:docPr id="1951991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16880" cy="3459480"/>
                    </a:xfrm>
                    <a:prstGeom prst="rect">
                      <a:avLst/>
                    </a:prstGeom>
                    <a:noFill/>
                    <a:ln>
                      <a:noFill/>
                    </a:ln>
                  </pic:spPr>
                </pic:pic>
              </a:graphicData>
            </a:graphic>
          </wp:inline>
        </w:drawing>
      </w:r>
    </w:p>
    <w:p w14:paraId="2C7FD0F2" w14:textId="4A4954B4" w:rsidR="000C7DA3" w:rsidRDefault="00482F13">
      <w:r>
        <w:t>Figure 1: Overall Kaplan-Meier survival curve. Step-function demonstrates cumulative retirement risk across career duration with steep decline from years 15</w:t>
      </w:r>
      <w:r w:rsidR="00167FC3">
        <w:t>—</w:t>
      </w:r>
      <w:r>
        <w:t>20</w:t>
      </w:r>
      <w:r w:rsidR="00167FC3">
        <w:t xml:space="preserve"> approx</w:t>
      </w:r>
      <w:r>
        <w:t>.</w:t>
      </w:r>
    </w:p>
    <w:p w14:paraId="3E7FA12A" w14:textId="77777777" w:rsidR="000C7DA3" w:rsidRDefault="00482F13">
      <w:pPr>
        <w:spacing w:before="240" w:line="271" w:lineRule="auto"/>
      </w:pPr>
      <w:bookmarkStart w:id="12" w:name="bm_2_2_position_stratified_surviv_658c2f"/>
      <w:r>
        <w:rPr>
          <w:b/>
          <w:sz w:val="33"/>
        </w:rPr>
        <w:t>2.2 Position-Stratified Survival Curves</w:t>
      </w:r>
      <w:bookmarkEnd w:id="12"/>
    </w:p>
    <w:p w14:paraId="4156AC83" w14:textId="77777777" w:rsidR="000C7DA3" w:rsidRDefault="00482F13">
      <w:pPr>
        <w:spacing w:after="210"/>
      </w:pPr>
      <w:r>
        <w:t>Kaplan-Meier curves stratified by playing position reveal position-specific career longevity patterns:</w:t>
      </w:r>
    </w:p>
    <w:p w14:paraId="3524F8C7" w14:textId="77777777" w:rsidR="000C7DA3" w:rsidRDefault="00482F13">
      <w:pPr>
        <w:numPr>
          <w:ilvl w:val="0"/>
          <w:numId w:val="3"/>
        </w:numPr>
      </w:pPr>
      <w:r>
        <w:rPr>
          <w:b/>
        </w:rPr>
        <w:t>Goalkeepers</w:t>
      </w:r>
      <w:r>
        <w:t>: Highest survival probability throughout follow-up. At year 20, approximately 58% remain active (vs. 42% overall average). This 16-percentage-point advantage persists to year 25 (21% vs. 11% overall).</w:t>
      </w:r>
    </w:p>
    <w:p w14:paraId="6668C64E" w14:textId="77777777" w:rsidR="000C7DA3" w:rsidRDefault="00482F13">
      <w:pPr>
        <w:numPr>
          <w:ilvl w:val="0"/>
          <w:numId w:val="3"/>
        </w:numPr>
      </w:pPr>
      <w:r>
        <w:rPr>
          <w:b/>
        </w:rPr>
        <w:t>Defenders</w:t>
      </w:r>
      <w:r>
        <w:t>: Intermediate position. At year 20, approximately 44% remain active, slightly above overall average. Marginal differences relative to overall curve reflect balanced physical demands and experience value.</w:t>
      </w:r>
    </w:p>
    <w:p w14:paraId="5C8C7A46" w14:textId="77777777" w:rsidR="000C7DA3" w:rsidRDefault="00482F13">
      <w:pPr>
        <w:numPr>
          <w:ilvl w:val="0"/>
          <w:numId w:val="3"/>
        </w:numPr>
      </w:pPr>
      <w:r>
        <w:rPr>
          <w:b/>
        </w:rPr>
        <w:t>Midfielders</w:t>
      </w:r>
      <w:r>
        <w:t>: Closely track overall trajectory. At year 20, approximately 41% remain active, reflecting exposure to high-intensity running demands that accelerate age-related performance decline.</w:t>
      </w:r>
    </w:p>
    <w:p w14:paraId="143BA467" w14:textId="77777777" w:rsidR="000C7DA3" w:rsidRDefault="00482F13">
      <w:pPr>
        <w:numPr>
          <w:ilvl w:val="0"/>
          <w:numId w:val="3"/>
        </w:numPr>
      </w:pPr>
      <w:r>
        <w:rPr>
          <w:b/>
        </w:rPr>
        <w:t>Attackers</w:t>
      </w:r>
      <w:r>
        <w:t>: Lowest survival probabilities. At year 20, approximately 36% remain active, with steeper descent indicating velocity-dependent skill erosion. Attackers' dependence on explosive speed, acceleration, and reactive agility creates age-sensitive performance trajectory.</w:t>
      </w:r>
    </w:p>
    <w:p w14:paraId="4F1EB625" w14:textId="77777777" w:rsidR="000C7DA3" w:rsidRDefault="00482F13">
      <w:pPr>
        <w:spacing w:after="210"/>
      </w:pPr>
      <w:r>
        <w:rPr>
          <w:b/>
        </w:rPr>
        <w:t>Key inference</w:t>
      </w:r>
      <w:r>
        <w:rPr>
          <w:rFonts w:eastAsia="Georgia" w:hAnsi="Georgia" w:cs="Georgia"/>
        </w:rPr>
        <w:t>: Position-specific survival curves separate progressively with career time, indicating that positional effects on career longevity amplify in late career (years 15–25) rather than early career (years 0–10). This pattern suggests that elite performers can compensate for age-related decline in early-mid career through experience and positioning, but late-career drops become position-specific when compensation mechanisms are exhausted.</w:t>
      </w:r>
    </w:p>
    <w:p w14:paraId="683E8228" w14:textId="5D3C8D88" w:rsidR="000C7DA3" w:rsidRDefault="00167FC3">
      <w:r>
        <w:rPr>
          <w:b/>
          <w:noProof/>
          <w:sz w:val="42"/>
        </w:rPr>
        <w:lastRenderedPageBreak/>
        <w:drawing>
          <wp:inline distT="0" distB="0" distL="0" distR="0" wp14:anchorId="770E7691" wp14:editId="00E7828E">
            <wp:extent cx="5509260" cy="3474720"/>
            <wp:effectExtent l="0" t="0" r="0" b="0"/>
            <wp:docPr id="17031850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09260" cy="3474720"/>
                    </a:xfrm>
                    <a:prstGeom prst="rect">
                      <a:avLst/>
                    </a:prstGeom>
                    <a:noFill/>
                    <a:ln>
                      <a:noFill/>
                    </a:ln>
                  </pic:spPr>
                </pic:pic>
              </a:graphicData>
            </a:graphic>
          </wp:inline>
        </w:drawing>
      </w:r>
    </w:p>
    <w:p w14:paraId="411414C5" w14:textId="5E08BBB3" w:rsidR="000C7DA3" w:rsidRDefault="00482F13">
      <w:r>
        <w:t xml:space="preserve">Figure 2: </w:t>
      </w:r>
      <w:r w:rsidR="00167FC3">
        <w:t>Box plot</w:t>
      </w:r>
      <w:r>
        <w:t xml:space="preserve"> by playing position. Goalkeepers demonstrate sustained survival advantage across entire follow-up period, while Attackers show earliest and steepest decline.</w:t>
      </w:r>
    </w:p>
    <w:p w14:paraId="3A6D940C" w14:textId="77777777" w:rsidR="000C7DA3" w:rsidRDefault="00482F13">
      <w:pPr>
        <w:spacing w:before="240" w:line="271" w:lineRule="auto"/>
      </w:pPr>
      <w:bookmarkStart w:id="13" w:name="bm_2_3_debut_age_stratified_survi_749ab6"/>
      <w:r>
        <w:rPr>
          <w:b/>
          <w:sz w:val="33"/>
        </w:rPr>
        <w:t>2.3 Debut Age-Stratified Survival Curves</w:t>
      </w:r>
      <w:bookmarkEnd w:id="13"/>
    </w:p>
    <w:p w14:paraId="18D558F8" w14:textId="77777777" w:rsidR="000C7DA3" w:rsidRDefault="00482F13">
      <w:pPr>
        <w:spacing w:after="210"/>
      </w:pPr>
      <w:r>
        <w:rPr>
          <w:rFonts w:eastAsia="Georgia" w:hAnsi="Georgia" w:cs="Georgia"/>
        </w:rPr>
        <w:t>Early debut cohorts (15–18 years) demonstrate sustained survival advantage:</w:t>
      </w:r>
    </w:p>
    <w:p w14:paraId="4BC2D5F2" w14:textId="77777777" w:rsidR="000C7DA3" w:rsidRDefault="00482F13">
      <w:pPr>
        <w:numPr>
          <w:ilvl w:val="0"/>
          <w:numId w:val="4"/>
        </w:numPr>
      </w:pPr>
      <w:r>
        <w:rPr>
          <w:b/>
        </w:rPr>
        <w:t>Year 10</w:t>
      </w:r>
      <w:r>
        <w:rPr>
          <w:rFonts w:eastAsia="Georgia" w:hAnsi="Georgia" w:cs="Georgia"/>
        </w:rPr>
        <w:t>: 15–18 debutants maintain 99% activity; 24–30 debutants at 98%</w:t>
      </w:r>
    </w:p>
    <w:p w14:paraId="0C967311" w14:textId="77777777" w:rsidR="000C7DA3" w:rsidRDefault="00482F13">
      <w:pPr>
        <w:numPr>
          <w:ilvl w:val="0"/>
          <w:numId w:val="4"/>
        </w:numPr>
      </w:pPr>
      <w:r>
        <w:rPr>
          <w:b/>
        </w:rPr>
        <w:t>Year 15</w:t>
      </w:r>
      <w:r>
        <w:rPr>
          <w:rFonts w:eastAsia="Georgia" w:hAnsi="Georgia" w:cs="Georgia"/>
        </w:rPr>
        <w:t>: 15–18 debutants at 92% activity; 24–30 debutants at 79%</w:t>
      </w:r>
    </w:p>
    <w:p w14:paraId="02C917F7" w14:textId="77777777" w:rsidR="000C7DA3" w:rsidRDefault="00482F13">
      <w:pPr>
        <w:numPr>
          <w:ilvl w:val="0"/>
          <w:numId w:val="4"/>
        </w:numPr>
      </w:pPr>
      <w:r>
        <w:rPr>
          <w:b/>
        </w:rPr>
        <w:t>Year 20</w:t>
      </w:r>
      <w:r>
        <w:rPr>
          <w:rFonts w:eastAsia="Georgia" w:hAnsi="Georgia" w:cs="Georgia"/>
        </w:rPr>
        <w:t>: 15–18 debutants at 51% activity; 24–30 debutants at 29%</w:t>
      </w:r>
    </w:p>
    <w:p w14:paraId="77A90876" w14:textId="77777777" w:rsidR="000C7DA3" w:rsidRDefault="00482F13">
      <w:pPr>
        <w:spacing w:after="210"/>
      </w:pPr>
      <w:r>
        <w:rPr>
          <w:rFonts w:eastAsia="Georgia" w:hAnsi="Georgia" w:cs="Georgia"/>
        </w:rPr>
        <w:t>The sustained separation across follow-up indicates that early debut selection captures elite talent trajectories associated with extended competitive windows. Late debutants (24–30 years) experience steeper decline, with only 29% active at year 20 compared to 51% for early debutants—a 22-percentage-point gap reflecting 1.5–</w:t>
      </w:r>
      <w:proofErr w:type="gramStart"/>
      <w:r>
        <w:rPr>
          <w:rFonts w:eastAsia="Georgia" w:hAnsi="Georgia" w:cs="Georgia"/>
        </w:rPr>
        <w:t>2.0 year</w:t>
      </w:r>
      <w:proofErr w:type="gramEnd"/>
      <w:r>
        <w:rPr>
          <w:rFonts w:eastAsia="Georgia" w:hAnsi="Georgia" w:cs="Georgia"/>
        </w:rPr>
        <w:t xml:space="preserve"> equivalent survival disadvantage.</w:t>
      </w:r>
    </w:p>
    <w:p w14:paraId="2AB69DBE" w14:textId="2965ABA7" w:rsidR="000C7DA3" w:rsidRDefault="00167FC3">
      <w:r>
        <w:rPr>
          <w:noProof/>
        </w:rPr>
        <w:lastRenderedPageBreak/>
        <w:drawing>
          <wp:inline distT="0" distB="0" distL="0" distR="0" wp14:anchorId="3C76F817" wp14:editId="3B185CB4">
            <wp:extent cx="5516880" cy="3482340"/>
            <wp:effectExtent l="0" t="0" r="7620" b="3810"/>
            <wp:docPr id="1303712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16880" cy="3482340"/>
                    </a:xfrm>
                    <a:prstGeom prst="rect">
                      <a:avLst/>
                    </a:prstGeom>
                    <a:noFill/>
                    <a:ln>
                      <a:noFill/>
                    </a:ln>
                  </pic:spPr>
                </pic:pic>
              </a:graphicData>
            </a:graphic>
          </wp:inline>
        </w:drawing>
      </w:r>
    </w:p>
    <w:p w14:paraId="3ACE4AC8" w14:textId="7B557114" w:rsidR="000C7DA3" w:rsidRDefault="00482F13">
      <w:r>
        <w:t>Figure 3: Kaplan-Meier survival curves stratified by debut age band. Early debutants (15--18 yrs) maintain distinct survival advantage throughout career, with 22-percentage-point separation at year 20.</w:t>
      </w:r>
    </w:p>
    <w:p w14:paraId="17179C72" w14:textId="77777777" w:rsidR="000C7DA3" w:rsidRDefault="00482F13">
      <w:pPr>
        <w:spacing w:before="240" w:line="271" w:lineRule="auto"/>
      </w:pPr>
      <w:bookmarkStart w:id="14" w:name="bm_2_4_height_group_stratified_su_28898b"/>
      <w:r>
        <w:rPr>
          <w:b/>
          <w:sz w:val="33"/>
        </w:rPr>
        <w:t>2.4 Height Group-Stratified Survival Curves</w:t>
      </w:r>
      <w:bookmarkEnd w:id="14"/>
    </w:p>
    <w:p w14:paraId="7FD98752" w14:textId="77777777" w:rsidR="000C7DA3" w:rsidRDefault="00482F13">
      <w:pPr>
        <w:spacing w:after="210"/>
      </w:pPr>
      <w:r>
        <w:t>Height-stratified Kaplan-Meier curves overlap substantially:</w:t>
      </w:r>
    </w:p>
    <w:p w14:paraId="572940AF" w14:textId="77777777" w:rsidR="000C7DA3" w:rsidRDefault="00482F13">
      <w:pPr>
        <w:numPr>
          <w:ilvl w:val="0"/>
          <w:numId w:val="5"/>
        </w:numPr>
      </w:pPr>
      <w:r>
        <w:rPr>
          <w:rFonts w:eastAsia="Georgia" w:hAnsi="Georgia" w:cs="Georgia"/>
        </w:rPr>
        <w:t>All three groups maintain ≥98% activity through year 10</w:t>
      </w:r>
    </w:p>
    <w:p w14:paraId="64A368FE" w14:textId="77777777" w:rsidR="000C7DA3" w:rsidRDefault="00482F13">
      <w:pPr>
        <w:numPr>
          <w:ilvl w:val="0"/>
          <w:numId w:val="5"/>
        </w:numPr>
      </w:pPr>
      <w:r>
        <w:rPr>
          <w:rFonts w:eastAsia="Georgia" w:hAnsi="Georgia" w:cs="Georgia"/>
        </w:rPr>
        <w:t>Convergence persists through year 15 (88–89% all groups)</w:t>
      </w:r>
    </w:p>
    <w:p w14:paraId="6BFFB5EE" w14:textId="77777777" w:rsidR="000C7DA3" w:rsidRDefault="00482F13">
      <w:pPr>
        <w:numPr>
          <w:ilvl w:val="0"/>
          <w:numId w:val="5"/>
        </w:numPr>
      </w:pPr>
      <w:r>
        <w:rPr>
          <w:rFonts w:eastAsia="Georgia" w:hAnsi="Georgia" w:cs="Georgia"/>
        </w:rPr>
        <w:t>Year 20 survival ranges 41–44% across groups (non-significant differences)</w:t>
      </w:r>
    </w:p>
    <w:p w14:paraId="4BF36D9C" w14:textId="77777777" w:rsidR="000C7DA3" w:rsidRDefault="00482F13">
      <w:pPr>
        <w:numPr>
          <w:ilvl w:val="0"/>
          <w:numId w:val="5"/>
        </w:numPr>
      </w:pPr>
      <w:r>
        <w:rPr>
          <w:rFonts w:eastAsia="Georgia" w:hAnsi="Georgia" w:cs="Georgia"/>
        </w:rPr>
        <w:t>Year 25 survival ranges 10–13% (overlapping confidence intervals)</w:t>
      </w:r>
    </w:p>
    <w:p w14:paraId="54C0E724" w14:textId="77777777" w:rsidR="000C7DA3" w:rsidRDefault="00482F13">
      <w:pPr>
        <w:spacing w:after="210"/>
      </w:pPr>
      <w:r>
        <w:t>The overlapping trajectories confirm that height, as an independent factor, does not substantially modify career hazard. Position-specific physical demands (goalkeeper positioning, defender aerial ability, attacker speed) create height-relevant advantages, but these are captured by the position variable in Cox models.</w:t>
      </w:r>
    </w:p>
    <w:p w14:paraId="07703862" w14:textId="3C4ABE90" w:rsidR="000C7DA3" w:rsidRDefault="00167FC3">
      <w:r>
        <w:rPr>
          <w:noProof/>
        </w:rPr>
        <w:lastRenderedPageBreak/>
        <w:drawing>
          <wp:inline distT="0" distB="0" distL="0" distR="0" wp14:anchorId="1A7D7760" wp14:editId="5A596847">
            <wp:extent cx="5516880" cy="3474720"/>
            <wp:effectExtent l="0" t="0" r="7620" b="0"/>
            <wp:docPr id="741244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6880" cy="3474720"/>
                    </a:xfrm>
                    <a:prstGeom prst="rect">
                      <a:avLst/>
                    </a:prstGeom>
                    <a:noFill/>
                    <a:ln>
                      <a:noFill/>
                    </a:ln>
                  </pic:spPr>
                </pic:pic>
              </a:graphicData>
            </a:graphic>
          </wp:inline>
        </w:drawing>
      </w:r>
    </w:p>
    <w:p w14:paraId="772FB514" w14:textId="330253CB" w:rsidR="000C7DA3" w:rsidRDefault="00482F13">
      <w:r>
        <w:t>Figure 4: Kaplan-Meier survival curves stratified by height group. Highly overlapping curves throughout follow-up confirm minimal independent height effect on career longevity.</w:t>
      </w:r>
    </w:p>
    <w:p w14:paraId="7C42CA48" w14:textId="77777777" w:rsidR="000C7DA3" w:rsidRDefault="00482F13">
      <w:pPr>
        <w:spacing w:before="240" w:line="271" w:lineRule="auto"/>
      </w:pPr>
      <w:bookmarkStart w:id="15" w:name="bm_3_cox_proportional_hazards_regression"/>
      <w:r>
        <w:rPr>
          <w:b/>
          <w:sz w:val="42"/>
        </w:rPr>
        <w:t>3. Cox Proportional Hazards Regression</w:t>
      </w:r>
      <w:bookmarkEnd w:id="15"/>
    </w:p>
    <w:p w14:paraId="29571C7A" w14:textId="77777777" w:rsidR="000C7DA3" w:rsidRDefault="00482F13">
      <w:pPr>
        <w:spacing w:before="240" w:line="271" w:lineRule="auto"/>
      </w:pPr>
      <w:bookmarkStart w:id="16" w:name="bm_3_1_model_specification_and_ti_a20f3e"/>
      <w:r>
        <w:rPr>
          <w:b/>
          <w:sz w:val="33"/>
        </w:rPr>
        <w:t>3.1 Model Specification and Time-Varying Coefficients</w:t>
      </w:r>
      <w:bookmarkEnd w:id="16"/>
    </w:p>
    <w:p w14:paraId="0DEC3297" w14:textId="77777777" w:rsidR="000C7DA3" w:rsidRDefault="00482F13">
      <w:pPr>
        <w:spacing w:after="210"/>
      </w:pPr>
      <w:r>
        <w:rPr>
          <w:rFonts w:eastAsia="Georgia" w:hAnsi="Georgia" w:cs="Georgia"/>
        </w:rPr>
        <w:t xml:space="preserve">Cox models include </w:t>
      </w:r>
      <w:proofErr w:type="spellStart"/>
      <w:r>
        <w:rPr>
          <w:rFonts w:eastAsia="Georgia" w:hAnsi="Georgia" w:cs="Georgia"/>
        </w:rPr>
        <w:t>position_simple</w:t>
      </w:r>
      <w:proofErr w:type="spellEnd"/>
      <w:r>
        <w:rPr>
          <w:rFonts w:eastAsia="Georgia" w:hAnsi="Georgia" w:cs="Georgia"/>
        </w:rPr>
        <w:t xml:space="preserve">, </w:t>
      </w:r>
      <w:proofErr w:type="spellStart"/>
      <w:r>
        <w:rPr>
          <w:rFonts w:eastAsia="Georgia" w:hAnsi="Georgia" w:cs="Georgia"/>
        </w:rPr>
        <w:t>debut_age_num</w:t>
      </w:r>
      <w:proofErr w:type="spellEnd"/>
      <w:r>
        <w:rPr>
          <w:rFonts w:eastAsia="Georgia" w:hAnsi="Georgia" w:cs="Georgia"/>
        </w:rPr>
        <w:t xml:space="preserve">, </w:t>
      </w:r>
      <w:proofErr w:type="spellStart"/>
      <w:r>
        <w:rPr>
          <w:rFonts w:eastAsia="Georgia" w:hAnsi="Georgia" w:cs="Georgia"/>
        </w:rPr>
        <w:t>injury_band</w:t>
      </w:r>
      <w:proofErr w:type="spellEnd"/>
      <w:r>
        <w:rPr>
          <w:rFonts w:eastAsia="Georgia" w:hAnsi="Georgia" w:cs="Georgia"/>
        </w:rPr>
        <w:t xml:space="preserve">, </w:t>
      </w:r>
      <w:proofErr w:type="spellStart"/>
      <w:r>
        <w:rPr>
          <w:rFonts w:eastAsia="Georgia" w:hAnsi="Georgia" w:cs="Georgia"/>
        </w:rPr>
        <w:t>height_group</w:t>
      </w:r>
      <w:proofErr w:type="spellEnd"/>
      <w:r>
        <w:rPr>
          <w:rFonts w:eastAsia="Georgia" w:hAnsi="Georgia" w:cs="Georgia"/>
        </w:rPr>
        <w:t xml:space="preserve">, and </w:t>
      </w:r>
      <w:proofErr w:type="spellStart"/>
      <w:r>
        <w:rPr>
          <w:rFonts w:eastAsia="Georgia" w:hAnsi="Georgia" w:cs="Georgia"/>
        </w:rPr>
        <w:t>total_matches_club</w:t>
      </w:r>
      <w:proofErr w:type="spellEnd"/>
      <w:r>
        <w:rPr>
          <w:rFonts w:eastAsia="Georgia" w:hAnsi="Georgia" w:cs="Georgia"/>
        </w:rPr>
        <w:t xml:space="preserve"> as covariates. Time-varying coefficients β(t) allow hazard ratios to evolve across career duration, capturing whether effects manifest early (debut hazard high) or late (experienced-player resilience).</w:t>
      </w:r>
    </w:p>
    <w:p w14:paraId="395D7C29" w14:textId="77777777" w:rsidR="000C7DA3" w:rsidRDefault="000C7DA3"/>
    <w:p w14:paraId="5270F84D" w14:textId="18C02BD3" w:rsidR="000C7DA3" w:rsidRDefault="00482F13">
      <w:r>
        <w:rPr>
          <w:rFonts w:eastAsia="Georgia" w:hAnsi="Georgia" w:cs="Georgia"/>
          <w:noProof/>
        </w:rPr>
        <w:lastRenderedPageBreak/>
        <w:drawing>
          <wp:inline distT="0" distB="0" distL="0" distR="0" wp14:anchorId="1F5DEAFC" wp14:editId="38B62802">
            <wp:extent cx="5518150" cy="3739573"/>
            <wp:effectExtent l="0" t="0" r="6350" b="0"/>
            <wp:docPr id="8115601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18150" cy="3739573"/>
                    </a:xfrm>
                    <a:prstGeom prst="rect">
                      <a:avLst/>
                    </a:prstGeom>
                    <a:noFill/>
                    <a:ln>
                      <a:noFill/>
                    </a:ln>
                  </pic:spPr>
                </pic:pic>
              </a:graphicData>
            </a:graphic>
          </wp:inline>
        </w:drawing>
      </w:r>
      <w:r>
        <w:rPr>
          <w:rFonts w:eastAsia="Georgia" w:hAnsi="Georgia" w:cs="Georgia"/>
        </w:rPr>
        <w:t xml:space="preserve">Figure 5: Time-varying coefficient β(t) for </w:t>
      </w:r>
      <w:proofErr w:type="spellStart"/>
      <w:r>
        <w:rPr>
          <w:rFonts w:eastAsia="Georgia" w:hAnsi="Georgia" w:cs="Georgia"/>
        </w:rPr>
        <w:t>injury_band</w:t>
      </w:r>
      <w:proofErr w:type="spellEnd"/>
      <w:r>
        <w:rPr>
          <w:rFonts w:eastAsia="Georgia" w:hAnsi="Georgia" w:cs="Georgia"/>
        </w:rPr>
        <w:t>. Injury effects diminish early in career but show protective patterns mid-to-late career, indicating survival bias among injury-resilient players.</w:t>
      </w:r>
    </w:p>
    <w:p w14:paraId="52F27FC8" w14:textId="77777777" w:rsidR="000C7DA3" w:rsidRDefault="00482F13">
      <w:pPr>
        <w:spacing w:before="240" w:line="271" w:lineRule="auto"/>
      </w:pPr>
      <w:bookmarkStart w:id="17" w:name="bm_3_2_injury_band_effects_comple_989909"/>
      <w:r>
        <w:rPr>
          <w:b/>
          <w:sz w:val="33"/>
        </w:rPr>
        <w:t>3.2 Injury Band Effects: Complex Bidirectional Patterns</w:t>
      </w:r>
      <w:bookmarkEnd w:id="17"/>
    </w:p>
    <w:p w14:paraId="3C1D0561" w14:textId="77777777" w:rsidR="000C7DA3" w:rsidRDefault="00482F13">
      <w:pPr>
        <w:spacing w:after="210"/>
      </w:pPr>
      <w:r>
        <w:t>Injury band effects exhibit non-proportional hazards, indicating time-varying impacts:</w:t>
      </w:r>
    </w:p>
    <w:tbl>
      <w:tblPr>
        <w:tblStyle w:val="NormalGrid"/>
        <w:tblW w:w="0" w:type="auto"/>
        <w:jc w:val="center"/>
        <w:tblCellSpacing w:w="0" w:type="dxa"/>
        <w:tblLook w:val="04A0" w:firstRow="1" w:lastRow="0" w:firstColumn="1" w:lastColumn="0" w:noHBand="0" w:noVBand="1"/>
      </w:tblPr>
      <w:tblGrid>
        <w:gridCol w:w="2372"/>
        <w:gridCol w:w="1922"/>
        <w:gridCol w:w="1838"/>
        <w:gridCol w:w="2538"/>
      </w:tblGrid>
      <w:tr w:rsidR="000C7DA3" w14:paraId="5875E7BE"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0643F64" w14:textId="77777777" w:rsidR="000C7DA3" w:rsidRDefault="00482F13">
            <w:r>
              <w:rPr>
                <w:b/>
              </w:rPr>
              <w:t>Injury Band</w:t>
            </w:r>
          </w:p>
        </w:tc>
        <w:tc>
          <w:tcPr>
            <w:tcW w:w="0" w:type="auto"/>
            <w:tcBorders>
              <w:top w:val="single" w:sz="8" w:space="0" w:color="000000"/>
              <w:bottom w:val="single" w:sz="8" w:space="0" w:color="000000"/>
              <w:right w:val="single" w:sz="8" w:space="0" w:color="000000"/>
            </w:tcBorders>
            <w:vAlign w:val="center"/>
          </w:tcPr>
          <w:p w14:paraId="60E0C168" w14:textId="77777777" w:rsidR="000C7DA3" w:rsidRDefault="00482F13">
            <w:pPr>
              <w:jc w:val="center"/>
            </w:pPr>
            <w:r>
              <w:rPr>
                <w:b/>
              </w:rPr>
              <w:t>Early Career HR</w:t>
            </w:r>
          </w:p>
        </w:tc>
        <w:tc>
          <w:tcPr>
            <w:tcW w:w="0" w:type="auto"/>
            <w:tcBorders>
              <w:top w:val="single" w:sz="8" w:space="0" w:color="000000"/>
              <w:bottom w:val="single" w:sz="8" w:space="0" w:color="000000"/>
              <w:right w:val="single" w:sz="8" w:space="0" w:color="000000"/>
            </w:tcBorders>
            <w:vAlign w:val="center"/>
          </w:tcPr>
          <w:p w14:paraId="2968AA12" w14:textId="77777777" w:rsidR="000C7DA3" w:rsidRDefault="00482F13">
            <w:pPr>
              <w:jc w:val="center"/>
            </w:pPr>
            <w:r>
              <w:rPr>
                <w:b/>
              </w:rPr>
              <w:t>Late Career HR</w:t>
            </w:r>
          </w:p>
        </w:tc>
        <w:tc>
          <w:tcPr>
            <w:tcW w:w="0" w:type="auto"/>
            <w:tcBorders>
              <w:top w:val="single" w:sz="8" w:space="0" w:color="000000"/>
              <w:bottom w:val="single" w:sz="8" w:space="0" w:color="000000"/>
              <w:right w:val="single" w:sz="8" w:space="0" w:color="000000"/>
            </w:tcBorders>
            <w:vAlign w:val="center"/>
          </w:tcPr>
          <w:p w14:paraId="2F512E9C" w14:textId="77777777" w:rsidR="000C7DA3" w:rsidRDefault="00482F13">
            <w:pPr>
              <w:jc w:val="center"/>
            </w:pPr>
            <w:r>
              <w:rPr>
                <w:b/>
              </w:rPr>
              <w:t>Interpretation</w:t>
            </w:r>
          </w:p>
        </w:tc>
      </w:tr>
      <w:tr w:rsidR="000C7DA3" w14:paraId="047C1E1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E485265" w14:textId="77777777" w:rsidR="000C7DA3" w:rsidRDefault="00482F13">
            <w:r>
              <w:t>0--4 injuries (reference)</w:t>
            </w:r>
          </w:p>
        </w:tc>
        <w:tc>
          <w:tcPr>
            <w:tcW w:w="0" w:type="auto"/>
            <w:tcBorders>
              <w:bottom w:val="single" w:sz="8" w:space="0" w:color="000000"/>
              <w:right w:val="single" w:sz="8" w:space="0" w:color="000000"/>
            </w:tcBorders>
            <w:vAlign w:val="center"/>
          </w:tcPr>
          <w:p w14:paraId="778DB585" w14:textId="77777777" w:rsidR="000C7DA3" w:rsidRDefault="00482F13">
            <w:pPr>
              <w:jc w:val="center"/>
            </w:pPr>
            <w:r>
              <w:t>1.0</w:t>
            </w:r>
          </w:p>
        </w:tc>
        <w:tc>
          <w:tcPr>
            <w:tcW w:w="0" w:type="auto"/>
            <w:tcBorders>
              <w:bottom w:val="single" w:sz="8" w:space="0" w:color="000000"/>
              <w:right w:val="single" w:sz="8" w:space="0" w:color="000000"/>
            </w:tcBorders>
            <w:vAlign w:val="center"/>
          </w:tcPr>
          <w:p w14:paraId="12799E70" w14:textId="77777777" w:rsidR="000C7DA3" w:rsidRDefault="00482F13">
            <w:pPr>
              <w:jc w:val="center"/>
            </w:pPr>
            <w:r>
              <w:t>1.0</w:t>
            </w:r>
          </w:p>
        </w:tc>
        <w:tc>
          <w:tcPr>
            <w:tcW w:w="0" w:type="auto"/>
            <w:tcBorders>
              <w:bottom w:val="single" w:sz="8" w:space="0" w:color="000000"/>
              <w:right w:val="single" w:sz="8" w:space="0" w:color="000000"/>
            </w:tcBorders>
            <w:vAlign w:val="center"/>
          </w:tcPr>
          <w:p w14:paraId="5EBFF08C" w14:textId="77777777" w:rsidR="000C7DA3" w:rsidRDefault="00482F13">
            <w:pPr>
              <w:jc w:val="center"/>
            </w:pPr>
            <w:r>
              <w:t>Baseline</w:t>
            </w:r>
          </w:p>
        </w:tc>
      </w:tr>
      <w:tr w:rsidR="000C7DA3" w14:paraId="1BB73BF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89B8CDC" w14:textId="77777777" w:rsidR="000C7DA3" w:rsidRDefault="00482F13">
            <w:r>
              <w:t>4--9 injuries</w:t>
            </w:r>
          </w:p>
        </w:tc>
        <w:tc>
          <w:tcPr>
            <w:tcW w:w="0" w:type="auto"/>
            <w:tcBorders>
              <w:bottom w:val="single" w:sz="8" w:space="0" w:color="000000"/>
              <w:right w:val="single" w:sz="8" w:space="0" w:color="000000"/>
            </w:tcBorders>
            <w:vAlign w:val="center"/>
          </w:tcPr>
          <w:p w14:paraId="72779D59" w14:textId="77777777" w:rsidR="000C7DA3" w:rsidRDefault="00482F13">
            <w:pPr>
              <w:jc w:val="center"/>
            </w:pPr>
            <w:r>
              <w:t>0.92</w:t>
            </w:r>
          </w:p>
        </w:tc>
        <w:tc>
          <w:tcPr>
            <w:tcW w:w="0" w:type="auto"/>
            <w:tcBorders>
              <w:bottom w:val="single" w:sz="8" w:space="0" w:color="000000"/>
              <w:right w:val="single" w:sz="8" w:space="0" w:color="000000"/>
            </w:tcBorders>
            <w:vAlign w:val="center"/>
          </w:tcPr>
          <w:p w14:paraId="71DC5FD5" w14:textId="77777777" w:rsidR="000C7DA3" w:rsidRDefault="00482F13">
            <w:pPr>
              <w:jc w:val="center"/>
            </w:pPr>
            <w:r>
              <w:t>0.95</w:t>
            </w:r>
          </w:p>
        </w:tc>
        <w:tc>
          <w:tcPr>
            <w:tcW w:w="0" w:type="auto"/>
            <w:tcBorders>
              <w:bottom w:val="single" w:sz="8" w:space="0" w:color="000000"/>
              <w:right w:val="single" w:sz="8" w:space="0" w:color="000000"/>
            </w:tcBorders>
            <w:vAlign w:val="center"/>
          </w:tcPr>
          <w:p w14:paraId="2E555C00" w14:textId="77777777" w:rsidR="000C7DA3" w:rsidRDefault="00482F13">
            <w:pPr>
              <w:jc w:val="center"/>
            </w:pPr>
            <w:r>
              <w:t>Slight protective effect</w:t>
            </w:r>
          </w:p>
        </w:tc>
      </w:tr>
      <w:tr w:rsidR="000C7DA3" w14:paraId="57B9016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F83ABD9" w14:textId="77777777" w:rsidR="000C7DA3" w:rsidRDefault="00482F13">
            <w:r>
              <w:t>9--56 injuries</w:t>
            </w:r>
          </w:p>
        </w:tc>
        <w:tc>
          <w:tcPr>
            <w:tcW w:w="0" w:type="auto"/>
            <w:tcBorders>
              <w:bottom w:val="single" w:sz="8" w:space="0" w:color="000000"/>
              <w:right w:val="single" w:sz="8" w:space="0" w:color="000000"/>
            </w:tcBorders>
            <w:vAlign w:val="center"/>
          </w:tcPr>
          <w:p w14:paraId="5964841D" w14:textId="77777777" w:rsidR="000C7DA3" w:rsidRDefault="00482F13">
            <w:pPr>
              <w:jc w:val="center"/>
            </w:pPr>
            <w:r>
              <w:t>0.78</w:t>
            </w:r>
          </w:p>
        </w:tc>
        <w:tc>
          <w:tcPr>
            <w:tcW w:w="0" w:type="auto"/>
            <w:tcBorders>
              <w:bottom w:val="single" w:sz="8" w:space="0" w:color="000000"/>
              <w:right w:val="single" w:sz="8" w:space="0" w:color="000000"/>
            </w:tcBorders>
            <w:vAlign w:val="center"/>
          </w:tcPr>
          <w:p w14:paraId="002D360A" w14:textId="77777777" w:rsidR="000C7DA3" w:rsidRDefault="00482F13">
            <w:pPr>
              <w:jc w:val="center"/>
            </w:pPr>
            <w:r>
              <w:t>0.85</w:t>
            </w:r>
          </w:p>
        </w:tc>
        <w:tc>
          <w:tcPr>
            <w:tcW w:w="0" w:type="auto"/>
            <w:tcBorders>
              <w:bottom w:val="single" w:sz="8" w:space="0" w:color="000000"/>
              <w:right w:val="single" w:sz="8" w:space="0" w:color="000000"/>
            </w:tcBorders>
            <w:vAlign w:val="center"/>
          </w:tcPr>
          <w:p w14:paraId="617EC784" w14:textId="77777777" w:rsidR="000C7DA3" w:rsidRDefault="00482F13">
            <w:pPr>
              <w:jc w:val="center"/>
            </w:pPr>
            <w:r>
              <w:t>Stronger resilience signal</w:t>
            </w:r>
          </w:p>
        </w:tc>
      </w:tr>
    </w:tbl>
    <w:p w14:paraId="6F77843D" w14:textId="77777777" w:rsidR="000C7DA3" w:rsidRDefault="000C7DA3"/>
    <w:p w14:paraId="5718FE5C" w14:textId="7853B9E9" w:rsidR="000C7DA3" w:rsidRDefault="00482F13">
      <w:r>
        <w:t>Table 6: Injury Band Hazard Ratios by Career Phase</w:t>
      </w:r>
    </w:p>
    <w:p w14:paraId="68971A18" w14:textId="77777777" w:rsidR="00167FC3" w:rsidRDefault="00167FC3"/>
    <w:p w14:paraId="74E30655" w14:textId="270008CA" w:rsidR="000C7DA3" w:rsidRDefault="00167FC3">
      <w:r>
        <w:rPr>
          <w:noProof/>
        </w:rPr>
        <w:lastRenderedPageBreak/>
        <w:drawing>
          <wp:inline distT="0" distB="0" distL="0" distR="0" wp14:anchorId="475DF277" wp14:editId="7A2BAB33">
            <wp:extent cx="5516880" cy="3489960"/>
            <wp:effectExtent l="0" t="0" r="7620" b="0"/>
            <wp:docPr id="5789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6880" cy="3489960"/>
                    </a:xfrm>
                    <a:prstGeom prst="rect">
                      <a:avLst/>
                    </a:prstGeom>
                    <a:noFill/>
                    <a:ln>
                      <a:noFill/>
                    </a:ln>
                  </pic:spPr>
                </pic:pic>
              </a:graphicData>
            </a:graphic>
          </wp:inline>
        </w:drawing>
      </w:r>
    </w:p>
    <w:p w14:paraId="4D61E1CE" w14:textId="77777777" w:rsidR="00167FC3" w:rsidRDefault="00167FC3">
      <w:pPr>
        <w:rPr>
          <w:rFonts w:eastAsia="Georgia" w:hAnsi="Georgia" w:cs="Georgia"/>
        </w:rPr>
      </w:pPr>
      <w:r>
        <w:rPr>
          <w:rFonts w:eastAsia="Georgia" w:hAnsi="Georgia" w:cs="Georgia"/>
          <w:noProof/>
        </w:rPr>
        <w:drawing>
          <wp:inline distT="0" distB="0" distL="0" distR="0" wp14:anchorId="32BA873D" wp14:editId="1C26E602">
            <wp:extent cx="5518150" cy="3749318"/>
            <wp:effectExtent l="0" t="0" r="6350" b="3810"/>
            <wp:docPr id="13813745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18150" cy="3749318"/>
                    </a:xfrm>
                    <a:prstGeom prst="rect">
                      <a:avLst/>
                    </a:prstGeom>
                    <a:noFill/>
                    <a:ln>
                      <a:noFill/>
                    </a:ln>
                  </pic:spPr>
                </pic:pic>
              </a:graphicData>
            </a:graphic>
          </wp:inline>
        </w:drawing>
      </w:r>
    </w:p>
    <w:p w14:paraId="4476CED5" w14:textId="2BFA3BDF" w:rsidR="000C7DA3" w:rsidRDefault="00482F13">
      <w:r>
        <w:rPr>
          <w:rFonts w:eastAsia="Georgia" w:hAnsi="Georgia" w:cs="Georgia"/>
        </w:rPr>
        <w:t xml:space="preserve">Figure 6: Time-varying coefficient β(t) for </w:t>
      </w:r>
      <w:proofErr w:type="spellStart"/>
      <w:r>
        <w:rPr>
          <w:rFonts w:eastAsia="Georgia" w:hAnsi="Georgia" w:cs="Georgia"/>
        </w:rPr>
        <w:t>total_matches_club</w:t>
      </w:r>
      <w:proofErr w:type="spellEnd"/>
      <w:r>
        <w:rPr>
          <w:rFonts w:eastAsia="Georgia" w:hAnsi="Georgia" w:cs="Georgia"/>
        </w:rPr>
        <w:t>. Negative coefficients indicate protective effects, with diminishing marginal benefit in late career.</w:t>
      </w:r>
    </w:p>
    <w:p w14:paraId="1CE9A735" w14:textId="77777777" w:rsidR="000C7DA3" w:rsidRDefault="00482F13">
      <w:pPr>
        <w:spacing w:after="210"/>
      </w:pPr>
      <w:r>
        <w:rPr>
          <w:b/>
        </w:rPr>
        <w:t>Interpretation</w:t>
      </w:r>
      <w:r>
        <w:t xml:space="preserve">: Counter-intuitively, higher injury counts associate with </w:t>
      </w:r>
      <w:r>
        <w:rPr>
          <w:i/>
        </w:rPr>
        <w:t>lower</w:t>
      </w:r>
      <w:r>
        <w:t xml:space="preserve"> retirement hazards in Cox models. This reflects </w:t>
      </w:r>
      <w:r>
        <w:rPr>
          <w:b/>
        </w:rPr>
        <w:t>survival bias</w:t>
      </w:r>
      <w:r>
        <w:rPr>
          <w:rFonts w:eastAsia="Georgia" w:hAnsi="Georgia" w:cs="Georgia"/>
        </w:rPr>
        <w:t>: players with multiple injuries who remain in elite football form a self-selected resilient cohort. Early exits occur among injury-</w:t>
      </w:r>
      <w:r>
        <w:rPr>
          <w:rFonts w:eastAsia="Georgia" w:hAnsi="Georgia" w:cs="Georgia"/>
        </w:rPr>
        <w:lastRenderedPageBreak/>
        <w:t>vulnerable players, leaving a durable subgroup with high injury counts still active. The weak overall injury-career length correlation (r≈0.16) reflects this composition effect—injury burden matters for risk classification, but injury-resilient survivors outweigh early-exiting vulnerable cohorts in aggregate correlation.</w:t>
      </w:r>
    </w:p>
    <w:p w14:paraId="4AC07053" w14:textId="77777777" w:rsidR="000C7DA3" w:rsidRDefault="00482F13">
      <w:pPr>
        <w:spacing w:after="210"/>
      </w:pPr>
      <w:r>
        <w:t xml:space="preserve">The pattern parallels Premier League findings and demonstrates that injury alone does not predict career termination; rather, </w:t>
      </w:r>
      <w:r>
        <w:rPr>
          <w:i/>
        </w:rPr>
        <w:t>response to injury</w:t>
      </w:r>
      <w:r>
        <w:t xml:space="preserve"> and </w:t>
      </w:r>
      <w:r>
        <w:rPr>
          <w:i/>
        </w:rPr>
        <w:t>residual resilience</w:t>
      </w:r>
      <w:r>
        <w:t xml:space="preserve"> determine outcomes.</w:t>
      </w:r>
    </w:p>
    <w:p w14:paraId="53A1F259" w14:textId="095DF9D4" w:rsidR="000C7DA3" w:rsidRDefault="00167FC3">
      <w:pPr>
        <w:ind w:left="651" w:right="651"/>
        <w:jc w:val="center"/>
      </w:pPr>
      <w:r>
        <w:rPr>
          <w:rFonts w:eastAsia="Georgia" w:hAnsi="Georgia" w:cs="Georgia"/>
          <w:noProof/>
        </w:rPr>
        <w:drawing>
          <wp:inline distT="0" distB="0" distL="0" distR="0" wp14:anchorId="7545F581" wp14:editId="3360C199">
            <wp:extent cx="5518150" cy="3744459"/>
            <wp:effectExtent l="0" t="0" r="6350" b="8890"/>
            <wp:docPr id="1427843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18150" cy="3744459"/>
                    </a:xfrm>
                    <a:prstGeom prst="rect">
                      <a:avLst/>
                    </a:prstGeom>
                    <a:noFill/>
                    <a:ln>
                      <a:noFill/>
                    </a:ln>
                  </pic:spPr>
                </pic:pic>
              </a:graphicData>
            </a:graphic>
          </wp:inline>
        </w:drawing>
      </w:r>
      <w:r w:rsidR="00482F13">
        <w:rPr>
          <w:noProof/>
        </w:rPr>
        <w:drawing>
          <wp:inline distT="0" distB="0" distL="0" distR="0" wp14:anchorId="36650A34" wp14:editId="5D4531F9">
            <wp:extent cx="809625" cy="809625"/>
            <wp:effectExtent l="0" t="0" r="0" b="0"/>
            <wp:docPr id="1" name="image-not-found.png"/>
            <wp:cNvGraphicFramePr/>
            <a:graphic xmlns:a="http://schemas.openxmlformats.org/drawingml/2006/main">
              <a:graphicData uri="http://schemas.openxmlformats.org/drawingml/2006/picture">
                <pic:pic xmlns:pic="http://schemas.openxmlformats.org/drawingml/2006/picture">
                  <pic:nvPicPr>
                    <pic:cNvPr id="1" name="image-not-found.png"/>
                    <pic:cNvPicPr/>
                  </pic:nvPicPr>
                  <pic:blipFill>
                    <a:blip r:embed="rId13" cstate="print"/>
                    <a:srcRect/>
                    <a:stretch>
                      <a:fillRect/>
                    </a:stretch>
                  </pic:blipFill>
                  <pic:spPr>
                    <a:xfrm>
                      <a:off x="0" y="0"/>
                      <a:ext cx="809625" cy="809625"/>
                    </a:xfrm>
                    <a:prstGeom prst="rect">
                      <a:avLst/>
                    </a:prstGeom>
                  </pic:spPr>
                </pic:pic>
              </a:graphicData>
            </a:graphic>
          </wp:inline>
        </w:drawing>
      </w:r>
    </w:p>
    <w:p w14:paraId="06DB2424" w14:textId="07D0FB91" w:rsidR="000C7DA3" w:rsidRDefault="00482F13">
      <w:r>
        <w:rPr>
          <w:rFonts w:eastAsia="Georgia" w:hAnsi="Georgia" w:cs="Georgia"/>
        </w:rPr>
        <w:t xml:space="preserve">Figure 7: Time-varying coefficient β(t) for </w:t>
      </w:r>
      <w:proofErr w:type="spellStart"/>
      <w:r>
        <w:rPr>
          <w:rFonts w:eastAsia="Georgia" w:hAnsi="Georgia" w:cs="Georgia"/>
        </w:rPr>
        <w:t>debut_band</w:t>
      </w:r>
      <w:proofErr w:type="spellEnd"/>
      <w:r>
        <w:rPr>
          <w:rFonts w:eastAsia="Georgia" w:hAnsi="Georgia" w:cs="Georgia"/>
        </w:rPr>
        <w:t>. Early debutants show sustained protective effects (negative β) throughout career, with slight attenuation in very late years due to small risk set.</w:t>
      </w:r>
    </w:p>
    <w:p w14:paraId="20062A75" w14:textId="77777777" w:rsidR="000C7DA3" w:rsidRDefault="00482F13">
      <w:pPr>
        <w:spacing w:before="240" w:line="271" w:lineRule="auto"/>
      </w:pPr>
      <w:bookmarkStart w:id="18" w:name="bm_3_3_height_group_effects_minim_810c7d"/>
      <w:r>
        <w:rPr>
          <w:b/>
          <w:sz w:val="33"/>
        </w:rPr>
        <w:t>3.3 Height Group Effects: Minimal Impact After Position Control</w:t>
      </w:r>
      <w:bookmarkEnd w:id="18"/>
    </w:p>
    <w:p w14:paraId="279798E1" w14:textId="77777777" w:rsidR="000C7DA3" w:rsidRDefault="00482F13">
      <w:pPr>
        <w:spacing w:after="210"/>
      </w:pPr>
      <w:r>
        <w:t>Height group coefficients remain close to zero across follow-up:</w:t>
      </w:r>
    </w:p>
    <w:tbl>
      <w:tblPr>
        <w:tblStyle w:val="NormalGrid"/>
        <w:tblW w:w="0" w:type="auto"/>
        <w:jc w:val="center"/>
        <w:tblCellSpacing w:w="0" w:type="dxa"/>
        <w:tblLook w:val="04A0" w:firstRow="1" w:lastRow="0" w:firstColumn="1" w:lastColumn="0" w:noHBand="0" w:noVBand="1"/>
      </w:tblPr>
      <w:tblGrid>
        <w:gridCol w:w="2581"/>
        <w:gridCol w:w="1778"/>
        <w:gridCol w:w="1283"/>
      </w:tblGrid>
      <w:tr w:rsidR="000C7DA3" w14:paraId="77202B15"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DD0C96D" w14:textId="77777777" w:rsidR="000C7DA3" w:rsidRDefault="00482F13">
            <w:r>
              <w:rPr>
                <w:b/>
              </w:rPr>
              <w:t>Height Group</w:t>
            </w:r>
          </w:p>
        </w:tc>
        <w:tc>
          <w:tcPr>
            <w:tcW w:w="0" w:type="auto"/>
            <w:tcBorders>
              <w:top w:val="single" w:sz="8" w:space="0" w:color="000000"/>
              <w:bottom w:val="single" w:sz="8" w:space="0" w:color="000000"/>
              <w:right w:val="single" w:sz="8" w:space="0" w:color="000000"/>
            </w:tcBorders>
            <w:vAlign w:val="center"/>
          </w:tcPr>
          <w:p w14:paraId="4DCC44B2" w14:textId="77777777" w:rsidR="000C7DA3" w:rsidRDefault="00482F13">
            <w:pPr>
              <w:jc w:val="center"/>
            </w:pPr>
            <w:r>
              <w:rPr>
                <w:b/>
              </w:rPr>
              <w:t>Hazard Ratio</w:t>
            </w:r>
          </w:p>
        </w:tc>
        <w:tc>
          <w:tcPr>
            <w:tcW w:w="0" w:type="auto"/>
            <w:tcBorders>
              <w:top w:val="single" w:sz="8" w:space="0" w:color="000000"/>
              <w:bottom w:val="single" w:sz="8" w:space="0" w:color="000000"/>
              <w:right w:val="single" w:sz="8" w:space="0" w:color="000000"/>
            </w:tcBorders>
            <w:vAlign w:val="center"/>
          </w:tcPr>
          <w:p w14:paraId="3074424C" w14:textId="77777777" w:rsidR="000C7DA3" w:rsidRDefault="00482F13">
            <w:pPr>
              <w:jc w:val="center"/>
            </w:pPr>
            <w:r>
              <w:rPr>
                <w:b/>
              </w:rPr>
              <w:t>95% CI</w:t>
            </w:r>
          </w:p>
        </w:tc>
      </w:tr>
      <w:tr w:rsidR="000C7DA3" w14:paraId="706C729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821BDCA" w14:textId="77777777" w:rsidR="000C7DA3" w:rsidRDefault="00482F13">
            <w:r>
              <w:t>160--178 cm (reference)</w:t>
            </w:r>
          </w:p>
        </w:tc>
        <w:tc>
          <w:tcPr>
            <w:tcW w:w="0" w:type="auto"/>
            <w:tcBorders>
              <w:bottom w:val="single" w:sz="8" w:space="0" w:color="000000"/>
              <w:right w:val="single" w:sz="8" w:space="0" w:color="000000"/>
            </w:tcBorders>
            <w:vAlign w:val="center"/>
          </w:tcPr>
          <w:p w14:paraId="317ABD49" w14:textId="77777777" w:rsidR="000C7DA3" w:rsidRDefault="00482F13">
            <w:pPr>
              <w:jc w:val="center"/>
            </w:pPr>
            <w:r>
              <w:t>1.0</w:t>
            </w:r>
          </w:p>
        </w:tc>
        <w:tc>
          <w:tcPr>
            <w:tcW w:w="0" w:type="auto"/>
            <w:tcBorders>
              <w:bottom w:val="single" w:sz="8" w:space="0" w:color="000000"/>
              <w:right w:val="single" w:sz="8" w:space="0" w:color="000000"/>
            </w:tcBorders>
            <w:vAlign w:val="center"/>
          </w:tcPr>
          <w:p w14:paraId="4CBC5743" w14:textId="77777777" w:rsidR="000C7DA3" w:rsidRDefault="00482F13">
            <w:pPr>
              <w:jc w:val="center"/>
            </w:pPr>
            <w:r>
              <w:rPr>
                <w:rFonts w:eastAsia="Georgia" w:hAnsi="Georgia" w:cs="Georgia"/>
              </w:rPr>
              <w:t>—</w:t>
            </w:r>
          </w:p>
        </w:tc>
      </w:tr>
      <w:tr w:rsidR="000C7DA3" w14:paraId="5FD3230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B74EF1D" w14:textId="77777777" w:rsidR="000C7DA3" w:rsidRDefault="00482F13">
            <w:r>
              <w:lastRenderedPageBreak/>
              <w:t>178--183 cm</w:t>
            </w:r>
          </w:p>
        </w:tc>
        <w:tc>
          <w:tcPr>
            <w:tcW w:w="0" w:type="auto"/>
            <w:tcBorders>
              <w:bottom w:val="single" w:sz="8" w:space="0" w:color="000000"/>
              <w:right w:val="single" w:sz="8" w:space="0" w:color="000000"/>
            </w:tcBorders>
            <w:vAlign w:val="center"/>
          </w:tcPr>
          <w:p w14:paraId="2005E083" w14:textId="77777777" w:rsidR="000C7DA3" w:rsidRDefault="00482F13">
            <w:pPr>
              <w:jc w:val="center"/>
            </w:pPr>
            <w:r>
              <w:t>1.06</w:t>
            </w:r>
          </w:p>
        </w:tc>
        <w:tc>
          <w:tcPr>
            <w:tcW w:w="0" w:type="auto"/>
            <w:tcBorders>
              <w:bottom w:val="single" w:sz="8" w:space="0" w:color="000000"/>
              <w:right w:val="single" w:sz="8" w:space="0" w:color="000000"/>
            </w:tcBorders>
            <w:vAlign w:val="center"/>
          </w:tcPr>
          <w:p w14:paraId="1C82C52D" w14:textId="77777777" w:rsidR="000C7DA3" w:rsidRDefault="00482F13">
            <w:pPr>
              <w:jc w:val="center"/>
            </w:pPr>
            <w:r>
              <w:t>0.93--1.21</w:t>
            </w:r>
          </w:p>
        </w:tc>
      </w:tr>
      <w:tr w:rsidR="000C7DA3" w14:paraId="6FC642A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1F432B7" w14:textId="77777777" w:rsidR="000C7DA3" w:rsidRDefault="00482F13">
            <w:r>
              <w:t>183--200 cm</w:t>
            </w:r>
          </w:p>
        </w:tc>
        <w:tc>
          <w:tcPr>
            <w:tcW w:w="0" w:type="auto"/>
            <w:tcBorders>
              <w:bottom w:val="single" w:sz="8" w:space="0" w:color="000000"/>
              <w:right w:val="single" w:sz="8" w:space="0" w:color="000000"/>
            </w:tcBorders>
            <w:vAlign w:val="center"/>
          </w:tcPr>
          <w:p w14:paraId="504A6887" w14:textId="77777777" w:rsidR="000C7DA3" w:rsidRDefault="00482F13">
            <w:pPr>
              <w:jc w:val="center"/>
            </w:pPr>
            <w:r>
              <w:t>1.03</w:t>
            </w:r>
          </w:p>
        </w:tc>
        <w:tc>
          <w:tcPr>
            <w:tcW w:w="0" w:type="auto"/>
            <w:tcBorders>
              <w:bottom w:val="single" w:sz="8" w:space="0" w:color="000000"/>
              <w:right w:val="single" w:sz="8" w:space="0" w:color="000000"/>
            </w:tcBorders>
            <w:vAlign w:val="center"/>
          </w:tcPr>
          <w:p w14:paraId="5198D8E9" w14:textId="77777777" w:rsidR="000C7DA3" w:rsidRDefault="00482F13">
            <w:pPr>
              <w:jc w:val="center"/>
            </w:pPr>
            <w:r>
              <w:t>0.89--1.19</w:t>
            </w:r>
          </w:p>
        </w:tc>
      </w:tr>
    </w:tbl>
    <w:p w14:paraId="23F6E81E" w14:textId="77777777" w:rsidR="000C7DA3" w:rsidRDefault="000C7DA3"/>
    <w:p w14:paraId="52338144" w14:textId="08ADF0D8" w:rsidR="000C7DA3" w:rsidRDefault="00482F13">
      <w:r>
        <w:t>Table 7: Height Group Hazard Ratios (95% Confidence Intervals)</w:t>
      </w:r>
    </w:p>
    <w:p w14:paraId="1CF2FAA7" w14:textId="77777777" w:rsidR="000C7DA3" w:rsidRDefault="00482F13">
      <w:pPr>
        <w:spacing w:after="210"/>
      </w:pPr>
      <w:r>
        <w:t>Both height groups show hazard ratios close to 1.0 with wide confidence intervals spanning null (HR=1.0). This indicates that height confers minimal independent survival benefit once position is controlled. Position-specific advantages (goalkeeper height for aerial command, defender height for set-piece defense) are captured by position variables in stratified analyses.</w:t>
      </w:r>
    </w:p>
    <w:p w14:paraId="30869031" w14:textId="64DA13A2" w:rsidR="000C7DA3" w:rsidRDefault="00167FC3">
      <w:r>
        <w:rPr>
          <w:rFonts w:eastAsia="Georgia" w:hAnsi="Georgia" w:cs="Georgia"/>
          <w:noProof/>
        </w:rPr>
        <w:drawing>
          <wp:inline distT="0" distB="0" distL="0" distR="0" wp14:anchorId="1D3029A3" wp14:editId="5BBA0863">
            <wp:extent cx="5509260" cy="3741420"/>
            <wp:effectExtent l="0" t="0" r="0" b="0"/>
            <wp:docPr id="19851722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09260" cy="3741420"/>
                    </a:xfrm>
                    <a:prstGeom prst="rect">
                      <a:avLst/>
                    </a:prstGeom>
                    <a:noFill/>
                    <a:ln>
                      <a:noFill/>
                    </a:ln>
                  </pic:spPr>
                </pic:pic>
              </a:graphicData>
            </a:graphic>
          </wp:inline>
        </w:drawing>
      </w:r>
    </w:p>
    <w:p w14:paraId="35567221" w14:textId="36B49DFD" w:rsidR="000C7DA3" w:rsidRDefault="00482F13">
      <w:r>
        <w:rPr>
          <w:rFonts w:eastAsia="Georgia" w:hAnsi="Georgia" w:cs="Georgia"/>
        </w:rPr>
        <w:t xml:space="preserve">Figure 8: Time-varying coefficient β(t) for </w:t>
      </w:r>
      <w:proofErr w:type="spellStart"/>
      <w:r>
        <w:rPr>
          <w:rFonts w:eastAsia="Georgia" w:hAnsi="Georgia" w:cs="Georgia"/>
        </w:rPr>
        <w:t>height_group</w:t>
      </w:r>
      <w:proofErr w:type="spellEnd"/>
      <w:r>
        <w:rPr>
          <w:rFonts w:eastAsia="Georgia" w:hAnsi="Georgia" w:cs="Georgia"/>
        </w:rPr>
        <w:t>. Coefficients remain close to zero throughout career with wide confidence bands, confirming minimal independent height effect.</w:t>
      </w:r>
    </w:p>
    <w:p w14:paraId="50653D05" w14:textId="77777777" w:rsidR="000C7DA3" w:rsidRDefault="00482F13">
      <w:pPr>
        <w:spacing w:before="240" w:line="271" w:lineRule="auto"/>
      </w:pPr>
      <w:bookmarkStart w:id="19" w:name="bm_3_4_debut_age_effects_elite_ta_3faaa9"/>
      <w:r>
        <w:rPr>
          <w:b/>
          <w:sz w:val="33"/>
        </w:rPr>
        <w:t>3.4 Debut Age Effects: Elite Talent Advantage</w:t>
      </w:r>
      <w:bookmarkEnd w:id="19"/>
    </w:p>
    <w:p w14:paraId="56E2CB45" w14:textId="77777777" w:rsidR="000C7DA3" w:rsidRDefault="00482F13">
      <w:pPr>
        <w:spacing w:after="210"/>
      </w:pPr>
      <w:r>
        <w:t>Early professional debut strongly predicts career continuation:</w:t>
      </w:r>
    </w:p>
    <w:tbl>
      <w:tblPr>
        <w:tblStyle w:val="NormalGrid"/>
        <w:tblW w:w="0" w:type="auto"/>
        <w:jc w:val="center"/>
        <w:tblCellSpacing w:w="0" w:type="dxa"/>
        <w:tblLook w:val="04A0" w:firstRow="1" w:lastRow="0" w:firstColumn="1" w:lastColumn="0" w:noHBand="0" w:noVBand="1"/>
      </w:tblPr>
      <w:tblGrid>
        <w:gridCol w:w="2546"/>
        <w:gridCol w:w="1778"/>
        <w:gridCol w:w="1290"/>
      </w:tblGrid>
      <w:tr w:rsidR="000C7DA3" w14:paraId="2F07914A"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59D09D4" w14:textId="77777777" w:rsidR="000C7DA3" w:rsidRDefault="00482F13">
            <w:r>
              <w:rPr>
                <w:b/>
              </w:rPr>
              <w:t>Debut Age Band</w:t>
            </w:r>
          </w:p>
        </w:tc>
        <w:tc>
          <w:tcPr>
            <w:tcW w:w="0" w:type="auto"/>
            <w:tcBorders>
              <w:top w:val="single" w:sz="8" w:space="0" w:color="000000"/>
              <w:bottom w:val="single" w:sz="8" w:space="0" w:color="000000"/>
              <w:right w:val="single" w:sz="8" w:space="0" w:color="000000"/>
            </w:tcBorders>
            <w:vAlign w:val="center"/>
          </w:tcPr>
          <w:p w14:paraId="048EFC36" w14:textId="77777777" w:rsidR="000C7DA3" w:rsidRDefault="00482F13">
            <w:pPr>
              <w:jc w:val="center"/>
            </w:pPr>
            <w:r>
              <w:rPr>
                <w:b/>
              </w:rPr>
              <w:t>Hazard Ratio</w:t>
            </w:r>
          </w:p>
        </w:tc>
        <w:tc>
          <w:tcPr>
            <w:tcW w:w="0" w:type="auto"/>
            <w:tcBorders>
              <w:top w:val="single" w:sz="8" w:space="0" w:color="000000"/>
              <w:bottom w:val="single" w:sz="8" w:space="0" w:color="000000"/>
              <w:right w:val="single" w:sz="8" w:space="0" w:color="000000"/>
            </w:tcBorders>
            <w:vAlign w:val="center"/>
          </w:tcPr>
          <w:p w14:paraId="7C6E5032" w14:textId="77777777" w:rsidR="000C7DA3" w:rsidRDefault="00482F13">
            <w:pPr>
              <w:jc w:val="center"/>
            </w:pPr>
            <w:r>
              <w:rPr>
                <w:b/>
              </w:rPr>
              <w:t>95% CI</w:t>
            </w:r>
          </w:p>
        </w:tc>
      </w:tr>
      <w:tr w:rsidR="000C7DA3" w14:paraId="63A0CB3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05D98ED" w14:textId="77777777" w:rsidR="000C7DA3" w:rsidRDefault="00482F13">
            <w:r>
              <w:t>15--18 years (reference)</w:t>
            </w:r>
          </w:p>
        </w:tc>
        <w:tc>
          <w:tcPr>
            <w:tcW w:w="0" w:type="auto"/>
            <w:tcBorders>
              <w:bottom w:val="single" w:sz="8" w:space="0" w:color="000000"/>
              <w:right w:val="single" w:sz="8" w:space="0" w:color="000000"/>
            </w:tcBorders>
            <w:vAlign w:val="center"/>
          </w:tcPr>
          <w:p w14:paraId="31C09C28" w14:textId="77777777" w:rsidR="000C7DA3" w:rsidRDefault="00482F13">
            <w:pPr>
              <w:jc w:val="center"/>
            </w:pPr>
            <w:r>
              <w:t>1.0</w:t>
            </w:r>
          </w:p>
        </w:tc>
        <w:tc>
          <w:tcPr>
            <w:tcW w:w="0" w:type="auto"/>
            <w:tcBorders>
              <w:bottom w:val="single" w:sz="8" w:space="0" w:color="000000"/>
              <w:right w:val="single" w:sz="8" w:space="0" w:color="000000"/>
            </w:tcBorders>
            <w:vAlign w:val="center"/>
          </w:tcPr>
          <w:p w14:paraId="45337F20" w14:textId="77777777" w:rsidR="000C7DA3" w:rsidRDefault="00482F13">
            <w:pPr>
              <w:jc w:val="center"/>
            </w:pPr>
            <w:r>
              <w:rPr>
                <w:rFonts w:eastAsia="Georgia" w:hAnsi="Georgia" w:cs="Georgia"/>
              </w:rPr>
              <w:t>—</w:t>
            </w:r>
          </w:p>
        </w:tc>
      </w:tr>
      <w:tr w:rsidR="000C7DA3" w14:paraId="0EDEF98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AA1AA1E" w14:textId="77777777" w:rsidR="000C7DA3" w:rsidRDefault="00482F13">
            <w:r>
              <w:t>18--21 years</w:t>
            </w:r>
          </w:p>
        </w:tc>
        <w:tc>
          <w:tcPr>
            <w:tcW w:w="0" w:type="auto"/>
            <w:tcBorders>
              <w:bottom w:val="single" w:sz="8" w:space="0" w:color="000000"/>
              <w:right w:val="single" w:sz="8" w:space="0" w:color="000000"/>
            </w:tcBorders>
            <w:vAlign w:val="center"/>
          </w:tcPr>
          <w:p w14:paraId="17081B44" w14:textId="77777777" w:rsidR="000C7DA3" w:rsidRDefault="00482F13">
            <w:pPr>
              <w:jc w:val="center"/>
            </w:pPr>
            <w:r>
              <w:t>1.31</w:t>
            </w:r>
          </w:p>
        </w:tc>
        <w:tc>
          <w:tcPr>
            <w:tcW w:w="0" w:type="auto"/>
            <w:tcBorders>
              <w:bottom w:val="single" w:sz="8" w:space="0" w:color="000000"/>
              <w:right w:val="single" w:sz="8" w:space="0" w:color="000000"/>
            </w:tcBorders>
            <w:vAlign w:val="center"/>
          </w:tcPr>
          <w:p w14:paraId="2D0AB56E" w14:textId="77777777" w:rsidR="000C7DA3" w:rsidRDefault="00482F13">
            <w:pPr>
              <w:jc w:val="center"/>
            </w:pPr>
            <w:r>
              <w:t>1.12--1.53</w:t>
            </w:r>
          </w:p>
        </w:tc>
      </w:tr>
      <w:tr w:rsidR="000C7DA3" w14:paraId="5F1975C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B169AB7" w14:textId="77777777" w:rsidR="000C7DA3" w:rsidRDefault="00482F13">
            <w:r>
              <w:t>21--24 years</w:t>
            </w:r>
          </w:p>
        </w:tc>
        <w:tc>
          <w:tcPr>
            <w:tcW w:w="0" w:type="auto"/>
            <w:tcBorders>
              <w:bottom w:val="single" w:sz="8" w:space="0" w:color="000000"/>
              <w:right w:val="single" w:sz="8" w:space="0" w:color="000000"/>
            </w:tcBorders>
            <w:vAlign w:val="center"/>
          </w:tcPr>
          <w:p w14:paraId="4D3A1195" w14:textId="77777777" w:rsidR="000C7DA3" w:rsidRDefault="00482F13">
            <w:pPr>
              <w:jc w:val="center"/>
            </w:pPr>
            <w:r>
              <w:t>1.74</w:t>
            </w:r>
          </w:p>
        </w:tc>
        <w:tc>
          <w:tcPr>
            <w:tcW w:w="0" w:type="auto"/>
            <w:tcBorders>
              <w:bottom w:val="single" w:sz="8" w:space="0" w:color="000000"/>
              <w:right w:val="single" w:sz="8" w:space="0" w:color="000000"/>
            </w:tcBorders>
            <w:vAlign w:val="center"/>
          </w:tcPr>
          <w:p w14:paraId="47C15652" w14:textId="77777777" w:rsidR="000C7DA3" w:rsidRDefault="00482F13">
            <w:pPr>
              <w:jc w:val="center"/>
            </w:pPr>
            <w:r>
              <w:t>1.47--2.06</w:t>
            </w:r>
          </w:p>
        </w:tc>
      </w:tr>
      <w:tr w:rsidR="000C7DA3" w14:paraId="0DFCD82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EC86C5E" w14:textId="77777777" w:rsidR="000C7DA3" w:rsidRDefault="00482F13">
            <w:r>
              <w:t>24--30 years</w:t>
            </w:r>
          </w:p>
        </w:tc>
        <w:tc>
          <w:tcPr>
            <w:tcW w:w="0" w:type="auto"/>
            <w:tcBorders>
              <w:bottom w:val="single" w:sz="8" w:space="0" w:color="000000"/>
              <w:right w:val="single" w:sz="8" w:space="0" w:color="000000"/>
            </w:tcBorders>
            <w:vAlign w:val="center"/>
          </w:tcPr>
          <w:p w14:paraId="19F255E0" w14:textId="77777777" w:rsidR="000C7DA3" w:rsidRDefault="00482F13">
            <w:pPr>
              <w:jc w:val="center"/>
            </w:pPr>
            <w:r>
              <w:t>2.38</w:t>
            </w:r>
          </w:p>
        </w:tc>
        <w:tc>
          <w:tcPr>
            <w:tcW w:w="0" w:type="auto"/>
            <w:tcBorders>
              <w:bottom w:val="single" w:sz="8" w:space="0" w:color="000000"/>
              <w:right w:val="single" w:sz="8" w:space="0" w:color="000000"/>
            </w:tcBorders>
            <w:vAlign w:val="center"/>
          </w:tcPr>
          <w:p w14:paraId="00D53271" w14:textId="77777777" w:rsidR="000C7DA3" w:rsidRDefault="00482F13">
            <w:pPr>
              <w:jc w:val="center"/>
            </w:pPr>
            <w:r>
              <w:t>1.80--3.15</w:t>
            </w:r>
          </w:p>
        </w:tc>
      </w:tr>
    </w:tbl>
    <w:p w14:paraId="37FCB4AC" w14:textId="77777777" w:rsidR="000C7DA3" w:rsidRDefault="000C7DA3"/>
    <w:p w14:paraId="74ABF66C" w14:textId="0AE0A452" w:rsidR="000C7DA3" w:rsidRDefault="00482F13">
      <w:r>
        <w:t>Table 8: Debut Age Band Hazard Ratios Relative to 15--18 Years</w:t>
      </w:r>
    </w:p>
    <w:p w14:paraId="04197DC8" w14:textId="77777777" w:rsidR="000C7DA3" w:rsidRDefault="00482F13">
      <w:pPr>
        <w:spacing w:after="210"/>
      </w:pPr>
      <w:r>
        <w:rPr>
          <w:b/>
        </w:rPr>
        <w:t>Gradient interpretation</w:t>
      </w:r>
      <w:r>
        <w:rPr>
          <w:rFonts w:eastAsia="Georgia" w:hAnsi="Georgia" w:cs="Georgia"/>
        </w:rPr>
        <w:t>: Each 3–</w:t>
      </w:r>
      <w:proofErr w:type="gramStart"/>
      <w:r>
        <w:rPr>
          <w:rFonts w:eastAsia="Georgia" w:hAnsi="Georgia" w:cs="Georgia"/>
        </w:rPr>
        <w:t>6 year</w:t>
      </w:r>
      <w:proofErr w:type="gramEnd"/>
      <w:r>
        <w:rPr>
          <w:rFonts w:eastAsia="Georgia" w:hAnsi="Georgia" w:cs="Georgia"/>
        </w:rPr>
        <w:t xml:space="preserve"> delay in debut age increases hazard by 31–138% relative to 15–18 cohort baseline. The linear dose-response relationship indicates elite talent identification at youth levels predicts sustained career duration. Early debutants possess combination of technical mastery (enabling position shifts, tactical adaptation) and organizational investment (injury recovery resources, contract protections) that buffer against age-related decline.</w:t>
      </w:r>
    </w:p>
    <w:p w14:paraId="60FB0E89" w14:textId="77777777" w:rsidR="000C7DA3" w:rsidRDefault="00482F13">
      <w:pPr>
        <w:spacing w:before="240" w:line="271" w:lineRule="auto"/>
      </w:pPr>
      <w:bookmarkStart w:id="20" w:name="bm_3_5_match_exposure_protective_f9f4d9"/>
      <w:r>
        <w:rPr>
          <w:b/>
          <w:sz w:val="33"/>
        </w:rPr>
        <w:t>3.5 Match Exposure: Protective Signal of Organizational Confidence</w:t>
      </w:r>
      <w:bookmarkEnd w:id="20"/>
    </w:p>
    <w:p w14:paraId="1A699668" w14:textId="77777777" w:rsidR="000C7DA3" w:rsidRDefault="00482F13">
      <w:pPr>
        <w:spacing w:after="210"/>
      </w:pPr>
      <w:r>
        <w:t xml:space="preserve">Total club matches </w:t>
      </w:r>
      <w:proofErr w:type="gramStart"/>
      <w:r>
        <w:t>shows</w:t>
      </w:r>
      <w:proofErr w:type="gramEnd"/>
      <w:r>
        <w:t xml:space="preserve"> protective Cox effect:</w:t>
      </w:r>
    </w:p>
    <w:p w14:paraId="5FBBD830" w14:textId="77777777" w:rsidR="000C7DA3" w:rsidRDefault="00482F13">
      <w:pPr>
        <w:numPr>
          <w:ilvl w:val="0"/>
          <w:numId w:val="6"/>
        </w:numPr>
      </w:pPr>
      <w:r>
        <w:rPr>
          <w:b/>
        </w:rPr>
        <w:t>Coefficient</w:t>
      </w:r>
      <w:r>
        <w:rPr>
          <w:rFonts w:eastAsia="Georgia" w:hAnsi="Georgia" w:cs="Georgia"/>
        </w:rPr>
        <w:t>: β ≈ −0.0038 per match</w:t>
      </w:r>
    </w:p>
    <w:p w14:paraId="4461A36C" w14:textId="77777777" w:rsidR="000C7DA3" w:rsidRDefault="00482F13">
      <w:pPr>
        <w:numPr>
          <w:ilvl w:val="0"/>
          <w:numId w:val="6"/>
        </w:numPr>
      </w:pPr>
      <w:r>
        <w:rPr>
          <w:b/>
        </w:rPr>
        <w:t>Hazard Ratio</w:t>
      </w:r>
      <w:r>
        <w:rPr>
          <w:rFonts w:eastAsia="Georgia" w:hAnsi="Georgia" w:cs="Georgia"/>
        </w:rPr>
        <w:t>: HR ≈ 0.9962 per additional match (95% CI: 0.9945–0.9979)</w:t>
      </w:r>
    </w:p>
    <w:p w14:paraId="70C734FB" w14:textId="77777777" w:rsidR="000C7DA3" w:rsidRDefault="00482F13">
      <w:pPr>
        <w:numPr>
          <w:ilvl w:val="0"/>
          <w:numId w:val="6"/>
        </w:numPr>
      </w:pPr>
      <w:r>
        <w:rPr>
          <w:b/>
        </w:rPr>
        <w:t>Clinical significance</w:t>
      </w:r>
      <w:r>
        <w:t>: 100 additional lifetime matches associated with 31% hazard reduction; 500 matches associated with 83% hazard reduction</w:t>
      </w:r>
    </w:p>
    <w:p w14:paraId="25487DB7" w14:textId="77777777" w:rsidR="000C7DA3" w:rsidRDefault="00482F13">
      <w:pPr>
        <w:numPr>
          <w:ilvl w:val="0"/>
          <w:numId w:val="7"/>
        </w:numPr>
      </w:pPr>
      <w:r>
        <w:rPr>
          <w:b/>
        </w:rPr>
        <w:t>Early career protection (years 0--10)</w:t>
      </w:r>
      <w:r>
        <w:t>: High match participation signals organizational confidence, enabling continued competitive opportunities and injury recovery investment.</w:t>
      </w:r>
    </w:p>
    <w:p w14:paraId="690BAB1F" w14:textId="77777777" w:rsidR="000C7DA3" w:rsidRDefault="00482F13">
      <w:pPr>
        <w:numPr>
          <w:ilvl w:val="0"/>
          <w:numId w:val="7"/>
        </w:numPr>
      </w:pPr>
      <w:r>
        <w:rPr>
          <w:b/>
        </w:rPr>
        <w:t>Mid-career plateau (years 10--15)</w:t>
      </w:r>
      <w:r>
        <w:t>: Protective effect persists but with diminishing marginal benefit; established players with high match counts have already demonstrated durability.</w:t>
      </w:r>
    </w:p>
    <w:p w14:paraId="7FB0B5B3" w14:textId="77777777" w:rsidR="000C7DA3" w:rsidRDefault="00482F13">
      <w:pPr>
        <w:numPr>
          <w:ilvl w:val="0"/>
          <w:numId w:val="7"/>
        </w:numPr>
      </w:pPr>
      <w:r>
        <w:rPr>
          <w:b/>
        </w:rPr>
        <w:t>Late career attenuation (years 15+)</w:t>
      </w:r>
      <w:r>
        <w:t>: Marginal match accumulation offers limited incremental survival benefit, suggesting that very long-career survival depends more on intrinsic age-resilience and position-specific factors than on additional match exposure.</w:t>
      </w:r>
    </w:p>
    <w:p w14:paraId="39379461" w14:textId="77777777" w:rsidR="000C7DA3" w:rsidRDefault="00482F13">
      <w:pPr>
        <w:spacing w:after="210"/>
      </w:pPr>
      <w:r>
        <w:rPr>
          <w:b/>
        </w:rPr>
        <w:t>Mechanistic interpretation</w:t>
      </w:r>
      <w:r>
        <w:t>: Match participation functions as both a proximal consequence of organizational confidence (selection feedback loop) and a potential moderator through fitness maintenance and experience accumulation. The time-varying pattern suggests that early-career match consistency matters most for career continuation signals.</w:t>
      </w:r>
    </w:p>
    <w:p w14:paraId="24442CEC" w14:textId="77777777" w:rsidR="000C7DA3" w:rsidRDefault="000C7DA3"/>
    <w:p w14:paraId="667C31D9" w14:textId="255B2630" w:rsidR="000C7DA3" w:rsidRDefault="00167FC3">
      <w:r>
        <w:rPr>
          <w:rFonts w:eastAsia="Georgia" w:hAnsi="Georgia" w:cs="Georgia"/>
          <w:noProof/>
        </w:rPr>
        <w:lastRenderedPageBreak/>
        <w:drawing>
          <wp:inline distT="0" distB="0" distL="0" distR="0" wp14:anchorId="34D4B3D0" wp14:editId="5681A2F3">
            <wp:extent cx="5518150" cy="3742019"/>
            <wp:effectExtent l="0" t="0" r="6350" b="0"/>
            <wp:docPr id="16597567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18150" cy="3742019"/>
                    </a:xfrm>
                    <a:prstGeom prst="rect">
                      <a:avLst/>
                    </a:prstGeom>
                    <a:noFill/>
                    <a:ln>
                      <a:noFill/>
                    </a:ln>
                  </pic:spPr>
                </pic:pic>
              </a:graphicData>
            </a:graphic>
          </wp:inline>
        </w:drawing>
      </w:r>
      <w:r w:rsidR="00482F13">
        <w:rPr>
          <w:rFonts w:eastAsia="Georgia" w:hAnsi="Georgia" w:cs="Georgia"/>
        </w:rPr>
        <w:t xml:space="preserve">Figure 9: Time-varying coefficient β(t) for </w:t>
      </w:r>
      <w:proofErr w:type="spellStart"/>
      <w:r w:rsidR="00482F13">
        <w:rPr>
          <w:rFonts w:eastAsia="Georgia" w:hAnsi="Georgia" w:cs="Georgia"/>
        </w:rPr>
        <w:t>position_simple</w:t>
      </w:r>
      <w:proofErr w:type="spellEnd"/>
      <w:r w:rsidR="00482F13">
        <w:rPr>
          <w:rFonts w:eastAsia="Georgia" w:hAnsi="Georgia" w:cs="Georgia"/>
        </w:rPr>
        <w:t>. Position effects amplify in late career, with Attackers showing steepest hazard increase and Goalkeepers showing most stable, protective profile across career duration.</w:t>
      </w:r>
    </w:p>
    <w:p w14:paraId="4591430C" w14:textId="77777777" w:rsidR="000C7DA3" w:rsidRDefault="00482F13">
      <w:pPr>
        <w:spacing w:before="240" w:line="271" w:lineRule="auto"/>
      </w:pPr>
      <w:bookmarkStart w:id="21" w:name="bm_3_6_position_effects_in_cox_mo_884f0d"/>
      <w:r>
        <w:rPr>
          <w:b/>
          <w:sz w:val="33"/>
        </w:rPr>
        <w:t>3.6 Position Effects in Cox Models: Goalkeeper Advantage Confirmed</w:t>
      </w:r>
      <w:bookmarkEnd w:id="21"/>
    </w:p>
    <w:p w14:paraId="70C60ECE" w14:textId="77777777" w:rsidR="000C7DA3" w:rsidRDefault="00482F13">
      <w:pPr>
        <w:spacing w:after="210"/>
      </w:pPr>
      <w:r>
        <w:t>Adjusted Cox models confirm position-specific hazard profiles:</w:t>
      </w:r>
    </w:p>
    <w:tbl>
      <w:tblPr>
        <w:tblStyle w:val="NormalGrid"/>
        <w:tblW w:w="0" w:type="auto"/>
        <w:jc w:val="center"/>
        <w:tblCellSpacing w:w="0" w:type="dxa"/>
        <w:tblLook w:val="04A0" w:firstRow="1" w:lastRow="0" w:firstColumn="1" w:lastColumn="0" w:noHBand="0" w:noVBand="1"/>
      </w:tblPr>
      <w:tblGrid>
        <w:gridCol w:w="2489"/>
        <w:gridCol w:w="1778"/>
        <w:gridCol w:w="1279"/>
        <w:gridCol w:w="2787"/>
      </w:tblGrid>
      <w:tr w:rsidR="000C7DA3" w14:paraId="1DB4F654"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932E0CE" w14:textId="77777777" w:rsidR="000C7DA3" w:rsidRDefault="00482F13">
            <w:r>
              <w:rPr>
                <w:b/>
              </w:rPr>
              <w:t>Position</w:t>
            </w:r>
          </w:p>
        </w:tc>
        <w:tc>
          <w:tcPr>
            <w:tcW w:w="0" w:type="auto"/>
            <w:tcBorders>
              <w:top w:val="single" w:sz="8" w:space="0" w:color="000000"/>
              <w:bottom w:val="single" w:sz="8" w:space="0" w:color="000000"/>
              <w:right w:val="single" w:sz="8" w:space="0" w:color="000000"/>
            </w:tcBorders>
            <w:vAlign w:val="center"/>
          </w:tcPr>
          <w:p w14:paraId="2FE7354D" w14:textId="77777777" w:rsidR="000C7DA3" w:rsidRDefault="00482F13">
            <w:pPr>
              <w:jc w:val="center"/>
            </w:pPr>
            <w:r>
              <w:rPr>
                <w:b/>
              </w:rPr>
              <w:t>Hazard Ratio</w:t>
            </w:r>
          </w:p>
        </w:tc>
        <w:tc>
          <w:tcPr>
            <w:tcW w:w="0" w:type="auto"/>
            <w:tcBorders>
              <w:top w:val="single" w:sz="8" w:space="0" w:color="000000"/>
              <w:bottom w:val="single" w:sz="8" w:space="0" w:color="000000"/>
              <w:right w:val="single" w:sz="8" w:space="0" w:color="000000"/>
            </w:tcBorders>
            <w:vAlign w:val="center"/>
          </w:tcPr>
          <w:p w14:paraId="53F48531" w14:textId="77777777" w:rsidR="000C7DA3" w:rsidRDefault="00482F13">
            <w:pPr>
              <w:jc w:val="center"/>
            </w:pPr>
            <w:r>
              <w:rPr>
                <w:b/>
              </w:rPr>
              <w:t>95% CI</w:t>
            </w:r>
          </w:p>
        </w:tc>
        <w:tc>
          <w:tcPr>
            <w:tcW w:w="0" w:type="auto"/>
            <w:tcBorders>
              <w:top w:val="single" w:sz="8" w:space="0" w:color="000000"/>
              <w:bottom w:val="single" w:sz="8" w:space="0" w:color="000000"/>
              <w:right w:val="single" w:sz="8" w:space="0" w:color="000000"/>
            </w:tcBorders>
            <w:vAlign w:val="center"/>
          </w:tcPr>
          <w:p w14:paraId="66A687CF" w14:textId="77777777" w:rsidR="000C7DA3" w:rsidRDefault="00482F13">
            <w:pPr>
              <w:jc w:val="center"/>
            </w:pPr>
            <w:r>
              <w:rPr>
                <w:b/>
              </w:rPr>
              <w:t>Career Extension (yrs)</w:t>
            </w:r>
          </w:p>
        </w:tc>
      </w:tr>
      <w:tr w:rsidR="000C7DA3" w14:paraId="3806D4E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25ABE18" w14:textId="77777777" w:rsidR="000C7DA3" w:rsidRDefault="00482F13">
            <w:r>
              <w:t>Goalkeeper (reference)</w:t>
            </w:r>
          </w:p>
        </w:tc>
        <w:tc>
          <w:tcPr>
            <w:tcW w:w="0" w:type="auto"/>
            <w:tcBorders>
              <w:bottom w:val="single" w:sz="8" w:space="0" w:color="000000"/>
              <w:right w:val="single" w:sz="8" w:space="0" w:color="000000"/>
            </w:tcBorders>
            <w:vAlign w:val="center"/>
          </w:tcPr>
          <w:p w14:paraId="2E3B86CC" w14:textId="77777777" w:rsidR="000C7DA3" w:rsidRDefault="00482F13">
            <w:pPr>
              <w:jc w:val="center"/>
            </w:pPr>
            <w:r>
              <w:t>1.0</w:t>
            </w:r>
          </w:p>
        </w:tc>
        <w:tc>
          <w:tcPr>
            <w:tcW w:w="0" w:type="auto"/>
            <w:tcBorders>
              <w:bottom w:val="single" w:sz="8" w:space="0" w:color="000000"/>
              <w:right w:val="single" w:sz="8" w:space="0" w:color="000000"/>
            </w:tcBorders>
            <w:vAlign w:val="center"/>
          </w:tcPr>
          <w:p w14:paraId="3CAEFF0D" w14:textId="77777777" w:rsidR="000C7DA3" w:rsidRDefault="00482F13">
            <w:pPr>
              <w:jc w:val="center"/>
            </w:pPr>
            <w:r>
              <w:rPr>
                <w:rFonts w:eastAsia="Georgia" w:hAnsi="Georgia" w:cs="Georgia"/>
              </w:rPr>
              <w:t>—</w:t>
            </w:r>
          </w:p>
        </w:tc>
        <w:tc>
          <w:tcPr>
            <w:tcW w:w="0" w:type="auto"/>
            <w:tcBorders>
              <w:bottom w:val="single" w:sz="8" w:space="0" w:color="000000"/>
              <w:right w:val="single" w:sz="8" w:space="0" w:color="000000"/>
            </w:tcBorders>
            <w:vAlign w:val="center"/>
          </w:tcPr>
          <w:p w14:paraId="207B5F61" w14:textId="77777777" w:rsidR="000C7DA3" w:rsidRDefault="00482F13">
            <w:pPr>
              <w:jc w:val="center"/>
            </w:pPr>
            <w:r>
              <w:rPr>
                <w:rFonts w:eastAsia="Georgia" w:hAnsi="Georgia" w:cs="Georgia"/>
              </w:rPr>
              <w:t>—</w:t>
            </w:r>
          </w:p>
        </w:tc>
      </w:tr>
      <w:tr w:rsidR="000C7DA3" w14:paraId="7ED3CC1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9231C8D" w14:textId="77777777" w:rsidR="000C7DA3" w:rsidRDefault="00482F13">
            <w:r>
              <w:t>Defender</w:t>
            </w:r>
          </w:p>
        </w:tc>
        <w:tc>
          <w:tcPr>
            <w:tcW w:w="0" w:type="auto"/>
            <w:tcBorders>
              <w:bottom w:val="single" w:sz="8" w:space="0" w:color="000000"/>
              <w:right w:val="single" w:sz="8" w:space="0" w:color="000000"/>
            </w:tcBorders>
            <w:vAlign w:val="center"/>
          </w:tcPr>
          <w:p w14:paraId="530B3D9D" w14:textId="77777777" w:rsidR="000C7DA3" w:rsidRDefault="00482F13">
            <w:pPr>
              <w:jc w:val="center"/>
            </w:pPr>
            <w:r>
              <w:t>1.28</w:t>
            </w:r>
          </w:p>
        </w:tc>
        <w:tc>
          <w:tcPr>
            <w:tcW w:w="0" w:type="auto"/>
            <w:tcBorders>
              <w:bottom w:val="single" w:sz="8" w:space="0" w:color="000000"/>
              <w:right w:val="single" w:sz="8" w:space="0" w:color="000000"/>
            </w:tcBorders>
            <w:vAlign w:val="center"/>
          </w:tcPr>
          <w:p w14:paraId="71479B8E" w14:textId="77777777" w:rsidR="000C7DA3" w:rsidRDefault="00482F13">
            <w:pPr>
              <w:jc w:val="center"/>
            </w:pPr>
            <w:r>
              <w:t>1.09--1.50</w:t>
            </w:r>
          </w:p>
        </w:tc>
        <w:tc>
          <w:tcPr>
            <w:tcW w:w="0" w:type="auto"/>
            <w:tcBorders>
              <w:bottom w:val="single" w:sz="8" w:space="0" w:color="000000"/>
              <w:right w:val="single" w:sz="8" w:space="0" w:color="000000"/>
            </w:tcBorders>
            <w:vAlign w:val="center"/>
          </w:tcPr>
          <w:p w14:paraId="63278986" w14:textId="77777777" w:rsidR="000C7DA3" w:rsidRDefault="00482F13">
            <w:pPr>
              <w:jc w:val="center"/>
            </w:pPr>
            <w:r>
              <w:t>$-$1.5</w:t>
            </w:r>
          </w:p>
        </w:tc>
      </w:tr>
      <w:tr w:rsidR="000C7DA3" w14:paraId="52332CD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E499C92" w14:textId="77777777" w:rsidR="000C7DA3" w:rsidRDefault="00482F13">
            <w:r>
              <w:t>Midfielder</w:t>
            </w:r>
          </w:p>
        </w:tc>
        <w:tc>
          <w:tcPr>
            <w:tcW w:w="0" w:type="auto"/>
            <w:tcBorders>
              <w:bottom w:val="single" w:sz="8" w:space="0" w:color="000000"/>
              <w:right w:val="single" w:sz="8" w:space="0" w:color="000000"/>
            </w:tcBorders>
            <w:vAlign w:val="center"/>
          </w:tcPr>
          <w:p w14:paraId="09085D97" w14:textId="77777777" w:rsidR="000C7DA3" w:rsidRDefault="00482F13">
            <w:pPr>
              <w:jc w:val="center"/>
            </w:pPr>
            <w:r>
              <w:t>1.40</w:t>
            </w:r>
          </w:p>
        </w:tc>
        <w:tc>
          <w:tcPr>
            <w:tcW w:w="0" w:type="auto"/>
            <w:tcBorders>
              <w:bottom w:val="single" w:sz="8" w:space="0" w:color="000000"/>
              <w:right w:val="single" w:sz="8" w:space="0" w:color="000000"/>
            </w:tcBorders>
            <w:vAlign w:val="center"/>
          </w:tcPr>
          <w:p w14:paraId="20FB2773" w14:textId="77777777" w:rsidR="000C7DA3" w:rsidRDefault="00482F13">
            <w:pPr>
              <w:jc w:val="center"/>
            </w:pPr>
            <w:r>
              <w:t>1.18--1.66</w:t>
            </w:r>
          </w:p>
        </w:tc>
        <w:tc>
          <w:tcPr>
            <w:tcW w:w="0" w:type="auto"/>
            <w:tcBorders>
              <w:bottom w:val="single" w:sz="8" w:space="0" w:color="000000"/>
              <w:right w:val="single" w:sz="8" w:space="0" w:color="000000"/>
            </w:tcBorders>
            <w:vAlign w:val="center"/>
          </w:tcPr>
          <w:p w14:paraId="5E252617" w14:textId="77777777" w:rsidR="000C7DA3" w:rsidRDefault="00482F13">
            <w:pPr>
              <w:jc w:val="center"/>
            </w:pPr>
            <w:r>
              <w:t>$-$2.0</w:t>
            </w:r>
          </w:p>
        </w:tc>
      </w:tr>
      <w:tr w:rsidR="000C7DA3" w14:paraId="695B00F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04C81A3" w14:textId="77777777" w:rsidR="000C7DA3" w:rsidRDefault="00482F13">
            <w:r>
              <w:t>Attack</w:t>
            </w:r>
          </w:p>
        </w:tc>
        <w:tc>
          <w:tcPr>
            <w:tcW w:w="0" w:type="auto"/>
            <w:tcBorders>
              <w:bottom w:val="single" w:sz="8" w:space="0" w:color="000000"/>
              <w:right w:val="single" w:sz="8" w:space="0" w:color="000000"/>
            </w:tcBorders>
            <w:vAlign w:val="center"/>
          </w:tcPr>
          <w:p w14:paraId="621606E8" w14:textId="77777777" w:rsidR="000C7DA3" w:rsidRDefault="00482F13">
            <w:pPr>
              <w:jc w:val="center"/>
            </w:pPr>
            <w:r>
              <w:t>1.54</w:t>
            </w:r>
          </w:p>
        </w:tc>
        <w:tc>
          <w:tcPr>
            <w:tcW w:w="0" w:type="auto"/>
            <w:tcBorders>
              <w:bottom w:val="single" w:sz="8" w:space="0" w:color="000000"/>
              <w:right w:val="single" w:sz="8" w:space="0" w:color="000000"/>
            </w:tcBorders>
            <w:vAlign w:val="center"/>
          </w:tcPr>
          <w:p w14:paraId="0213D112" w14:textId="77777777" w:rsidR="000C7DA3" w:rsidRDefault="00482F13">
            <w:pPr>
              <w:jc w:val="center"/>
            </w:pPr>
            <w:r>
              <w:t>1.30--1.82</w:t>
            </w:r>
          </w:p>
        </w:tc>
        <w:tc>
          <w:tcPr>
            <w:tcW w:w="0" w:type="auto"/>
            <w:tcBorders>
              <w:bottom w:val="single" w:sz="8" w:space="0" w:color="000000"/>
              <w:right w:val="single" w:sz="8" w:space="0" w:color="000000"/>
            </w:tcBorders>
            <w:vAlign w:val="center"/>
          </w:tcPr>
          <w:p w14:paraId="4D484A66" w14:textId="77777777" w:rsidR="000C7DA3" w:rsidRDefault="00482F13">
            <w:pPr>
              <w:jc w:val="center"/>
            </w:pPr>
            <w:r>
              <w:t>$-$2.4</w:t>
            </w:r>
          </w:p>
        </w:tc>
      </w:tr>
    </w:tbl>
    <w:p w14:paraId="63423497" w14:textId="77777777" w:rsidR="000C7DA3" w:rsidRDefault="000C7DA3"/>
    <w:p w14:paraId="7DE86BA7" w14:textId="051518EB" w:rsidR="000C7DA3" w:rsidRDefault="00482F13">
      <w:r>
        <w:t>Table 9: Position-Specific Hazard Ratios and Career Extension Estimates</w:t>
      </w:r>
    </w:p>
    <w:p w14:paraId="5876EDF6" w14:textId="77777777" w:rsidR="000C7DA3" w:rsidRDefault="00482F13">
      <w:pPr>
        <w:spacing w:after="210"/>
      </w:pPr>
      <w:r>
        <w:rPr>
          <w:b/>
        </w:rPr>
        <w:t>Key findings</w:t>
      </w:r>
      <w:r>
        <w:t>:</w:t>
      </w:r>
    </w:p>
    <w:p w14:paraId="6593DFCA" w14:textId="77777777" w:rsidR="000C7DA3" w:rsidRDefault="00482F13">
      <w:pPr>
        <w:numPr>
          <w:ilvl w:val="0"/>
          <w:numId w:val="8"/>
        </w:numPr>
      </w:pPr>
      <w:r>
        <w:rPr>
          <w:b/>
        </w:rPr>
        <w:t>Goalkeepers</w:t>
      </w:r>
      <w:r>
        <w:t xml:space="preserve"> represent the most durable position group, with baseline hazard set to 1.0</w:t>
      </w:r>
    </w:p>
    <w:p w14:paraId="74FD3806" w14:textId="77777777" w:rsidR="000C7DA3" w:rsidRDefault="00482F13">
      <w:pPr>
        <w:numPr>
          <w:ilvl w:val="0"/>
          <w:numId w:val="8"/>
        </w:numPr>
      </w:pPr>
      <w:r>
        <w:rPr>
          <w:b/>
        </w:rPr>
        <w:t>Defenders</w:t>
      </w:r>
      <w:r>
        <w:rPr>
          <w:rFonts w:eastAsia="Georgia" w:hAnsi="Georgia" w:cs="Georgia"/>
        </w:rPr>
        <w:t xml:space="preserve"> experience 29% elevated hazard relative to goalkeepers, corresponding to ~</w:t>
      </w:r>
      <w:proofErr w:type="gramStart"/>
      <w:r>
        <w:rPr>
          <w:rFonts w:eastAsia="Georgia" w:hAnsi="Georgia" w:cs="Georgia"/>
        </w:rPr>
        <w:t>1.5 year</w:t>
      </w:r>
      <w:proofErr w:type="gramEnd"/>
      <w:r>
        <w:rPr>
          <w:rFonts w:eastAsia="Georgia" w:hAnsi="Georgia" w:cs="Georgia"/>
        </w:rPr>
        <w:t xml:space="preserve"> career shortening</w:t>
      </w:r>
    </w:p>
    <w:p w14:paraId="315B30BF" w14:textId="77777777" w:rsidR="000C7DA3" w:rsidRDefault="00482F13">
      <w:pPr>
        <w:numPr>
          <w:ilvl w:val="0"/>
          <w:numId w:val="8"/>
        </w:numPr>
      </w:pPr>
      <w:r>
        <w:rPr>
          <w:b/>
        </w:rPr>
        <w:lastRenderedPageBreak/>
        <w:t>Midfielders</w:t>
      </w:r>
      <w:r>
        <w:rPr>
          <w:rFonts w:eastAsia="Georgia" w:hAnsi="Georgia" w:cs="Georgia"/>
        </w:rPr>
        <w:t xml:space="preserve"> experience 42% elevated hazard (~2.0 year shortening)</w:t>
      </w:r>
    </w:p>
    <w:p w14:paraId="1269DEE4" w14:textId="77777777" w:rsidR="000C7DA3" w:rsidRDefault="00482F13">
      <w:pPr>
        <w:numPr>
          <w:ilvl w:val="0"/>
          <w:numId w:val="8"/>
        </w:numPr>
      </w:pPr>
      <w:r>
        <w:rPr>
          <w:b/>
        </w:rPr>
        <w:t>Attackers</w:t>
      </w:r>
      <w:r>
        <w:rPr>
          <w:rFonts w:eastAsia="Georgia" w:hAnsi="Georgia" w:cs="Georgia"/>
        </w:rPr>
        <w:t xml:space="preserve"> experience 56% elevated hazard (~2.4 year shortening)</w:t>
      </w:r>
    </w:p>
    <w:p w14:paraId="02987998" w14:textId="77777777" w:rsidR="000C7DA3" w:rsidRDefault="00482F13">
      <w:pPr>
        <w:spacing w:after="210"/>
      </w:pPr>
      <w:r>
        <w:t>The gradient pattern (Goalkeeper &lt; Defender &lt; Midfielder &lt; Attack) reflects decreasing positional durability aligned with physical intensity and age-sensitivity of role demands. Attackers' dependence on explosive power, reactive speed, and acceleration creates steepest age-related decline; goalkeepers' role stability and experience-dependent skills enable longest careers.</w:t>
      </w:r>
    </w:p>
    <w:p w14:paraId="2E7D6881" w14:textId="77777777" w:rsidR="000C7DA3" w:rsidRDefault="00482F13">
      <w:pPr>
        <w:spacing w:before="240" w:line="271" w:lineRule="auto"/>
      </w:pPr>
      <w:bookmarkStart w:id="22" w:name="bm_4_integrated_interpretation_an_6b6fb5"/>
      <w:r>
        <w:rPr>
          <w:b/>
          <w:sz w:val="42"/>
        </w:rPr>
        <w:t>4. Integrated Interpretation and Strategic Implications</w:t>
      </w:r>
      <w:bookmarkEnd w:id="22"/>
    </w:p>
    <w:p w14:paraId="1C1EDDC2" w14:textId="77777777" w:rsidR="000C7DA3" w:rsidRDefault="00482F13">
      <w:pPr>
        <w:spacing w:before="240" w:line="271" w:lineRule="auto"/>
      </w:pPr>
      <w:bookmarkStart w:id="23" w:name="bm_4_1_the_goalkeeper_longevity_a_de80ac"/>
      <w:r>
        <w:rPr>
          <w:b/>
          <w:sz w:val="33"/>
        </w:rPr>
        <w:t>4.1 The Goalkeeper Longevity Advantage: Mechanism and Impact</w:t>
      </w:r>
      <w:bookmarkEnd w:id="23"/>
    </w:p>
    <w:p w14:paraId="672E0B21" w14:textId="77777777" w:rsidR="000C7DA3" w:rsidRDefault="00482F13">
      <w:pPr>
        <w:spacing w:after="210"/>
      </w:pPr>
      <w:r>
        <w:rPr>
          <w:b/>
        </w:rPr>
        <w:t>Converging evidence</w:t>
      </w:r>
      <w:r>
        <w:t>:</w:t>
      </w:r>
    </w:p>
    <w:p w14:paraId="6C6DDEE8" w14:textId="77777777" w:rsidR="000C7DA3" w:rsidRDefault="00482F13">
      <w:pPr>
        <w:numPr>
          <w:ilvl w:val="0"/>
          <w:numId w:val="9"/>
        </w:numPr>
      </w:pPr>
      <w:r>
        <w:t xml:space="preserve">Descriptive: 17.2 years (goalkeepers) vs. 14.8 years (attackers), </w:t>
      </w:r>
      <w:proofErr w:type="gramStart"/>
      <w:r>
        <w:t>+2.4 year</w:t>
      </w:r>
      <w:proofErr w:type="gramEnd"/>
      <w:r>
        <w:t xml:space="preserve"> difference</w:t>
      </w:r>
    </w:p>
    <w:p w14:paraId="4E0D5607" w14:textId="77777777" w:rsidR="000C7DA3" w:rsidRDefault="00482F13">
      <w:pPr>
        <w:numPr>
          <w:ilvl w:val="0"/>
          <w:numId w:val="9"/>
        </w:numPr>
      </w:pPr>
      <w:r>
        <w:t>Kaplan-Meier: 58% vs. 35% activity at year 20</w:t>
      </w:r>
    </w:p>
    <w:p w14:paraId="70AA2C2C" w14:textId="77777777" w:rsidR="000C7DA3" w:rsidRDefault="00482F13">
      <w:pPr>
        <w:numPr>
          <w:ilvl w:val="0"/>
          <w:numId w:val="9"/>
        </w:numPr>
      </w:pPr>
      <w:r>
        <w:rPr>
          <w:rFonts w:eastAsia="Georgia" w:hAnsi="Georgia" w:cs="Georgia"/>
        </w:rPr>
        <w:t>Cox-adjusted: HR 1.56 for attackers vs. goalkeepers, ~</w:t>
      </w:r>
      <w:proofErr w:type="gramStart"/>
      <w:r>
        <w:rPr>
          <w:rFonts w:eastAsia="Georgia" w:hAnsi="Georgia" w:cs="Georgia"/>
        </w:rPr>
        <w:t>2.4 year</w:t>
      </w:r>
      <w:proofErr w:type="gramEnd"/>
      <w:r>
        <w:rPr>
          <w:rFonts w:eastAsia="Georgia" w:hAnsi="Georgia" w:cs="Georgia"/>
        </w:rPr>
        <w:t xml:space="preserve"> career extension</w:t>
      </w:r>
    </w:p>
    <w:p w14:paraId="4B6D87D3" w14:textId="77777777" w:rsidR="000C7DA3" w:rsidRDefault="00482F13">
      <w:pPr>
        <w:spacing w:after="210"/>
      </w:pPr>
      <w:r>
        <w:rPr>
          <w:b/>
        </w:rPr>
        <w:t>Mechanistic explanations</w:t>
      </w:r>
      <w:r>
        <w:t>:</w:t>
      </w:r>
    </w:p>
    <w:p w14:paraId="44007C99" w14:textId="77777777" w:rsidR="000C7DA3" w:rsidRDefault="00482F13">
      <w:pPr>
        <w:numPr>
          <w:ilvl w:val="0"/>
          <w:numId w:val="10"/>
        </w:numPr>
        <w:spacing w:after="210"/>
      </w:pPr>
      <w:r>
        <w:rPr>
          <w:b/>
        </w:rPr>
        <w:t>Physical Demand Reduction</w:t>
      </w:r>
      <w:r>
        <w:rPr>
          <w:rFonts w:eastAsia="Georgia" w:hAnsi="Georgia" w:cs="Georgia"/>
        </w:rPr>
        <w:t>: Goalkeeping minimizes high-velocity multidirectional movement. Typical goalkeeper match distance 2–4 km vs. 8–12 km for midfielders represents 70–80% reduction in cumulative lower-limb biomechanical stress, decelerating degenerative joint changes.</w:t>
      </w:r>
    </w:p>
    <w:p w14:paraId="61B8D657" w14:textId="77777777" w:rsidR="000C7DA3" w:rsidRDefault="00482F13">
      <w:pPr>
        <w:numPr>
          <w:ilvl w:val="0"/>
          <w:numId w:val="10"/>
        </w:numPr>
        <w:spacing w:after="210"/>
      </w:pPr>
      <w:r>
        <w:rPr>
          <w:b/>
        </w:rPr>
        <w:t>Experience-Dependent Skill Enhancement</w:t>
      </w:r>
      <w:r>
        <w:rPr>
          <w:rFonts w:eastAsia="Georgia" w:hAnsi="Georgia" w:cs="Georgia"/>
        </w:rPr>
        <w:t>: Goalkeeping competency (positioning geometry, distribution accuracy, communication leadership) improves logarithmically with experience through thousands of repetitions. Outfield roles emphasize velocity and acceleration—both declining steeply with age—whereas goalkeeping positioning improves indefinitely.</w:t>
      </w:r>
    </w:p>
    <w:p w14:paraId="0B03C2DE" w14:textId="77777777" w:rsidR="000C7DA3" w:rsidRDefault="00482F13">
      <w:pPr>
        <w:numPr>
          <w:ilvl w:val="0"/>
          <w:numId w:val="10"/>
        </w:numPr>
        <w:spacing w:after="210"/>
      </w:pPr>
      <w:r>
        <w:rPr>
          <w:b/>
        </w:rPr>
        <w:t>Role-Specific Age Compensation</w:t>
      </w:r>
      <w:r>
        <w:rPr>
          <w:rFonts w:eastAsia="Georgia" w:hAnsi="Georgia" w:cs="Georgia"/>
        </w:rPr>
        <w:t>: Aging goalkeepers offset reactive speed decline (reduced by 5–10% per decade after age 30) through superior positioning anticipation, eliminating reflex reliance. Aging attackers cannot similarly compensate; positioning cannot replace lost explosiveness.</w:t>
      </w:r>
    </w:p>
    <w:p w14:paraId="2A576A69" w14:textId="77777777" w:rsidR="000C7DA3" w:rsidRDefault="00482F13">
      <w:pPr>
        <w:numPr>
          <w:ilvl w:val="0"/>
          <w:numId w:val="10"/>
        </w:numPr>
        <w:spacing w:after="210"/>
      </w:pPr>
      <w:r>
        <w:rPr>
          <w:b/>
        </w:rPr>
        <w:t>Organizational Investment</w:t>
      </w:r>
      <w:r>
        <w:rPr>
          <w:rFonts w:eastAsia="Georgia" w:hAnsi="Georgia" w:cs="Georgia"/>
        </w:rPr>
        <w:t>: Elite clubs prioritize goalkeeper succession planning early, extending playing windows to optimize multi-decade development timelines. Outfield player succession occurs more rapidly (2–</w:t>
      </w:r>
      <w:proofErr w:type="gramStart"/>
      <w:r>
        <w:rPr>
          <w:rFonts w:eastAsia="Georgia" w:hAnsi="Georgia" w:cs="Georgia"/>
        </w:rPr>
        <w:t>3 year</w:t>
      </w:r>
      <w:proofErr w:type="gramEnd"/>
      <w:r>
        <w:rPr>
          <w:rFonts w:eastAsia="Georgia" w:hAnsi="Georgia" w:cs="Georgia"/>
        </w:rPr>
        <w:t xml:space="preserve"> windows), creating organizational pressure for earlier retirement.</w:t>
      </w:r>
    </w:p>
    <w:p w14:paraId="7699F49D" w14:textId="77777777" w:rsidR="000C7DA3" w:rsidRDefault="00482F13">
      <w:pPr>
        <w:spacing w:after="210"/>
      </w:pPr>
      <w:r>
        <w:rPr>
          <w:b/>
        </w:rPr>
        <w:t>Strategic implication for LaLiga clubs</w:t>
      </w:r>
      <w:r>
        <w:t>: Goalkeeper career value extends substantially beyond outfield contracts. Long-term organizational strategy should prioritize:</w:t>
      </w:r>
    </w:p>
    <w:p w14:paraId="0B4A2D44" w14:textId="77777777" w:rsidR="000C7DA3" w:rsidRDefault="00482F13">
      <w:pPr>
        <w:numPr>
          <w:ilvl w:val="0"/>
          <w:numId w:val="11"/>
        </w:numPr>
      </w:pPr>
      <w:r>
        <w:rPr>
          <w:rFonts w:eastAsia="Georgia" w:hAnsi="Georgia" w:cs="Georgia"/>
        </w:rPr>
        <w:t>Extended playing windows for high-performing goalkeepers (years 18–24 of career viable)</w:t>
      </w:r>
    </w:p>
    <w:p w14:paraId="37B7317E" w14:textId="77777777" w:rsidR="000C7DA3" w:rsidRDefault="00482F13">
      <w:pPr>
        <w:numPr>
          <w:ilvl w:val="0"/>
          <w:numId w:val="11"/>
        </w:numPr>
      </w:pPr>
      <w:r>
        <w:rPr>
          <w:rFonts w:eastAsia="Georgia" w:hAnsi="Georgia" w:cs="Georgia"/>
        </w:rPr>
        <w:t>Youth goalkeeper development timelines targeting 15–</w:t>
      </w:r>
      <w:proofErr w:type="gramStart"/>
      <w:r>
        <w:rPr>
          <w:rFonts w:eastAsia="Georgia" w:hAnsi="Georgia" w:cs="Georgia"/>
        </w:rPr>
        <w:t>20 year</w:t>
      </w:r>
      <w:proofErr w:type="gramEnd"/>
      <w:r>
        <w:rPr>
          <w:rFonts w:eastAsia="Georgia" w:hAnsi="Georgia" w:cs="Georgia"/>
        </w:rPr>
        <w:t xml:space="preserve"> elite tenures</w:t>
      </w:r>
    </w:p>
    <w:p w14:paraId="09F27390" w14:textId="77777777" w:rsidR="000C7DA3" w:rsidRDefault="00482F13">
      <w:pPr>
        <w:numPr>
          <w:ilvl w:val="0"/>
          <w:numId w:val="11"/>
        </w:numPr>
      </w:pPr>
      <w:r>
        <w:lastRenderedPageBreak/>
        <w:t>Succession planning initiated at year 15+ rather than year 10+</w:t>
      </w:r>
    </w:p>
    <w:p w14:paraId="3548050C" w14:textId="77777777" w:rsidR="000C7DA3" w:rsidRDefault="00482F13">
      <w:pPr>
        <w:numPr>
          <w:ilvl w:val="0"/>
          <w:numId w:val="11"/>
        </w:numPr>
      </w:pPr>
      <w:r>
        <w:rPr>
          <w:rFonts w:eastAsia="Georgia" w:hAnsi="Georgia" w:cs="Georgia"/>
        </w:rPr>
        <w:t>Goalkeeper-specific injury prevention (shoulder, knee) as investment in 3–</w:t>
      </w:r>
      <w:proofErr w:type="gramStart"/>
      <w:r>
        <w:rPr>
          <w:rFonts w:eastAsia="Georgia" w:hAnsi="Georgia" w:cs="Georgia"/>
        </w:rPr>
        <w:t>5 year</w:t>
      </w:r>
      <w:proofErr w:type="gramEnd"/>
      <w:r>
        <w:rPr>
          <w:rFonts w:eastAsia="Georgia" w:hAnsi="Georgia" w:cs="Georgia"/>
        </w:rPr>
        <w:t xml:space="preserve"> career extensions</w:t>
      </w:r>
    </w:p>
    <w:p w14:paraId="26F67DDE" w14:textId="77777777" w:rsidR="000C7DA3" w:rsidRDefault="00482F13">
      <w:pPr>
        <w:spacing w:before="240" w:line="271" w:lineRule="auto"/>
      </w:pPr>
      <w:bookmarkStart w:id="24" w:name="bm_4_2_early_professional_debut_e_c44e67"/>
      <w:r>
        <w:rPr>
          <w:b/>
          <w:sz w:val="33"/>
        </w:rPr>
        <w:t>4.2 Early Professional Debut: Elite Talent Selection, Not Burnout Risk</w:t>
      </w:r>
      <w:bookmarkEnd w:id="24"/>
    </w:p>
    <w:p w14:paraId="594785B0" w14:textId="77777777" w:rsidR="000C7DA3" w:rsidRDefault="00482F13">
      <w:pPr>
        <w:spacing w:after="210"/>
      </w:pPr>
      <w:r>
        <w:rPr>
          <w:b/>
        </w:rPr>
        <w:t>Evidence against burnout hypothesis</w:t>
      </w:r>
      <w:r>
        <w:t>:</w:t>
      </w:r>
    </w:p>
    <w:p w14:paraId="27E09B30" w14:textId="77777777" w:rsidR="000C7DA3" w:rsidRDefault="00482F13">
      <w:pPr>
        <w:numPr>
          <w:ilvl w:val="0"/>
          <w:numId w:val="12"/>
        </w:numPr>
      </w:pPr>
      <w:r>
        <w:rPr>
          <w:rFonts w:eastAsia="Georgia" w:hAnsi="Georgia" w:cs="Georgia"/>
        </w:rPr>
        <w:t xml:space="preserve">Early debutants (15–18 years) average 16.8 years vs. late debutants (24–30 years) 12.8 years—a </w:t>
      </w:r>
      <w:proofErr w:type="gramStart"/>
      <w:r>
        <w:rPr>
          <w:rFonts w:eastAsia="Georgia" w:hAnsi="Georgia" w:cs="Georgia"/>
        </w:rPr>
        <w:t>4.0 year</w:t>
      </w:r>
      <w:proofErr w:type="gramEnd"/>
      <w:r>
        <w:rPr>
          <w:rFonts w:eastAsia="Georgia" w:hAnsi="Georgia" w:cs="Georgia"/>
        </w:rPr>
        <w:t xml:space="preserve"> </w:t>
      </w:r>
      <w:r>
        <w:rPr>
          <w:i/>
        </w:rPr>
        <w:t>extension</w:t>
      </w:r>
      <w:r>
        <w:t>, not shortening</w:t>
      </w:r>
    </w:p>
    <w:p w14:paraId="6EAE49A4" w14:textId="77777777" w:rsidR="000C7DA3" w:rsidRDefault="00482F13">
      <w:pPr>
        <w:numPr>
          <w:ilvl w:val="0"/>
          <w:numId w:val="12"/>
        </w:numPr>
      </w:pPr>
      <w:r>
        <w:rPr>
          <w:rFonts w:eastAsia="Georgia" w:hAnsi="Georgia" w:cs="Georgia"/>
        </w:rPr>
        <w:t>Active rates 44% vs. 28%—indicating sustained competitive viability, not early exit</w:t>
      </w:r>
    </w:p>
    <w:p w14:paraId="2F4C042D" w14:textId="77777777" w:rsidR="000C7DA3" w:rsidRDefault="00482F13">
      <w:pPr>
        <w:numPr>
          <w:ilvl w:val="0"/>
          <w:numId w:val="12"/>
        </w:numPr>
      </w:pPr>
      <w:r>
        <w:rPr>
          <w:rFonts w:eastAsia="Georgia" w:hAnsi="Georgia" w:cs="Georgia"/>
        </w:rPr>
        <w:t xml:space="preserve">Cox adjusted HR 2.45 for late vs. early debutants—late debut substantially </w:t>
      </w:r>
      <w:r>
        <w:rPr>
          <w:i/>
        </w:rPr>
        <w:t>increases</w:t>
      </w:r>
      <w:r>
        <w:t xml:space="preserve"> retirement hazard</w:t>
      </w:r>
    </w:p>
    <w:p w14:paraId="124905E5" w14:textId="77777777" w:rsidR="000C7DA3" w:rsidRDefault="00482F13">
      <w:pPr>
        <w:spacing w:after="210"/>
      </w:pPr>
      <w:r>
        <w:rPr>
          <w:b/>
        </w:rPr>
        <w:t>Interpretation</w:t>
      </w:r>
      <w:r>
        <w:rPr>
          <w:rFonts w:eastAsia="Georgia" w:hAnsi="Georgia" w:cs="Georgia"/>
        </w:rPr>
        <w:t>: Early professional debut signals elite talent selection through competitive environment. Academies and youth development systems identify 15–</w:t>
      </w:r>
      <w:proofErr w:type="gramStart"/>
      <w:r>
        <w:rPr>
          <w:rFonts w:eastAsia="Georgia" w:hAnsi="Georgia" w:cs="Georgia"/>
        </w:rPr>
        <w:t>18 year-olds</w:t>
      </w:r>
      <w:proofErr w:type="gramEnd"/>
      <w:r>
        <w:rPr>
          <w:rFonts w:eastAsia="Georgia" w:hAnsi="Georgia" w:cs="Georgia"/>
        </w:rPr>
        <w:t xml:space="preserve"> for top-tier potential, providing:</w:t>
      </w:r>
    </w:p>
    <w:p w14:paraId="1673E9FA" w14:textId="77777777" w:rsidR="000C7DA3" w:rsidRDefault="00482F13">
      <w:pPr>
        <w:numPr>
          <w:ilvl w:val="0"/>
          <w:numId w:val="13"/>
        </w:numPr>
      </w:pPr>
      <w:r>
        <w:t>Technical mastery enabling tactical flexibility and position evolution</w:t>
      </w:r>
    </w:p>
    <w:p w14:paraId="77E3CFBE" w14:textId="77777777" w:rsidR="000C7DA3" w:rsidRDefault="00482F13">
      <w:pPr>
        <w:numPr>
          <w:ilvl w:val="0"/>
          <w:numId w:val="13"/>
        </w:numPr>
      </w:pPr>
      <w:r>
        <w:t>Organizational investment in injury recovery resources</w:t>
      </w:r>
    </w:p>
    <w:p w14:paraId="79A5A781" w14:textId="77777777" w:rsidR="000C7DA3" w:rsidRDefault="00482F13">
      <w:pPr>
        <w:numPr>
          <w:ilvl w:val="0"/>
          <w:numId w:val="13"/>
        </w:numPr>
      </w:pPr>
      <w:r>
        <w:t>Psychological resilience through early adversity exposure</w:t>
      </w:r>
    </w:p>
    <w:p w14:paraId="6317E6E3" w14:textId="77777777" w:rsidR="000C7DA3" w:rsidRDefault="00482F13">
      <w:pPr>
        <w:numPr>
          <w:ilvl w:val="0"/>
          <w:numId w:val="13"/>
        </w:numPr>
      </w:pPr>
      <w:r>
        <w:t>Contract protections and salary stability enabling career continuation</w:t>
      </w:r>
    </w:p>
    <w:p w14:paraId="27018961" w14:textId="77777777" w:rsidR="000C7DA3" w:rsidRDefault="00482F13">
      <w:pPr>
        <w:spacing w:after="210"/>
      </w:pPr>
      <w:r>
        <w:rPr>
          <w:rFonts w:eastAsia="Georgia" w:hAnsi="Georgia" w:cs="Georgia"/>
        </w:rPr>
        <w:t>Late debutants (24–30 years) represent alternative career pathways (late bloomers, non-elite academy pathways) with shorter windows. Their early retirement likely reflects limited organizational investment in development and less technical versatility for aging-related skill compensation.</w:t>
      </w:r>
    </w:p>
    <w:p w14:paraId="01000BD5" w14:textId="77777777" w:rsidR="000C7DA3" w:rsidRDefault="00482F13">
      <w:pPr>
        <w:spacing w:after="210"/>
      </w:pPr>
      <w:r>
        <w:rPr>
          <w:b/>
        </w:rPr>
        <w:t>Strategic implication</w:t>
      </w:r>
      <w:r>
        <w:t>: Academy investment and early elite pathway identification represent evidence-based career-extension strategies, not burnout risks. LaLiga clubs should continue investing in youth talent pathways while managing transition loads (gradual elite play progression from U-17 to U-21 to first-team).</w:t>
      </w:r>
    </w:p>
    <w:p w14:paraId="79D2A9B1" w14:textId="77777777" w:rsidR="000C7DA3" w:rsidRDefault="00482F13">
      <w:pPr>
        <w:spacing w:before="240" w:line="271" w:lineRule="auto"/>
      </w:pPr>
      <w:bookmarkStart w:id="25" w:name="bm_4_3_injury_as_a_classification_312921"/>
      <w:r>
        <w:rPr>
          <w:b/>
          <w:sz w:val="33"/>
        </w:rPr>
        <w:t xml:space="preserve">4.3 Injury as a Classification Signal, </w:t>
      </w:r>
      <w:proofErr w:type="gramStart"/>
      <w:r>
        <w:rPr>
          <w:b/>
          <w:sz w:val="33"/>
        </w:rPr>
        <w:t>Not</w:t>
      </w:r>
      <w:proofErr w:type="gramEnd"/>
      <w:r>
        <w:rPr>
          <w:b/>
          <w:sz w:val="33"/>
        </w:rPr>
        <w:t xml:space="preserve"> a Determinant</w:t>
      </w:r>
      <w:bookmarkEnd w:id="25"/>
    </w:p>
    <w:p w14:paraId="21C4D7CD" w14:textId="77777777" w:rsidR="000C7DA3" w:rsidRDefault="00482F13">
      <w:pPr>
        <w:spacing w:after="210"/>
      </w:pPr>
      <w:r>
        <w:rPr>
          <w:b/>
        </w:rPr>
        <w:t>Paradox resolution</w:t>
      </w:r>
      <w:r>
        <w:rPr>
          <w:rFonts w:eastAsia="Georgia" w:hAnsi="Georgia" w:cs="Georgia"/>
        </w:rPr>
        <w:t xml:space="preserve">: Weak overall correlation (r≈0.18) combined with Cox protective effects (HR 0.74–0.92) reflects </w:t>
      </w:r>
      <w:r>
        <w:rPr>
          <w:b/>
        </w:rPr>
        <w:t>survivorship bias</w:t>
      </w:r>
      <w:r>
        <w:t>.</w:t>
      </w:r>
    </w:p>
    <w:p w14:paraId="17979317" w14:textId="77777777" w:rsidR="000C7DA3" w:rsidRDefault="00482F13">
      <w:pPr>
        <w:numPr>
          <w:ilvl w:val="0"/>
          <w:numId w:val="14"/>
        </w:numPr>
      </w:pPr>
      <w:r>
        <w:rPr>
          <w:b/>
        </w:rPr>
        <w:t>Early exits</w:t>
      </w:r>
      <w:r>
        <w:rPr>
          <w:rFonts w:eastAsia="Georgia" w:hAnsi="Georgia" w:cs="Georgia"/>
        </w:rPr>
        <w:t>: Injury-vulnerable players exit early (Years 1–5) if injury response is poor, removing them from survivor cohort</w:t>
      </w:r>
    </w:p>
    <w:p w14:paraId="2CF29500" w14:textId="77777777" w:rsidR="000C7DA3" w:rsidRDefault="00482F13">
      <w:pPr>
        <w:numPr>
          <w:ilvl w:val="0"/>
          <w:numId w:val="14"/>
        </w:numPr>
      </w:pPr>
      <w:r>
        <w:rPr>
          <w:b/>
        </w:rPr>
        <w:t>Resilient survivors</w:t>
      </w:r>
      <w:r>
        <w:rPr>
          <w:rFonts w:eastAsia="Georgia" w:hAnsi="Georgia" w:cs="Georgia"/>
        </w:rPr>
        <w:t>: Players reaching years 5–10+ with high injury counts demonstrate exceptional durability, creating self-selected high-resilience cohort</w:t>
      </w:r>
    </w:p>
    <w:p w14:paraId="714AEAF4" w14:textId="77777777" w:rsidR="000C7DA3" w:rsidRDefault="00482F13">
      <w:pPr>
        <w:numPr>
          <w:ilvl w:val="0"/>
          <w:numId w:val="14"/>
        </w:numPr>
      </w:pPr>
      <w:r>
        <w:rPr>
          <w:b/>
        </w:rPr>
        <w:t>Net correlation</w:t>
      </w:r>
      <w:r>
        <w:t>: Vulnerable early-</w:t>
      </w:r>
      <w:proofErr w:type="spellStart"/>
      <w:r>
        <w:t>exiters</w:t>
      </w:r>
      <w:proofErr w:type="spellEnd"/>
      <w:r>
        <w:t xml:space="preserve"> + resilient survivors = weak net correlation</w:t>
      </w:r>
    </w:p>
    <w:p w14:paraId="62247731" w14:textId="77777777" w:rsidR="000C7DA3" w:rsidRDefault="00482F13">
      <w:pPr>
        <w:spacing w:after="210"/>
      </w:pPr>
      <w:r>
        <w:rPr>
          <w:b/>
        </w:rPr>
        <w:t>Clinical implication</w:t>
      </w:r>
      <w:r>
        <w:t xml:space="preserve">: Injury history should inform </w:t>
      </w:r>
      <w:r>
        <w:rPr>
          <w:i/>
        </w:rPr>
        <w:t>risk classification</w:t>
      </w:r>
      <w:r>
        <w:t>, not career termination predictions. High-injury players warrant:</w:t>
      </w:r>
    </w:p>
    <w:p w14:paraId="2BFD8A03" w14:textId="77777777" w:rsidR="000C7DA3" w:rsidRDefault="00482F13">
      <w:pPr>
        <w:numPr>
          <w:ilvl w:val="0"/>
          <w:numId w:val="15"/>
        </w:numPr>
      </w:pPr>
      <w:r>
        <w:lastRenderedPageBreak/>
        <w:t>Enhanced injury prevention protocols (neuromuscular training, load management)</w:t>
      </w:r>
    </w:p>
    <w:p w14:paraId="38A46E8E" w14:textId="77777777" w:rsidR="000C7DA3" w:rsidRDefault="00482F13">
      <w:pPr>
        <w:numPr>
          <w:ilvl w:val="0"/>
          <w:numId w:val="15"/>
        </w:numPr>
      </w:pPr>
      <w:r>
        <w:t>Rapid rehabilitation timelines (enabling organizational confidence maintenance)</w:t>
      </w:r>
    </w:p>
    <w:p w14:paraId="173212C8" w14:textId="77777777" w:rsidR="000C7DA3" w:rsidRDefault="00482F13">
      <w:pPr>
        <w:numPr>
          <w:ilvl w:val="0"/>
          <w:numId w:val="15"/>
        </w:numPr>
      </w:pPr>
      <w:r>
        <w:t>Role modification for late-career players (reduced high-intensity exposure)</w:t>
      </w:r>
    </w:p>
    <w:p w14:paraId="77074A49" w14:textId="77777777" w:rsidR="000C7DA3" w:rsidRDefault="00482F13">
      <w:pPr>
        <w:spacing w:after="210"/>
      </w:pPr>
      <w:r>
        <w:rPr>
          <w:b/>
        </w:rPr>
        <w:t>Organizational strategy</w:t>
      </w:r>
      <w:r>
        <w:t>: Clubs with strong injury prevention and rehabilitation programs can retain high-injury players, creating competitive advantage through superior player durability. The fact that some players reach 56+ career injuries while maintaining elite status demonstrates that injury response quality, not injury occurrence alone, predicts career outcomes.</w:t>
      </w:r>
    </w:p>
    <w:p w14:paraId="6DB9C53B" w14:textId="77777777" w:rsidR="000C7DA3" w:rsidRDefault="00482F13">
      <w:pPr>
        <w:spacing w:before="240" w:line="271" w:lineRule="auto"/>
      </w:pPr>
      <w:bookmarkStart w:id="26" w:name="bm_4_4_height_as_a_position_depen_b13fc8"/>
      <w:r>
        <w:rPr>
          <w:b/>
          <w:sz w:val="33"/>
        </w:rPr>
        <w:t>4.4 Height as a Position-Dependent Factor</w:t>
      </w:r>
      <w:bookmarkEnd w:id="26"/>
    </w:p>
    <w:p w14:paraId="0AD06C3C" w14:textId="77777777" w:rsidR="000C7DA3" w:rsidRDefault="00482F13">
      <w:pPr>
        <w:spacing w:after="210"/>
      </w:pPr>
      <w:r>
        <w:rPr>
          <w:rFonts w:eastAsia="Georgia" w:hAnsi="Georgia" w:cs="Georgia"/>
        </w:rPr>
        <w:t>Height contributes minimal independent predictive power (HR 1.04–1.07, overlapping KM curves) once position is controlled. However, within-position height effects may vary:</w:t>
      </w:r>
    </w:p>
    <w:p w14:paraId="78D500C0" w14:textId="77777777" w:rsidR="000C7DA3" w:rsidRDefault="00482F13">
      <w:pPr>
        <w:numPr>
          <w:ilvl w:val="0"/>
          <w:numId w:val="16"/>
        </w:numPr>
      </w:pPr>
      <w:r>
        <w:rPr>
          <w:b/>
        </w:rPr>
        <w:t>Goalkeepers</w:t>
      </w:r>
      <w:r>
        <w:t>: Height 183+ cm may provide aerial command advantage</w:t>
      </w:r>
    </w:p>
    <w:p w14:paraId="1E8AC67B" w14:textId="77777777" w:rsidR="000C7DA3" w:rsidRDefault="00482F13">
      <w:pPr>
        <w:numPr>
          <w:ilvl w:val="0"/>
          <w:numId w:val="16"/>
        </w:numPr>
      </w:pPr>
      <w:r>
        <w:rPr>
          <w:b/>
        </w:rPr>
        <w:t>Defenders</w:t>
      </w:r>
      <w:r>
        <w:t>: Height 183+ cm may improve set-piece defending (headers)</w:t>
      </w:r>
    </w:p>
    <w:p w14:paraId="4CED128E" w14:textId="77777777" w:rsidR="000C7DA3" w:rsidRDefault="00482F13">
      <w:pPr>
        <w:numPr>
          <w:ilvl w:val="0"/>
          <w:numId w:val="16"/>
        </w:numPr>
      </w:pPr>
      <w:r>
        <w:rPr>
          <w:b/>
        </w:rPr>
        <w:t>Midfielders</w:t>
      </w:r>
      <w:r>
        <w:t>: Height minimal importance; technical skills dominate</w:t>
      </w:r>
    </w:p>
    <w:p w14:paraId="3DEDC26E" w14:textId="77777777" w:rsidR="000C7DA3" w:rsidRDefault="00482F13">
      <w:pPr>
        <w:numPr>
          <w:ilvl w:val="0"/>
          <w:numId w:val="16"/>
        </w:numPr>
      </w:pPr>
      <w:r>
        <w:rPr>
          <w:b/>
        </w:rPr>
        <w:t>Attackers</w:t>
      </w:r>
      <w:r>
        <w:t>: Height minimal importance; speed and agility dominate</w:t>
      </w:r>
    </w:p>
    <w:p w14:paraId="6548BE91" w14:textId="77777777" w:rsidR="000C7DA3" w:rsidRDefault="00482F13">
      <w:pPr>
        <w:spacing w:after="210"/>
      </w:pPr>
      <w:r>
        <w:rPr>
          <w:b/>
        </w:rPr>
        <w:t>Strategic implication</w:t>
      </w:r>
      <w:r>
        <w:t>: Position-specific talent scouts should weight height according to role demands, but height alone should not drive recruitment or career pathway decisions. Technical ability, decision-making speed, and injury resilience supersede height as career-longevity predictors.</w:t>
      </w:r>
    </w:p>
    <w:p w14:paraId="32C39AE4" w14:textId="77777777" w:rsidR="000C7DA3" w:rsidRDefault="00482F13">
      <w:pPr>
        <w:spacing w:before="240" w:line="271" w:lineRule="auto"/>
      </w:pPr>
      <w:bookmarkStart w:id="27" w:name="bm_4_5_match_participation_as_org_df88e9"/>
      <w:r>
        <w:rPr>
          <w:b/>
          <w:sz w:val="33"/>
        </w:rPr>
        <w:t>4.5 Match Participation as Organizational Confidence Indicator</w:t>
      </w:r>
      <w:bookmarkEnd w:id="27"/>
    </w:p>
    <w:p w14:paraId="1519EAFB" w14:textId="77777777" w:rsidR="000C7DA3" w:rsidRDefault="00482F13">
      <w:pPr>
        <w:spacing w:after="210"/>
      </w:pPr>
      <w:r>
        <w:rPr>
          <w:rFonts w:eastAsia="Georgia" w:hAnsi="Georgia" w:cs="Georgia"/>
        </w:rPr>
        <w:t>The protective Cox effect (HR 0.996 per match, β ≈ −0.0045) indicates that sustained competitive opportunities signal and enable career continuation. Organizational confidence flows bidirectionally:</w:t>
      </w:r>
    </w:p>
    <w:p w14:paraId="1E5863F8" w14:textId="77777777" w:rsidR="000C7DA3" w:rsidRDefault="00482F13">
      <w:pPr>
        <w:numPr>
          <w:ilvl w:val="0"/>
          <w:numId w:val="17"/>
        </w:numPr>
      </w:pPr>
      <w:r>
        <w:rPr>
          <w:b/>
        </w:rPr>
        <w:t>Selection feedback</w:t>
      </w:r>
      <w:r>
        <w:t>: High performers earn repeated match opportunities</w:t>
      </w:r>
    </w:p>
    <w:p w14:paraId="3FFFF131" w14:textId="77777777" w:rsidR="000C7DA3" w:rsidRDefault="00482F13">
      <w:pPr>
        <w:numPr>
          <w:ilvl w:val="0"/>
          <w:numId w:val="17"/>
        </w:numPr>
      </w:pPr>
      <w:r>
        <w:rPr>
          <w:b/>
        </w:rPr>
        <w:t>Fitness maintenance</w:t>
      </w:r>
      <w:r>
        <w:t>: Consistent match play maintains cardiovascular fitness, neuromuscular sharpness, and proprioceptive responsiveness</w:t>
      </w:r>
    </w:p>
    <w:p w14:paraId="58D4C54F" w14:textId="77777777" w:rsidR="000C7DA3" w:rsidRDefault="00482F13">
      <w:pPr>
        <w:numPr>
          <w:ilvl w:val="0"/>
          <w:numId w:val="17"/>
        </w:numPr>
      </w:pPr>
      <w:r>
        <w:rPr>
          <w:b/>
        </w:rPr>
        <w:t>Experience accumulation</w:t>
      </w:r>
      <w:r>
        <w:t>: Each match adds positioning knowledge and decision-making refinement</w:t>
      </w:r>
    </w:p>
    <w:p w14:paraId="75A23FBD" w14:textId="77777777" w:rsidR="000C7DA3" w:rsidRDefault="00482F13">
      <w:pPr>
        <w:numPr>
          <w:ilvl w:val="0"/>
          <w:numId w:val="17"/>
        </w:numPr>
      </w:pPr>
      <w:r>
        <w:rPr>
          <w:b/>
        </w:rPr>
        <w:t>Late-career compensation</w:t>
      </w:r>
      <w:r>
        <w:t>: Older players rely on experience; match accumulation enables this compensation mechanism</w:t>
      </w:r>
    </w:p>
    <w:p w14:paraId="6C741FE8" w14:textId="77777777" w:rsidR="000C7DA3" w:rsidRDefault="00482F13">
      <w:pPr>
        <w:spacing w:after="210"/>
      </w:pPr>
      <w:r>
        <w:rPr>
          <w:b/>
        </w:rPr>
        <w:t>Strategic implication</w:t>
      </w:r>
      <w:r>
        <w:rPr>
          <w:rFonts w:eastAsia="Georgia" w:hAnsi="Georgia" w:cs="Georgia"/>
        </w:rPr>
        <w:t>: Clubs should maintain competitive depth (multiple candidates per position) enabling continued match access for aging elite players. Players with sustained match participation in years 18–22 demonstrate viability for years 20–25 extension. Sudden match removal (benching) creates self-fulfilling prophecy of retirement, not evidence of inability. Gradual role transitions (reduced minutes, tactical specialization) preserve organizational value.</w:t>
      </w:r>
    </w:p>
    <w:p w14:paraId="3DF8F700" w14:textId="77777777" w:rsidR="000C7DA3" w:rsidRDefault="00482F13">
      <w:pPr>
        <w:spacing w:before="240" w:line="271" w:lineRule="auto"/>
      </w:pPr>
      <w:bookmarkStart w:id="28" w:name="bm_5_comparative_context_laliga_v_4e5ec5"/>
      <w:r>
        <w:rPr>
          <w:b/>
          <w:sz w:val="42"/>
        </w:rPr>
        <w:lastRenderedPageBreak/>
        <w:t>5. Comparative Context: LaLiga vs. Premier League</w:t>
      </w:r>
      <w:bookmarkEnd w:id="28"/>
    </w:p>
    <w:tbl>
      <w:tblPr>
        <w:tblStyle w:val="NormalGrid"/>
        <w:tblW w:w="0" w:type="auto"/>
        <w:jc w:val="center"/>
        <w:tblCellSpacing w:w="0" w:type="dxa"/>
        <w:tblLook w:val="04A0" w:firstRow="1" w:lastRow="0" w:firstColumn="1" w:lastColumn="0" w:noHBand="0" w:noVBand="1"/>
      </w:tblPr>
      <w:tblGrid>
        <w:gridCol w:w="2601"/>
        <w:gridCol w:w="2552"/>
        <w:gridCol w:w="1908"/>
        <w:gridCol w:w="1609"/>
      </w:tblGrid>
      <w:tr w:rsidR="000C7DA3" w14:paraId="7F6E4AC0"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3288E40" w14:textId="77777777" w:rsidR="000C7DA3" w:rsidRDefault="00482F13">
            <w:r>
              <w:rPr>
                <w:b/>
              </w:rPr>
              <w:t>Metric</w:t>
            </w:r>
          </w:p>
        </w:tc>
        <w:tc>
          <w:tcPr>
            <w:tcW w:w="0" w:type="auto"/>
            <w:tcBorders>
              <w:top w:val="single" w:sz="8" w:space="0" w:color="000000"/>
              <w:bottom w:val="single" w:sz="8" w:space="0" w:color="000000"/>
              <w:right w:val="single" w:sz="8" w:space="0" w:color="000000"/>
            </w:tcBorders>
            <w:vAlign w:val="center"/>
          </w:tcPr>
          <w:p w14:paraId="15E5D929" w14:textId="77777777" w:rsidR="000C7DA3" w:rsidRDefault="00482F13">
            <w:pPr>
              <w:jc w:val="center"/>
            </w:pPr>
            <w:r>
              <w:rPr>
                <w:b/>
              </w:rPr>
              <w:t>LaLiga</w:t>
            </w:r>
          </w:p>
        </w:tc>
        <w:tc>
          <w:tcPr>
            <w:tcW w:w="0" w:type="auto"/>
            <w:tcBorders>
              <w:top w:val="single" w:sz="8" w:space="0" w:color="000000"/>
              <w:bottom w:val="single" w:sz="8" w:space="0" w:color="000000"/>
              <w:right w:val="single" w:sz="8" w:space="0" w:color="000000"/>
            </w:tcBorders>
            <w:vAlign w:val="center"/>
          </w:tcPr>
          <w:p w14:paraId="2DC8BE4E" w14:textId="77777777" w:rsidR="000C7DA3" w:rsidRDefault="00482F13">
            <w:pPr>
              <w:jc w:val="center"/>
            </w:pPr>
            <w:r>
              <w:rPr>
                <w:b/>
              </w:rPr>
              <w:t>Premier League</w:t>
            </w:r>
          </w:p>
        </w:tc>
        <w:tc>
          <w:tcPr>
            <w:tcW w:w="0" w:type="auto"/>
            <w:tcBorders>
              <w:top w:val="single" w:sz="8" w:space="0" w:color="000000"/>
              <w:bottom w:val="single" w:sz="8" w:space="0" w:color="000000"/>
              <w:right w:val="single" w:sz="8" w:space="0" w:color="000000"/>
            </w:tcBorders>
            <w:vAlign w:val="center"/>
          </w:tcPr>
          <w:p w14:paraId="093989F6" w14:textId="77777777" w:rsidR="000C7DA3" w:rsidRDefault="00482F13">
            <w:pPr>
              <w:jc w:val="center"/>
            </w:pPr>
            <w:r>
              <w:rPr>
                <w:b/>
              </w:rPr>
              <w:t>Difference</w:t>
            </w:r>
          </w:p>
        </w:tc>
      </w:tr>
      <w:tr w:rsidR="000C7DA3" w14:paraId="39D6004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536A448" w14:textId="77777777" w:rsidR="000C7DA3" w:rsidRDefault="00482F13">
            <w:r>
              <w:t>Mean Career Length</w:t>
            </w:r>
          </w:p>
        </w:tc>
        <w:tc>
          <w:tcPr>
            <w:tcW w:w="0" w:type="auto"/>
            <w:tcBorders>
              <w:bottom w:val="single" w:sz="8" w:space="0" w:color="000000"/>
              <w:right w:val="single" w:sz="8" w:space="0" w:color="000000"/>
            </w:tcBorders>
            <w:vAlign w:val="center"/>
          </w:tcPr>
          <w:p w14:paraId="5C4933CC" w14:textId="77777777" w:rsidR="000C7DA3" w:rsidRDefault="00482F13">
            <w:pPr>
              <w:jc w:val="center"/>
            </w:pPr>
            <w:r>
              <w:t>15.2 yrs</w:t>
            </w:r>
          </w:p>
        </w:tc>
        <w:tc>
          <w:tcPr>
            <w:tcW w:w="0" w:type="auto"/>
            <w:tcBorders>
              <w:bottom w:val="single" w:sz="8" w:space="0" w:color="000000"/>
              <w:right w:val="single" w:sz="8" w:space="0" w:color="000000"/>
            </w:tcBorders>
            <w:vAlign w:val="center"/>
          </w:tcPr>
          <w:p w14:paraId="7F550A8C" w14:textId="77777777" w:rsidR="000C7DA3" w:rsidRDefault="00482F13">
            <w:pPr>
              <w:jc w:val="center"/>
            </w:pPr>
            <w:r>
              <w:t>16.35 yrs</w:t>
            </w:r>
          </w:p>
        </w:tc>
        <w:tc>
          <w:tcPr>
            <w:tcW w:w="0" w:type="auto"/>
            <w:tcBorders>
              <w:bottom w:val="single" w:sz="8" w:space="0" w:color="000000"/>
              <w:right w:val="single" w:sz="8" w:space="0" w:color="000000"/>
            </w:tcBorders>
            <w:vAlign w:val="center"/>
          </w:tcPr>
          <w:p w14:paraId="7C829D35" w14:textId="77777777" w:rsidR="000C7DA3" w:rsidRDefault="00482F13">
            <w:pPr>
              <w:jc w:val="center"/>
            </w:pPr>
            <w:r>
              <w:t>$-$1.15 yrs</w:t>
            </w:r>
          </w:p>
        </w:tc>
      </w:tr>
      <w:tr w:rsidR="000C7DA3" w14:paraId="12B4D95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1D66229" w14:textId="77777777" w:rsidR="000C7DA3" w:rsidRDefault="00482F13">
            <w:r>
              <w:t>Goalkeeper Advantage</w:t>
            </w:r>
          </w:p>
        </w:tc>
        <w:tc>
          <w:tcPr>
            <w:tcW w:w="0" w:type="auto"/>
            <w:tcBorders>
              <w:bottom w:val="single" w:sz="8" w:space="0" w:color="000000"/>
              <w:right w:val="single" w:sz="8" w:space="0" w:color="000000"/>
            </w:tcBorders>
            <w:vAlign w:val="center"/>
          </w:tcPr>
          <w:p w14:paraId="7880B714" w14:textId="77777777" w:rsidR="000C7DA3" w:rsidRDefault="00482F13">
            <w:pPr>
              <w:jc w:val="center"/>
            </w:pPr>
            <w:r>
              <w:t>2.4 yrs vs. Attack</w:t>
            </w:r>
          </w:p>
        </w:tc>
        <w:tc>
          <w:tcPr>
            <w:tcW w:w="0" w:type="auto"/>
            <w:tcBorders>
              <w:bottom w:val="single" w:sz="8" w:space="0" w:color="000000"/>
              <w:right w:val="single" w:sz="8" w:space="0" w:color="000000"/>
            </w:tcBorders>
            <w:vAlign w:val="center"/>
          </w:tcPr>
          <w:p w14:paraId="7CFC6197" w14:textId="77777777" w:rsidR="000C7DA3" w:rsidRDefault="00482F13">
            <w:pPr>
              <w:jc w:val="center"/>
            </w:pPr>
            <w:r>
              <w:t>2.0 yrs vs. Def</w:t>
            </w:r>
          </w:p>
        </w:tc>
        <w:tc>
          <w:tcPr>
            <w:tcW w:w="0" w:type="auto"/>
            <w:tcBorders>
              <w:bottom w:val="single" w:sz="8" w:space="0" w:color="000000"/>
              <w:right w:val="single" w:sz="8" w:space="0" w:color="000000"/>
            </w:tcBorders>
            <w:vAlign w:val="center"/>
          </w:tcPr>
          <w:p w14:paraId="7938CA46" w14:textId="77777777" w:rsidR="000C7DA3" w:rsidRDefault="00482F13">
            <w:pPr>
              <w:jc w:val="center"/>
            </w:pPr>
            <w:r>
              <w:t>Consistent</w:t>
            </w:r>
          </w:p>
        </w:tc>
      </w:tr>
      <w:tr w:rsidR="000C7DA3" w14:paraId="6A38D93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F02A676" w14:textId="77777777" w:rsidR="000C7DA3" w:rsidRDefault="00482F13">
            <w:r>
              <w:t>Early Debut Extension</w:t>
            </w:r>
          </w:p>
        </w:tc>
        <w:tc>
          <w:tcPr>
            <w:tcW w:w="0" w:type="auto"/>
            <w:tcBorders>
              <w:bottom w:val="single" w:sz="8" w:space="0" w:color="000000"/>
              <w:right w:val="single" w:sz="8" w:space="0" w:color="000000"/>
            </w:tcBorders>
            <w:vAlign w:val="center"/>
          </w:tcPr>
          <w:p w14:paraId="63B8DE1F" w14:textId="77777777" w:rsidR="000C7DA3" w:rsidRDefault="00482F13">
            <w:pPr>
              <w:jc w:val="center"/>
            </w:pPr>
            <w:r>
              <w:t>4.0 yrs (15--18 vs. 24--30)</w:t>
            </w:r>
          </w:p>
        </w:tc>
        <w:tc>
          <w:tcPr>
            <w:tcW w:w="0" w:type="auto"/>
            <w:tcBorders>
              <w:bottom w:val="single" w:sz="8" w:space="0" w:color="000000"/>
              <w:right w:val="single" w:sz="8" w:space="0" w:color="000000"/>
            </w:tcBorders>
            <w:vAlign w:val="center"/>
          </w:tcPr>
          <w:p w14:paraId="462E429F" w14:textId="77777777" w:rsidR="000C7DA3" w:rsidRDefault="00482F13">
            <w:pPr>
              <w:jc w:val="center"/>
            </w:pPr>
            <w:r>
              <w:t>1.5--2.0 yrs</w:t>
            </w:r>
          </w:p>
        </w:tc>
        <w:tc>
          <w:tcPr>
            <w:tcW w:w="0" w:type="auto"/>
            <w:tcBorders>
              <w:bottom w:val="single" w:sz="8" w:space="0" w:color="000000"/>
              <w:right w:val="single" w:sz="8" w:space="0" w:color="000000"/>
            </w:tcBorders>
            <w:vAlign w:val="center"/>
          </w:tcPr>
          <w:p w14:paraId="77BEB529" w14:textId="77777777" w:rsidR="000C7DA3" w:rsidRDefault="00482F13">
            <w:pPr>
              <w:jc w:val="center"/>
            </w:pPr>
            <w:r>
              <w:t>Larger LaLiga</w:t>
            </w:r>
          </w:p>
        </w:tc>
      </w:tr>
      <w:tr w:rsidR="000C7DA3" w14:paraId="1CED399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1F1B513" w14:textId="77777777" w:rsidR="000C7DA3" w:rsidRDefault="00482F13">
            <w:r>
              <w:t>Injury-Career Correlation</w:t>
            </w:r>
          </w:p>
        </w:tc>
        <w:tc>
          <w:tcPr>
            <w:tcW w:w="0" w:type="auto"/>
            <w:tcBorders>
              <w:bottom w:val="single" w:sz="8" w:space="0" w:color="000000"/>
              <w:right w:val="single" w:sz="8" w:space="0" w:color="000000"/>
            </w:tcBorders>
            <w:vAlign w:val="center"/>
          </w:tcPr>
          <w:p w14:paraId="50BC662E" w14:textId="77777777" w:rsidR="000C7DA3" w:rsidRDefault="00482F13">
            <w:pPr>
              <w:jc w:val="center"/>
            </w:pPr>
            <w:r>
              <w:t>0.16</w:t>
            </w:r>
          </w:p>
        </w:tc>
        <w:tc>
          <w:tcPr>
            <w:tcW w:w="0" w:type="auto"/>
            <w:tcBorders>
              <w:bottom w:val="single" w:sz="8" w:space="0" w:color="000000"/>
              <w:right w:val="single" w:sz="8" w:space="0" w:color="000000"/>
            </w:tcBorders>
            <w:vAlign w:val="center"/>
          </w:tcPr>
          <w:p w14:paraId="66A8C91A" w14:textId="77777777" w:rsidR="000C7DA3" w:rsidRDefault="00482F13">
            <w:pPr>
              <w:jc w:val="center"/>
            </w:pPr>
            <w:r>
              <w:t>0.16</w:t>
            </w:r>
          </w:p>
        </w:tc>
        <w:tc>
          <w:tcPr>
            <w:tcW w:w="0" w:type="auto"/>
            <w:tcBorders>
              <w:bottom w:val="single" w:sz="8" w:space="0" w:color="000000"/>
              <w:right w:val="single" w:sz="8" w:space="0" w:color="000000"/>
            </w:tcBorders>
            <w:vAlign w:val="center"/>
          </w:tcPr>
          <w:p w14:paraId="7437D4D7" w14:textId="77777777" w:rsidR="000C7DA3" w:rsidRDefault="00482F13">
            <w:pPr>
              <w:jc w:val="center"/>
            </w:pPr>
            <w:r>
              <w:t>Identical</w:t>
            </w:r>
          </w:p>
        </w:tc>
      </w:tr>
      <w:tr w:rsidR="000C7DA3" w14:paraId="42383CE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3C7F91A" w14:textId="77777777" w:rsidR="000C7DA3" w:rsidRDefault="00482F13">
            <w:r>
              <w:t>Match Participation Effect</w:t>
            </w:r>
          </w:p>
        </w:tc>
        <w:tc>
          <w:tcPr>
            <w:tcW w:w="0" w:type="auto"/>
            <w:tcBorders>
              <w:bottom w:val="single" w:sz="8" w:space="0" w:color="000000"/>
              <w:right w:val="single" w:sz="8" w:space="0" w:color="000000"/>
            </w:tcBorders>
            <w:vAlign w:val="center"/>
          </w:tcPr>
          <w:p w14:paraId="39AC35B5" w14:textId="77777777" w:rsidR="000C7DA3" w:rsidRDefault="00482F13">
            <w:pPr>
              <w:jc w:val="center"/>
            </w:pPr>
            <w:r>
              <w:t>HR 0.9962/match</w:t>
            </w:r>
          </w:p>
        </w:tc>
        <w:tc>
          <w:tcPr>
            <w:tcW w:w="0" w:type="auto"/>
            <w:tcBorders>
              <w:bottom w:val="single" w:sz="8" w:space="0" w:color="000000"/>
              <w:right w:val="single" w:sz="8" w:space="0" w:color="000000"/>
            </w:tcBorders>
            <w:vAlign w:val="center"/>
          </w:tcPr>
          <w:p w14:paraId="1E9543BD" w14:textId="77777777" w:rsidR="000C7DA3" w:rsidRDefault="00482F13">
            <w:pPr>
              <w:jc w:val="center"/>
            </w:pPr>
            <w:r>
              <w:t>Similar pattern</w:t>
            </w:r>
          </w:p>
        </w:tc>
        <w:tc>
          <w:tcPr>
            <w:tcW w:w="0" w:type="auto"/>
            <w:tcBorders>
              <w:bottom w:val="single" w:sz="8" w:space="0" w:color="000000"/>
              <w:right w:val="single" w:sz="8" w:space="0" w:color="000000"/>
            </w:tcBorders>
            <w:vAlign w:val="center"/>
          </w:tcPr>
          <w:p w14:paraId="5F545B1C" w14:textId="77777777" w:rsidR="000C7DA3" w:rsidRDefault="00482F13">
            <w:pPr>
              <w:jc w:val="center"/>
            </w:pPr>
            <w:r>
              <w:t>Consistent</w:t>
            </w:r>
          </w:p>
        </w:tc>
      </w:tr>
      <w:tr w:rsidR="000C7DA3" w14:paraId="562DC4C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284594F" w14:textId="77777777" w:rsidR="000C7DA3" w:rsidRDefault="00482F13">
            <w:r>
              <w:t>Height Independent Effect</w:t>
            </w:r>
          </w:p>
        </w:tc>
        <w:tc>
          <w:tcPr>
            <w:tcW w:w="0" w:type="auto"/>
            <w:tcBorders>
              <w:bottom w:val="single" w:sz="8" w:space="0" w:color="000000"/>
              <w:right w:val="single" w:sz="8" w:space="0" w:color="000000"/>
            </w:tcBorders>
            <w:vAlign w:val="center"/>
          </w:tcPr>
          <w:p w14:paraId="2A62EFD0" w14:textId="77777777" w:rsidR="000C7DA3" w:rsidRDefault="00482F13">
            <w:pPr>
              <w:jc w:val="center"/>
            </w:pPr>
            <w:r>
              <w:t>HR 1.03--1.06</w:t>
            </w:r>
          </w:p>
        </w:tc>
        <w:tc>
          <w:tcPr>
            <w:tcW w:w="0" w:type="auto"/>
            <w:tcBorders>
              <w:bottom w:val="single" w:sz="8" w:space="0" w:color="000000"/>
              <w:right w:val="single" w:sz="8" w:space="0" w:color="000000"/>
            </w:tcBorders>
            <w:vAlign w:val="center"/>
          </w:tcPr>
          <w:p w14:paraId="3096B650" w14:textId="77777777" w:rsidR="000C7DA3" w:rsidRDefault="00482F13">
            <w:pPr>
              <w:jc w:val="center"/>
            </w:pPr>
            <w:r>
              <w:t>Minimal</w:t>
            </w:r>
          </w:p>
        </w:tc>
        <w:tc>
          <w:tcPr>
            <w:tcW w:w="0" w:type="auto"/>
            <w:tcBorders>
              <w:bottom w:val="single" w:sz="8" w:space="0" w:color="000000"/>
              <w:right w:val="single" w:sz="8" w:space="0" w:color="000000"/>
            </w:tcBorders>
            <w:vAlign w:val="center"/>
          </w:tcPr>
          <w:p w14:paraId="20DCEAF0" w14:textId="77777777" w:rsidR="000C7DA3" w:rsidRDefault="00482F13">
            <w:pPr>
              <w:jc w:val="center"/>
            </w:pPr>
            <w:r>
              <w:t>Consistent</w:t>
            </w:r>
          </w:p>
        </w:tc>
      </w:tr>
    </w:tbl>
    <w:p w14:paraId="34E35DCA" w14:textId="77777777" w:rsidR="000C7DA3" w:rsidRDefault="000C7DA3"/>
    <w:p w14:paraId="1191D126" w14:textId="77777777" w:rsidR="000C7DA3" w:rsidRDefault="00482F13">
      <w:r>
        <w:t>Table 10: Table 10: LaLiga vs. Premier League Career Longevity Patterns</w:t>
      </w:r>
    </w:p>
    <w:p w14:paraId="22114C37" w14:textId="77777777" w:rsidR="000C7DA3" w:rsidRDefault="00482F13">
      <w:pPr>
        <w:spacing w:after="210"/>
      </w:pPr>
      <w:r>
        <w:rPr>
          <w:b/>
        </w:rPr>
        <w:t>Key observations</w:t>
      </w:r>
      <w:r>
        <w:t>:</w:t>
      </w:r>
    </w:p>
    <w:p w14:paraId="0CA5904F" w14:textId="77777777" w:rsidR="000C7DA3" w:rsidRDefault="00482F13">
      <w:pPr>
        <w:numPr>
          <w:ilvl w:val="0"/>
          <w:numId w:val="18"/>
        </w:numPr>
      </w:pPr>
      <w:r>
        <w:rPr>
          <w:rFonts w:eastAsia="Georgia" w:hAnsi="Georgia" w:cs="Georgia"/>
        </w:rPr>
        <w:t>LaLiga average career length is ~1.1 years shorter than Premier League, potentially reflecting competitive intensity variation or player development pathway differences</w:t>
      </w:r>
    </w:p>
    <w:p w14:paraId="469DCE43" w14:textId="77777777" w:rsidR="000C7DA3" w:rsidRDefault="00482F13">
      <w:pPr>
        <w:numPr>
          <w:ilvl w:val="0"/>
          <w:numId w:val="18"/>
        </w:numPr>
      </w:pPr>
      <w:r>
        <w:t>Position-specific gradients (goalkeeper advantage, attacker disadvantage) are remarkably consistent between leagues</w:t>
      </w:r>
    </w:p>
    <w:p w14:paraId="2EFEB695" w14:textId="77777777" w:rsidR="000C7DA3" w:rsidRDefault="00482F13">
      <w:pPr>
        <w:numPr>
          <w:ilvl w:val="0"/>
          <w:numId w:val="18"/>
        </w:numPr>
      </w:pPr>
      <w:r>
        <w:rPr>
          <w:rFonts w:eastAsia="Georgia" w:hAnsi="Georgia" w:cs="Georgia"/>
        </w:rPr>
        <w:t>Early debut effect appears stronger in LaLiga (4.0 vs. 1.5–2.0 years), suggesting more pronounced elite talent selection mechanisms</w:t>
      </w:r>
    </w:p>
    <w:p w14:paraId="7CAF4E96" w14:textId="77777777" w:rsidR="000C7DA3" w:rsidRDefault="00482F13">
      <w:pPr>
        <w:numPr>
          <w:ilvl w:val="0"/>
          <w:numId w:val="18"/>
        </w:numPr>
      </w:pPr>
      <w:r>
        <w:t>Injury and match participation patterns align closely, indicating comparable underlying career determinants across elite European leagues</w:t>
      </w:r>
    </w:p>
    <w:p w14:paraId="6C66D63D" w14:textId="77777777" w:rsidR="000C7DA3" w:rsidRDefault="00482F13">
      <w:pPr>
        <w:spacing w:before="240" w:line="271" w:lineRule="auto"/>
      </w:pPr>
      <w:bookmarkStart w:id="29" w:name="bm_6_limitations_and_assumptions"/>
      <w:r>
        <w:rPr>
          <w:b/>
          <w:sz w:val="42"/>
        </w:rPr>
        <w:t>6. Limitations and Assumptions</w:t>
      </w:r>
      <w:bookmarkEnd w:id="29"/>
    </w:p>
    <w:p w14:paraId="4035C4D7" w14:textId="77777777" w:rsidR="000C7DA3" w:rsidRDefault="00482F13">
      <w:pPr>
        <w:spacing w:before="240" w:line="271" w:lineRule="auto"/>
      </w:pPr>
      <w:bookmarkStart w:id="30" w:name="bm_6_1_censoring_and_selection_bias"/>
      <w:r>
        <w:rPr>
          <w:b/>
          <w:sz w:val="33"/>
        </w:rPr>
        <w:t>6.1 Censoring and Selection Bias</w:t>
      </w:r>
      <w:bookmarkEnd w:id="30"/>
    </w:p>
    <w:p w14:paraId="69CD4E7C" w14:textId="77777777" w:rsidR="000C7DA3" w:rsidRDefault="00482F13">
      <w:pPr>
        <w:spacing w:after="210"/>
      </w:pPr>
      <w:r>
        <w:t xml:space="preserve">This analysis </w:t>
      </w:r>
      <w:proofErr w:type="gramStart"/>
      <w:r>
        <w:t>censors</w:t>
      </w:r>
      <w:proofErr w:type="gramEnd"/>
      <w:r>
        <w:t xml:space="preserve"> active players at the last observed season (2015), potentially underestimating true career lengths for continuing players. The minimal difference between active and retired career lengths (0.3 years) suggests limited bias, but extended follow-up (through 2024) would refine estimates.</w:t>
      </w:r>
    </w:p>
    <w:p w14:paraId="0448D7D9" w14:textId="77777777" w:rsidR="000C7DA3" w:rsidRDefault="00482F13">
      <w:pPr>
        <w:spacing w:before="240" w:line="271" w:lineRule="auto"/>
      </w:pPr>
      <w:bookmarkStart w:id="31" w:name="bm_6_2_cohort_effects"/>
      <w:r>
        <w:rPr>
          <w:b/>
          <w:sz w:val="33"/>
        </w:rPr>
        <w:t>6.2 Cohort Effects</w:t>
      </w:r>
      <w:bookmarkEnd w:id="31"/>
    </w:p>
    <w:p w14:paraId="798D496A" w14:textId="77777777" w:rsidR="000C7DA3" w:rsidRDefault="00482F13">
      <w:pPr>
        <w:spacing w:after="210"/>
      </w:pPr>
      <w:r>
        <w:rPr>
          <w:rFonts w:eastAsia="Georgia" w:hAnsi="Georgia" w:cs="Georgia"/>
        </w:rPr>
        <w:t>Players observed in 2010–2015 LaLiga may reflect different developmental pathways than earlier or later cohorts. Medical advances, training methods, and competitive intensity evolve; generalizing to future cohorts requires caution.</w:t>
      </w:r>
    </w:p>
    <w:p w14:paraId="3C466071" w14:textId="77777777" w:rsidR="000C7DA3" w:rsidRDefault="00482F13">
      <w:pPr>
        <w:spacing w:before="240" w:line="271" w:lineRule="auto"/>
      </w:pPr>
      <w:bookmarkStart w:id="32" w:name="bm_6_3_unmeasured_confounding"/>
      <w:r>
        <w:rPr>
          <w:b/>
          <w:sz w:val="33"/>
        </w:rPr>
        <w:lastRenderedPageBreak/>
        <w:t>6.3 Unmeasured Confounding</w:t>
      </w:r>
      <w:bookmarkEnd w:id="32"/>
    </w:p>
    <w:p w14:paraId="72EEAF7B" w14:textId="77777777" w:rsidR="000C7DA3" w:rsidRDefault="00482F13">
      <w:pPr>
        <w:spacing w:after="210"/>
      </w:pPr>
      <w:r>
        <w:t>Unmeasured variables (off-field injuries, family circumstances, international competition demands, team performance quality) may influence retirement decisions beyond measured covariates. Cox regression captures average marginal effects; individual heterogeneity remains substantial.</w:t>
      </w:r>
    </w:p>
    <w:p w14:paraId="49CEF91E" w14:textId="77777777" w:rsidR="000C7DA3" w:rsidRDefault="00482F13">
      <w:pPr>
        <w:spacing w:before="240" w:line="271" w:lineRule="auto"/>
      </w:pPr>
      <w:bookmarkStart w:id="33" w:name="bm_6_4_time_varying_coefficient_i_4a7ca7"/>
      <w:r>
        <w:rPr>
          <w:b/>
          <w:sz w:val="33"/>
        </w:rPr>
        <w:t>6.4 Time-Varying Coefficient Interpretation</w:t>
      </w:r>
      <w:bookmarkEnd w:id="33"/>
    </w:p>
    <w:p w14:paraId="2437E26B" w14:textId="77777777" w:rsidR="000C7DA3" w:rsidRDefault="00482F13">
      <w:pPr>
        <w:spacing w:after="210"/>
      </w:pPr>
      <w:r>
        <w:t>Time-varying effect estimates are exploratory and should be interpreted cautiously. Formal hypothesis tests and confidence bands indicate uncertainty, but power limitations may reduce precision in late-career estimates (few subjects at risk).</w:t>
      </w:r>
    </w:p>
    <w:p w14:paraId="0EF5F9A4" w14:textId="77777777" w:rsidR="000C7DA3" w:rsidRDefault="00482F13">
      <w:pPr>
        <w:spacing w:before="240" w:line="271" w:lineRule="auto"/>
      </w:pPr>
      <w:bookmarkStart w:id="34" w:name="bm_7_conclusion"/>
      <w:r>
        <w:rPr>
          <w:b/>
          <w:sz w:val="42"/>
        </w:rPr>
        <w:t>7. Conclusion</w:t>
      </w:r>
      <w:bookmarkEnd w:id="34"/>
    </w:p>
    <w:p w14:paraId="0D76C918" w14:textId="77777777" w:rsidR="000C7DA3" w:rsidRDefault="00482F13">
      <w:pPr>
        <w:spacing w:after="210"/>
      </w:pPr>
      <w:r>
        <w:t>Career longevity in elite LaLiga football reflects predictable patterns driven by position-specific physical demands, early talent selection, injury resilience (rather than injury burden alone), and sustained organizational confidence signaled through match participation. Position-specific strategies targeting goalkeeper development, early talent pathway investment, injury prevention optimization, and strategic match allocation create evidence-based approaches to career-longevity optimization.</w:t>
      </w:r>
    </w:p>
    <w:p w14:paraId="210D6042" w14:textId="77777777" w:rsidR="000C7DA3" w:rsidRDefault="00482F13">
      <w:pPr>
        <w:spacing w:after="210"/>
      </w:pPr>
      <w:r>
        <w:rPr>
          <w:rFonts w:eastAsia="Georgia" w:hAnsi="Georgia" w:cs="Georgia"/>
        </w:rPr>
        <w:t>The 2.4-year goalkeeper advantage, 4.0-year early-debut extension, and protective match-participation effect converge to suggest that organizational systems (talent development, injury management, contract longevity) substantially modulate individual career trajectories. Elite clubs optimizing these systems can extend organizational value from each player cohort by 2–4 years relative to peers employing standard approaches.</w:t>
      </w:r>
    </w:p>
    <w:p w14:paraId="625D752C" w14:textId="12478817" w:rsidR="000C7DA3" w:rsidRDefault="000C7DA3">
      <w:pPr>
        <w:spacing w:after="210"/>
      </w:pPr>
    </w:p>
    <w:sectPr w:rsidR="000C7DA3">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1F0F"/>
    <w:multiLevelType w:val="hybridMultilevel"/>
    <w:tmpl w:val="6300511E"/>
    <w:lvl w:ilvl="0" w:tplc="3B70B6D4">
      <w:start w:val="1"/>
      <w:numFmt w:val="decimal"/>
      <w:lvlText w:val="%1."/>
      <w:lvlJc w:val="left"/>
      <w:pPr>
        <w:tabs>
          <w:tab w:val="num" w:pos="1080"/>
        </w:tabs>
        <w:ind w:left="720" w:hanging="360"/>
      </w:pPr>
    </w:lvl>
    <w:lvl w:ilvl="1" w:tplc="8C7E4EF2">
      <w:numFmt w:val="decimal"/>
      <w:lvlText w:val=""/>
      <w:lvlJc w:val="left"/>
    </w:lvl>
    <w:lvl w:ilvl="2" w:tplc="2B54AF38">
      <w:numFmt w:val="decimal"/>
      <w:lvlText w:val=""/>
      <w:lvlJc w:val="left"/>
    </w:lvl>
    <w:lvl w:ilvl="3" w:tplc="A31CE67E">
      <w:numFmt w:val="decimal"/>
      <w:lvlText w:val=""/>
      <w:lvlJc w:val="left"/>
    </w:lvl>
    <w:lvl w:ilvl="4" w:tplc="12D4BDC6">
      <w:numFmt w:val="decimal"/>
      <w:lvlText w:val=""/>
      <w:lvlJc w:val="left"/>
    </w:lvl>
    <w:lvl w:ilvl="5" w:tplc="D668FCE2">
      <w:numFmt w:val="decimal"/>
      <w:lvlText w:val=""/>
      <w:lvlJc w:val="left"/>
    </w:lvl>
    <w:lvl w:ilvl="6" w:tplc="264EC36C">
      <w:numFmt w:val="decimal"/>
      <w:lvlText w:val=""/>
      <w:lvlJc w:val="left"/>
    </w:lvl>
    <w:lvl w:ilvl="7" w:tplc="A15253BC">
      <w:numFmt w:val="decimal"/>
      <w:lvlText w:val=""/>
      <w:lvlJc w:val="left"/>
    </w:lvl>
    <w:lvl w:ilvl="8" w:tplc="EE909A68">
      <w:numFmt w:val="decimal"/>
      <w:lvlText w:val=""/>
      <w:lvlJc w:val="left"/>
    </w:lvl>
  </w:abstractNum>
  <w:abstractNum w:abstractNumId="1" w15:restartNumberingAfterBreak="0">
    <w:nsid w:val="0F914D83"/>
    <w:multiLevelType w:val="hybridMultilevel"/>
    <w:tmpl w:val="B6E4D0D4"/>
    <w:lvl w:ilvl="0" w:tplc="0E842AEC">
      <w:start w:val="1"/>
      <w:numFmt w:val="bullet"/>
      <w:lvlText w:val=""/>
      <w:lvlJc w:val="left"/>
      <w:pPr>
        <w:tabs>
          <w:tab w:val="num" w:pos="1080"/>
        </w:tabs>
        <w:ind w:left="720" w:hanging="360"/>
      </w:pPr>
      <w:rPr>
        <w:rFonts w:ascii="Symbol" w:hAnsi="Symbol" w:hint="default"/>
      </w:rPr>
    </w:lvl>
    <w:lvl w:ilvl="1" w:tplc="F8FA519E">
      <w:numFmt w:val="decimal"/>
      <w:lvlText w:val=""/>
      <w:lvlJc w:val="left"/>
    </w:lvl>
    <w:lvl w:ilvl="2" w:tplc="7A603580">
      <w:numFmt w:val="decimal"/>
      <w:lvlText w:val=""/>
      <w:lvlJc w:val="left"/>
    </w:lvl>
    <w:lvl w:ilvl="3" w:tplc="E6EA5B4C">
      <w:numFmt w:val="decimal"/>
      <w:lvlText w:val=""/>
      <w:lvlJc w:val="left"/>
    </w:lvl>
    <w:lvl w:ilvl="4" w:tplc="0A663BA6">
      <w:numFmt w:val="decimal"/>
      <w:lvlText w:val=""/>
      <w:lvlJc w:val="left"/>
    </w:lvl>
    <w:lvl w:ilvl="5" w:tplc="B8EA5708">
      <w:numFmt w:val="decimal"/>
      <w:lvlText w:val=""/>
      <w:lvlJc w:val="left"/>
    </w:lvl>
    <w:lvl w:ilvl="6" w:tplc="59C094B4">
      <w:numFmt w:val="decimal"/>
      <w:lvlText w:val=""/>
      <w:lvlJc w:val="left"/>
    </w:lvl>
    <w:lvl w:ilvl="7" w:tplc="564AC436">
      <w:numFmt w:val="decimal"/>
      <w:lvlText w:val=""/>
      <w:lvlJc w:val="left"/>
    </w:lvl>
    <w:lvl w:ilvl="8" w:tplc="D9121292">
      <w:numFmt w:val="decimal"/>
      <w:lvlText w:val=""/>
      <w:lvlJc w:val="left"/>
    </w:lvl>
  </w:abstractNum>
  <w:abstractNum w:abstractNumId="2" w15:restartNumberingAfterBreak="0">
    <w:nsid w:val="18424CA1"/>
    <w:multiLevelType w:val="hybridMultilevel"/>
    <w:tmpl w:val="F188A9E6"/>
    <w:lvl w:ilvl="0" w:tplc="4FB8B33C">
      <w:start w:val="1"/>
      <w:numFmt w:val="none"/>
      <w:lvlText w:val="•"/>
      <w:lvlJc w:val="left"/>
      <w:pPr>
        <w:tabs>
          <w:tab w:val="num" w:pos="1080"/>
        </w:tabs>
        <w:ind w:left="720" w:hanging="360"/>
      </w:pPr>
      <w:rPr>
        <w:rFonts w:hint="default"/>
      </w:rPr>
    </w:lvl>
    <w:lvl w:ilvl="1" w:tplc="86D28F1A">
      <w:numFmt w:val="decimal"/>
      <w:lvlText w:val=""/>
      <w:lvlJc w:val="left"/>
    </w:lvl>
    <w:lvl w:ilvl="2" w:tplc="5B3A35A2">
      <w:numFmt w:val="decimal"/>
      <w:lvlText w:val=""/>
      <w:lvlJc w:val="left"/>
    </w:lvl>
    <w:lvl w:ilvl="3" w:tplc="0DD4E85C">
      <w:numFmt w:val="decimal"/>
      <w:lvlText w:val=""/>
      <w:lvlJc w:val="left"/>
    </w:lvl>
    <w:lvl w:ilvl="4" w:tplc="9CCA67DA">
      <w:numFmt w:val="decimal"/>
      <w:lvlText w:val=""/>
      <w:lvlJc w:val="left"/>
    </w:lvl>
    <w:lvl w:ilvl="5" w:tplc="7E56069A">
      <w:numFmt w:val="decimal"/>
      <w:lvlText w:val=""/>
      <w:lvlJc w:val="left"/>
    </w:lvl>
    <w:lvl w:ilvl="6" w:tplc="B99C2C8C">
      <w:numFmt w:val="decimal"/>
      <w:lvlText w:val=""/>
      <w:lvlJc w:val="left"/>
    </w:lvl>
    <w:lvl w:ilvl="7" w:tplc="67209256">
      <w:numFmt w:val="decimal"/>
      <w:lvlText w:val=""/>
      <w:lvlJc w:val="left"/>
    </w:lvl>
    <w:lvl w:ilvl="8" w:tplc="6EA64DCA">
      <w:numFmt w:val="decimal"/>
      <w:lvlText w:val=""/>
      <w:lvlJc w:val="left"/>
    </w:lvl>
  </w:abstractNum>
  <w:abstractNum w:abstractNumId="3" w15:restartNumberingAfterBreak="0">
    <w:nsid w:val="1AE97FD1"/>
    <w:multiLevelType w:val="hybridMultilevel"/>
    <w:tmpl w:val="ACEC4740"/>
    <w:lvl w:ilvl="0" w:tplc="F8C8A37C">
      <w:start w:val="1"/>
      <w:numFmt w:val="bullet"/>
      <w:lvlText w:val=""/>
      <w:lvlJc w:val="left"/>
      <w:pPr>
        <w:tabs>
          <w:tab w:val="num" w:pos="1080"/>
        </w:tabs>
        <w:ind w:left="720" w:hanging="360"/>
      </w:pPr>
      <w:rPr>
        <w:rFonts w:ascii="Symbol" w:hAnsi="Symbol" w:hint="default"/>
      </w:rPr>
    </w:lvl>
    <w:lvl w:ilvl="1" w:tplc="70BEC1D6">
      <w:numFmt w:val="decimal"/>
      <w:lvlText w:val=""/>
      <w:lvlJc w:val="left"/>
    </w:lvl>
    <w:lvl w:ilvl="2" w:tplc="E772C45C">
      <w:numFmt w:val="decimal"/>
      <w:lvlText w:val=""/>
      <w:lvlJc w:val="left"/>
    </w:lvl>
    <w:lvl w:ilvl="3" w:tplc="9036FC36">
      <w:numFmt w:val="decimal"/>
      <w:lvlText w:val=""/>
      <w:lvlJc w:val="left"/>
    </w:lvl>
    <w:lvl w:ilvl="4" w:tplc="3BD0266A">
      <w:numFmt w:val="decimal"/>
      <w:lvlText w:val=""/>
      <w:lvlJc w:val="left"/>
    </w:lvl>
    <w:lvl w:ilvl="5" w:tplc="26D0743E">
      <w:numFmt w:val="decimal"/>
      <w:lvlText w:val=""/>
      <w:lvlJc w:val="left"/>
    </w:lvl>
    <w:lvl w:ilvl="6" w:tplc="DB84071E">
      <w:numFmt w:val="decimal"/>
      <w:lvlText w:val=""/>
      <w:lvlJc w:val="left"/>
    </w:lvl>
    <w:lvl w:ilvl="7" w:tplc="71C65230">
      <w:numFmt w:val="decimal"/>
      <w:lvlText w:val=""/>
      <w:lvlJc w:val="left"/>
    </w:lvl>
    <w:lvl w:ilvl="8" w:tplc="9680266C">
      <w:numFmt w:val="decimal"/>
      <w:lvlText w:val=""/>
      <w:lvlJc w:val="left"/>
    </w:lvl>
  </w:abstractNum>
  <w:abstractNum w:abstractNumId="4" w15:restartNumberingAfterBreak="0">
    <w:nsid w:val="20E537CB"/>
    <w:multiLevelType w:val="hybridMultilevel"/>
    <w:tmpl w:val="3670E760"/>
    <w:lvl w:ilvl="0" w:tplc="C9961CC0">
      <w:start w:val="1"/>
      <w:numFmt w:val="bullet"/>
      <w:lvlText w:val=""/>
      <w:lvlJc w:val="left"/>
      <w:pPr>
        <w:tabs>
          <w:tab w:val="num" w:pos="1080"/>
        </w:tabs>
        <w:ind w:left="720" w:hanging="360"/>
      </w:pPr>
      <w:rPr>
        <w:rFonts w:ascii="Symbol" w:hAnsi="Symbol" w:hint="default"/>
      </w:rPr>
    </w:lvl>
    <w:lvl w:ilvl="1" w:tplc="353A3CDE">
      <w:numFmt w:val="decimal"/>
      <w:lvlText w:val=""/>
      <w:lvlJc w:val="left"/>
    </w:lvl>
    <w:lvl w:ilvl="2" w:tplc="895CFA6E">
      <w:numFmt w:val="decimal"/>
      <w:lvlText w:val=""/>
      <w:lvlJc w:val="left"/>
    </w:lvl>
    <w:lvl w:ilvl="3" w:tplc="18D284FA">
      <w:numFmt w:val="decimal"/>
      <w:lvlText w:val=""/>
      <w:lvlJc w:val="left"/>
    </w:lvl>
    <w:lvl w:ilvl="4" w:tplc="0A4A3976">
      <w:numFmt w:val="decimal"/>
      <w:lvlText w:val=""/>
      <w:lvlJc w:val="left"/>
    </w:lvl>
    <w:lvl w:ilvl="5" w:tplc="EB8E5884">
      <w:numFmt w:val="decimal"/>
      <w:lvlText w:val=""/>
      <w:lvlJc w:val="left"/>
    </w:lvl>
    <w:lvl w:ilvl="6" w:tplc="26A04A8A">
      <w:numFmt w:val="decimal"/>
      <w:lvlText w:val=""/>
      <w:lvlJc w:val="left"/>
    </w:lvl>
    <w:lvl w:ilvl="7" w:tplc="E3A244D4">
      <w:numFmt w:val="decimal"/>
      <w:lvlText w:val=""/>
      <w:lvlJc w:val="left"/>
    </w:lvl>
    <w:lvl w:ilvl="8" w:tplc="DEEA5934">
      <w:numFmt w:val="decimal"/>
      <w:lvlText w:val=""/>
      <w:lvlJc w:val="left"/>
    </w:lvl>
  </w:abstractNum>
  <w:abstractNum w:abstractNumId="5" w15:restartNumberingAfterBreak="0">
    <w:nsid w:val="238566AA"/>
    <w:multiLevelType w:val="hybridMultilevel"/>
    <w:tmpl w:val="A426D834"/>
    <w:lvl w:ilvl="0" w:tplc="EB8AA34E">
      <w:start w:val="1"/>
      <w:numFmt w:val="bullet"/>
      <w:lvlText w:val=""/>
      <w:lvlJc w:val="left"/>
      <w:pPr>
        <w:tabs>
          <w:tab w:val="num" w:pos="1080"/>
        </w:tabs>
        <w:ind w:left="720" w:hanging="360"/>
      </w:pPr>
      <w:rPr>
        <w:rFonts w:ascii="Symbol" w:hAnsi="Symbol" w:hint="default"/>
      </w:rPr>
    </w:lvl>
    <w:lvl w:ilvl="1" w:tplc="76529B34">
      <w:numFmt w:val="decimal"/>
      <w:lvlText w:val=""/>
      <w:lvlJc w:val="left"/>
    </w:lvl>
    <w:lvl w:ilvl="2" w:tplc="9008272A">
      <w:numFmt w:val="decimal"/>
      <w:lvlText w:val=""/>
      <w:lvlJc w:val="left"/>
    </w:lvl>
    <w:lvl w:ilvl="3" w:tplc="04ACA79A">
      <w:numFmt w:val="decimal"/>
      <w:lvlText w:val=""/>
      <w:lvlJc w:val="left"/>
    </w:lvl>
    <w:lvl w:ilvl="4" w:tplc="6622A802">
      <w:numFmt w:val="decimal"/>
      <w:lvlText w:val=""/>
      <w:lvlJc w:val="left"/>
    </w:lvl>
    <w:lvl w:ilvl="5" w:tplc="C220C9D4">
      <w:numFmt w:val="decimal"/>
      <w:lvlText w:val=""/>
      <w:lvlJc w:val="left"/>
    </w:lvl>
    <w:lvl w:ilvl="6" w:tplc="7DA0C0AC">
      <w:numFmt w:val="decimal"/>
      <w:lvlText w:val=""/>
      <w:lvlJc w:val="left"/>
    </w:lvl>
    <w:lvl w:ilvl="7" w:tplc="41BE6472">
      <w:numFmt w:val="decimal"/>
      <w:lvlText w:val=""/>
      <w:lvlJc w:val="left"/>
    </w:lvl>
    <w:lvl w:ilvl="8" w:tplc="F2183DAC">
      <w:numFmt w:val="decimal"/>
      <w:lvlText w:val=""/>
      <w:lvlJc w:val="left"/>
    </w:lvl>
  </w:abstractNum>
  <w:abstractNum w:abstractNumId="6" w15:restartNumberingAfterBreak="0">
    <w:nsid w:val="26D914C2"/>
    <w:multiLevelType w:val="hybridMultilevel"/>
    <w:tmpl w:val="FFB214B2"/>
    <w:lvl w:ilvl="0" w:tplc="4EF2ECC6">
      <w:start w:val="1"/>
      <w:numFmt w:val="bullet"/>
      <w:lvlText w:val=""/>
      <w:lvlJc w:val="left"/>
      <w:pPr>
        <w:tabs>
          <w:tab w:val="num" w:pos="1080"/>
        </w:tabs>
        <w:ind w:left="720" w:hanging="360"/>
      </w:pPr>
      <w:rPr>
        <w:rFonts w:ascii="Symbol" w:hAnsi="Symbol" w:hint="default"/>
      </w:rPr>
    </w:lvl>
    <w:lvl w:ilvl="1" w:tplc="0B1EE57C">
      <w:numFmt w:val="decimal"/>
      <w:lvlText w:val=""/>
      <w:lvlJc w:val="left"/>
    </w:lvl>
    <w:lvl w:ilvl="2" w:tplc="69A44A62">
      <w:numFmt w:val="decimal"/>
      <w:lvlText w:val=""/>
      <w:lvlJc w:val="left"/>
    </w:lvl>
    <w:lvl w:ilvl="3" w:tplc="09009AA0">
      <w:numFmt w:val="decimal"/>
      <w:lvlText w:val=""/>
      <w:lvlJc w:val="left"/>
    </w:lvl>
    <w:lvl w:ilvl="4" w:tplc="54D8587A">
      <w:numFmt w:val="decimal"/>
      <w:lvlText w:val=""/>
      <w:lvlJc w:val="left"/>
    </w:lvl>
    <w:lvl w:ilvl="5" w:tplc="B5D40C44">
      <w:numFmt w:val="decimal"/>
      <w:lvlText w:val=""/>
      <w:lvlJc w:val="left"/>
    </w:lvl>
    <w:lvl w:ilvl="6" w:tplc="FCDC3288">
      <w:numFmt w:val="decimal"/>
      <w:lvlText w:val=""/>
      <w:lvlJc w:val="left"/>
    </w:lvl>
    <w:lvl w:ilvl="7" w:tplc="06FEA046">
      <w:numFmt w:val="decimal"/>
      <w:lvlText w:val=""/>
      <w:lvlJc w:val="left"/>
    </w:lvl>
    <w:lvl w:ilvl="8" w:tplc="29AE4F78">
      <w:numFmt w:val="decimal"/>
      <w:lvlText w:val=""/>
      <w:lvlJc w:val="left"/>
    </w:lvl>
  </w:abstractNum>
  <w:abstractNum w:abstractNumId="7" w15:restartNumberingAfterBreak="0">
    <w:nsid w:val="40E54715"/>
    <w:multiLevelType w:val="hybridMultilevel"/>
    <w:tmpl w:val="85628916"/>
    <w:lvl w:ilvl="0" w:tplc="B5C03026">
      <w:start w:val="1"/>
      <w:numFmt w:val="bullet"/>
      <w:lvlText w:val=""/>
      <w:lvlJc w:val="left"/>
      <w:pPr>
        <w:tabs>
          <w:tab w:val="num" w:pos="1080"/>
        </w:tabs>
        <w:ind w:left="720" w:hanging="360"/>
      </w:pPr>
      <w:rPr>
        <w:rFonts w:ascii="Symbol" w:hAnsi="Symbol" w:hint="default"/>
      </w:rPr>
    </w:lvl>
    <w:lvl w:ilvl="1" w:tplc="898076F4">
      <w:numFmt w:val="decimal"/>
      <w:lvlText w:val=""/>
      <w:lvlJc w:val="left"/>
    </w:lvl>
    <w:lvl w:ilvl="2" w:tplc="D50812A6">
      <w:numFmt w:val="decimal"/>
      <w:lvlText w:val=""/>
      <w:lvlJc w:val="left"/>
    </w:lvl>
    <w:lvl w:ilvl="3" w:tplc="D826C3F8">
      <w:numFmt w:val="decimal"/>
      <w:lvlText w:val=""/>
      <w:lvlJc w:val="left"/>
    </w:lvl>
    <w:lvl w:ilvl="4" w:tplc="97E0E6C4">
      <w:numFmt w:val="decimal"/>
      <w:lvlText w:val=""/>
      <w:lvlJc w:val="left"/>
    </w:lvl>
    <w:lvl w:ilvl="5" w:tplc="8D84A440">
      <w:numFmt w:val="decimal"/>
      <w:lvlText w:val=""/>
      <w:lvlJc w:val="left"/>
    </w:lvl>
    <w:lvl w:ilvl="6" w:tplc="D472C570">
      <w:numFmt w:val="decimal"/>
      <w:lvlText w:val=""/>
      <w:lvlJc w:val="left"/>
    </w:lvl>
    <w:lvl w:ilvl="7" w:tplc="DA5C9256">
      <w:numFmt w:val="decimal"/>
      <w:lvlText w:val=""/>
      <w:lvlJc w:val="left"/>
    </w:lvl>
    <w:lvl w:ilvl="8" w:tplc="6B0C1866">
      <w:numFmt w:val="decimal"/>
      <w:lvlText w:val=""/>
      <w:lvlJc w:val="left"/>
    </w:lvl>
  </w:abstractNum>
  <w:abstractNum w:abstractNumId="8" w15:restartNumberingAfterBreak="0">
    <w:nsid w:val="49587393"/>
    <w:multiLevelType w:val="hybridMultilevel"/>
    <w:tmpl w:val="5168800A"/>
    <w:lvl w:ilvl="0" w:tplc="74C2AC3A">
      <w:start w:val="1"/>
      <w:numFmt w:val="bullet"/>
      <w:lvlText w:val=""/>
      <w:lvlJc w:val="left"/>
      <w:pPr>
        <w:tabs>
          <w:tab w:val="num" w:pos="1080"/>
        </w:tabs>
        <w:ind w:left="720" w:hanging="360"/>
      </w:pPr>
      <w:rPr>
        <w:rFonts w:ascii="Symbol" w:hAnsi="Symbol" w:hint="default"/>
      </w:rPr>
    </w:lvl>
    <w:lvl w:ilvl="1" w:tplc="BF5CDDA8">
      <w:numFmt w:val="decimal"/>
      <w:lvlText w:val=""/>
      <w:lvlJc w:val="left"/>
    </w:lvl>
    <w:lvl w:ilvl="2" w:tplc="1D267D0C">
      <w:numFmt w:val="decimal"/>
      <w:lvlText w:val=""/>
      <w:lvlJc w:val="left"/>
    </w:lvl>
    <w:lvl w:ilvl="3" w:tplc="C8D2BB56">
      <w:numFmt w:val="decimal"/>
      <w:lvlText w:val=""/>
      <w:lvlJc w:val="left"/>
    </w:lvl>
    <w:lvl w:ilvl="4" w:tplc="6DD606C2">
      <w:numFmt w:val="decimal"/>
      <w:lvlText w:val=""/>
      <w:lvlJc w:val="left"/>
    </w:lvl>
    <w:lvl w:ilvl="5" w:tplc="AE8E2E4E">
      <w:numFmt w:val="decimal"/>
      <w:lvlText w:val=""/>
      <w:lvlJc w:val="left"/>
    </w:lvl>
    <w:lvl w:ilvl="6" w:tplc="AD8C5540">
      <w:numFmt w:val="decimal"/>
      <w:lvlText w:val=""/>
      <w:lvlJc w:val="left"/>
    </w:lvl>
    <w:lvl w:ilvl="7" w:tplc="F0A815E2">
      <w:numFmt w:val="decimal"/>
      <w:lvlText w:val=""/>
      <w:lvlJc w:val="left"/>
    </w:lvl>
    <w:lvl w:ilvl="8" w:tplc="F098B510">
      <w:numFmt w:val="decimal"/>
      <w:lvlText w:val=""/>
      <w:lvlJc w:val="left"/>
    </w:lvl>
  </w:abstractNum>
  <w:abstractNum w:abstractNumId="9" w15:restartNumberingAfterBreak="0">
    <w:nsid w:val="4C713E93"/>
    <w:multiLevelType w:val="hybridMultilevel"/>
    <w:tmpl w:val="A0AC9602"/>
    <w:lvl w:ilvl="0" w:tplc="3800CD94">
      <w:start w:val="1"/>
      <w:numFmt w:val="decimal"/>
      <w:lvlText w:val="%1."/>
      <w:lvlJc w:val="left"/>
      <w:pPr>
        <w:tabs>
          <w:tab w:val="num" w:pos="1080"/>
        </w:tabs>
        <w:ind w:left="720" w:hanging="360"/>
      </w:pPr>
    </w:lvl>
    <w:lvl w:ilvl="1" w:tplc="3962BCD0">
      <w:numFmt w:val="decimal"/>
      <w:lvlText w:val=""/>
      <w:lvlJc w:val="left"/>
    </w:lvl>
    <w:lvl w:ilvl="2" w:tplc="15EA30C4">
      <w:numFmt w:val="decimal"/>
      <w:lvlText w:val=""/>
      <w:lvlJc w:val="left"/>
    </w:lvl>
    <w:lvl w:ilvl="3" w:tplc="4270274A">
      <w:numFmt w:val="decimal"/>
      <w:lvlText w:val=""/>
      <w:lvlJc w:val="left"/>
    </w:lvl>
    <w:lvl w:ilvl="4" w:tplc="BD4A33B6">
      <w:numFmt w:val="decimal"/>
      <w:lvlText w:val=""/>
      <w:lvlJc w:val="left"/>
    </w:lvl>
    <w:lvl w:ilvl="5" w:tplc="49C8DED4">
      <w:numFmt w:val="decimal"/>
      <w:lvlText w:val=""/>
      <w:lvlJc w:val="left"/>
    </w:lvl>
    <w:lvl w:ilvl="6" w:tplc="FD7E73C2">
      <w:numFmt w:val="decimal"/>
      <w:lvlText w:val=""/>
      <w:lvlJc w:val="left"/>
    </w:lvl>
    <w:lvl w:ilvl="7" w:tplc="77ECF58C">
      <w:numFmt w:val="decimal"/>
      <w:lvlText w:val=""/>
      <w:lvlJc w:val="left"/>
    </w:lvl>
    <w:lvl w:ilvl="8" w:tplc="BFC45782">
      <w:numFmt w:val="decimal"/>
      <w:lvlText w:val=""/>
      <w:lvlJc w:val="left"/>
    </w:lvl>
  </w:abstractNum>
  <w:abstractNum w:abstractNumId="10" w15:restartNumberingAfterBreak="0">
    <w:nsid w:val="563043B5"/>
    <w:multiLevelType w:val="hybridMultilevel"/>
    <w:tmpl w:val="65701978"/>
    <w:lvl w:ilvl="0" w:tplc="8026C0A4">
      <w:start w:val="1"/>
      <w:numFmt w:val="bullet"/>
      <w:lvlText w:val=""/>
      <w:lvlJc w:val="left"/>
      <w:pPr>
        <w:tabs>
          <w:tab w:val="num" w:pos="1080"/>
        </w:tabs>
        <w:ind w:left="720" w:hanging="360"/>
      </w:pPr>
      <w:rPr>
        <w:rFonts w:ascii="Symbol" w:hAnsi="Symbol" w:hint="default"/>
      </w:rPr>
    </w:lvl>
    <w:lvl w:ilvl="1" w:tplc="E1AE4B9E">
      <w:numFmt w:val="decimal"/>
      <w:lvlText w:val=""/>
      <w:lvlJc w:val="left"/>
    </w:lvl>
    <w:lvl w:ilvl="2" w:tplc="57A0170C">
      <w:numFmt w:val="decimal"/>
      <w:lvlText w:val=""/>
      <w:lvlJc w:val="left"/>
    </w:lvl>
    <w:lvl w:ilvl="3" w:tplc="682026D0">
      <w:numFmt w:val="decimal"/>
      <w:lvlText w:val=""/>
      <w:lvlJc w:val="left"/>
    </w:lvl>
    <w:lvl w:ilvl="4" w:tplc="458A5602">
      <w:numFmt w:val="decimal"/>
      <w:lvlText w:val=""/>
      <w:lvlJc w:val="left"/>
    </w:lvl>
    <w:lvl w:ilvl="5" w:tplc="18F8597C">
      <w:numFmt w:val="decimal"/>
      <w:lvlText w:val=""/>
      <w:lvlJc w:val="left"/>
    </w:lvl>
    <w:lvl w:ilvl="6" w:tplc="56FED99E">
      <w:numFmt w:val="decimal"/>
      <w:lvlText w:val=""/>
      <w:lvlJc w:val="left"/>
    </w:lvl>
    <w:lvl w:ilvl="7" w:tplc="152EFA90">
      <w:numFmt w:val="decimal"/>
      <w:lvlText w:val=""/>
      <w:lvlJc w:val="left"/>
    </w:lvl>
    <w:lvl w:ilvl="8" w:tplc="0D1E7836">
      <w:numFmt w:val="decimal"/>
      <w:lvlText w:val=""/>
      <w:lvlJc w:val="left"/>
    </w:lvl>
  </w:abstractNum>
  <w:abstractNum w:abstractNumId="11" w15:restartNumberingAfterBreak="0">
    <w:nsid w:val="610419A9"/>
    <w:multiLevelType w:val="hybridMultilevel"/>
    <w:tmpl w:val="47BEB746"/>
    <w:lvl w:ilvl="0" w:tplc="681429B4">
      <w:start w:val="1"/>
      <w:numFmt w:val="bullet"/>
      <w:lvlText w:val=""/>
      <w:lvlJc w:val="left"/>
      <w:pPr>
        <w:tabs>
          <w:tab w:val="num" w:pos="1080"/>
        </w:tabs>
        <w:ind w:left="720" w:hanging="360"/>
      </w:pPr>
      <w:rPr>
        <w:rFonts w:ascii="Symbol" w:hAnsi="Symbol" w:hint="default"/>
      </w:rPr>
    </w:lvl>
    <w:lvl w:ilvl="1" w:tplc="48F6779E">
      <w:numFmt w:val="decimal"/>
      <w:lvlText w:val=""/>
      <w:lvlJc w:val="left"/>
    </w:lvl>
    <w:lvl w:ilvl="2" w:tplc="6950877E">
      <w:numFmt w:val="decimal"/>
      <w:lvlText w:val=""/>
      <w:lvlJc w:val="left"/>
    </w:lvl>
    <w:lvl w:ilvl="3" w:tplc="560A542E">
      <w:numFmt w:val="decimal"/>
      <w:lvlText w:val=""/>
      <w:lvlJc w:val="left"/>
    </w:lvl>
    <w:lvl w:ilvl="4" w:tplc="E3D86D34">
      <w:numFmt w:val="decimal"/>
      <w:lvlText w:val=""/>
      <w:lvlJc w:val="left"/>
    </w:lvl>
    <w:lvl w:ilvl="5" w:tplc="FB904864">
      <w:numFmt w:val="decimal"/>
      <w:lvlText w:val=""/>
      <w:lvlJc w:val="left"/>
    </w:lvl>
    <w:lvl w:ilvl="6" w:tplc="77A20446">
      <w:numFmt w:val="decimal"/>
      <w:lvlText w:val=""/>
      <w:lvlJc w:val="left"/>
    </w:lvl>
    <w:lvl w:ilvl="7" w:tplc="31283CF0">
      <w:numFmt w:val="decimal"/>
      <w:lvlText w:val=""/>
      <w:lvlJc w:val="left"/>
    </w:lvl>
    <w:lvl w:ilvl="8" w:tplc="2782299E">
      <w:numFmt w:val="decimal"/>
      <w:lvlText w:val=""/>
      <w:lvlJc w:val="left"/>
    </w:lvl>
  </w:abstractNum>
  <w:abstractNum w:abstractNumId="12" w15:restartNumberingAfterBreak="0">
    <w:nsid w:val="655F4744"/>
    <w:multiLevelType w:val="hybridMultilevel"/>
    <w:tmpl w:val="C3004E3C"/>
    <w:lvl w:ilvl="0" w:tplc="BDBC542E">
      <w:start w:val="1"/>
      <w:numFmt w:val="bullet"/>
      <w:lvlText w:val=""/>
      <w:lvlJc w:val="left"/>
      <w:pPr>
        <w:tabs>
          <w:tab w:val="num" w:pos="1080"/>
        </w:tabs>
        <w:ind w:left="720" w:hanging="360"/>
      </w:pPr>
      <w:rPr>
        <w:rFonts w:ascii="Symbol" w:hAnsi="Symbol" w:hint="default"/>
      </w:rPr>
    </w:lvl>
    <w:lvl w:ilvl="1" w:tplc="FE70DB7A">
      <w:numFmt w:val="decimal"/>
      <w:lvlText w:val=""/>
      <w:lvlJc w:val="left"/>
    </w:lvl>
    <w:lvl w:ilvl="2" w:tplc="5D3C1F10">
      <w:numFmt w:val="decimal"/>
      <w:lvlText w:val=""/>
      <w:lvlJc w:val="left"/>
    </w:lvl>
    <w:lvl w:ilvl="3" w:tplc="0B228DF0">
      <w:numFmt w:val="decimal"/>
      <w:lvlText w:val=""/>
      <w:lvlJc w:val="left"/>
    </w:lvl>
    <w:lvl w:ilvl="4" w:tplc="9870797A">
      <w:numFmt w:val="decimal"/>
      <w:lvlText w:val=""/>
      <w:lvlJc w:val="left"/>
    </w:lvl>
    <w:lvl w:ilvl="5" w:tplc="D8F61062">
      <w:numFmt w:val="decimal"/>
      <w:lvlText w:val=""/>
      <w:lvlJc w:val="left"/>
    </w:lvl>
    <w:lvl w:ilvl="6" w:tplc="016619AE">
      <w:numFmt w:val="decimal"/>
      <w:lvlText w:val=""/>
      <w:lvlJc w:val="left"/>
    </w:lvl>
    <w:lvl w:ilvl="7" w:tplc="9C76FA92">
      <w:numFmt w:val="decimal"/>
      <w:lvlText w:val=""/>
      <w:lvlJc w:val="left"/>
    </w:lvl>
    <w:lvl w:ilvl="8" w:tplc="5B66EA4C">
      <w:numFmt w:val="decimal"/>
      <w:lvlText w:val=""/>
      <w:lvlJc w:val="left"/>
    </w:lvl>
  </w:abstractNum>
  <w:abstractNum w:abstractNumId="13" w15:restartNumberingAfterBreak="0">
    <w:nsid w:val="6A797C7F"/>
    <w:multiLevelType w:val="hybridMultilevel"/>
    <w:tmpl w:val="F55A4954"/>
    <w:lvl w:ilvl="0" w:tplc="A90E1B6E">
      <w:start w:val="1"/>
      <w:numFmt w:val="bullet"/>
      <w:lvlText w:val=""/>
      <w:lvlJc w:val="left"/>
      <w:pPr>
        <w:tabs>
          <w:tab w:val="num" w:pos="1080"/>
        </w:tabs>
        <w:ind w:left="720" w:hanging="360"/>
      </w:pPr>
      <w:rPr>
        <w:rFonts w:ascii="Symbol" w:hAnsi="Symbol" w:hint="default"/>
      </w:rPr>
    </w:lvl>
    <w:lvl w:ilvl="1" w:tplc="B6D205F6">
      <w:numFmt w:val="decimal"/>
      <w:lvlText w:val=""/>
      <w:lvlJc w:val="left"/>
    </w:lvl>
    <w:lvl w:ilvl="2" w:tplc="F72E459E">
      <w:numFmt w:val="decimal"/>
      <w:lvlText w:val=""/>
      <w:lvlJc w:val="left"/>
    </w:lvl>
    <w:lvl w:ilvl="3" w:tplc="21AE86F4">
      <w:numFmt w:val="decimal"/>
      <w:lvlText w:val=""/>
      <w:lvlJc w:val="left"/>
    </w:lvl>
    <w:lvl w:ilvl="4" w:tplc="D2EC62DA">
      <w:numFmt w:val="decimal"/>
      <w:lvlText w:val=""/>
      <w:lvlJc w:val="left"/>
    </w:lvl>
    <w:lvl w:ilvl="5" w:tplc="C7C8C43E">
      <w:numFmt w:val="decimal"/>
      <w:lvlText w:val=""/>
      <w:lvlJc w:val="left"/>
    </w:lvl>
    <w:lvl w:ilvl="6" w:tplc="2354D8A0">
      <w:numFmt w:val="decimal"/>
      <w:lvlText w:val=""/>
      <w:lvlJc w:val="left"/>
    </w:lvl>
    <w:lvl w:ilvl="7" w:tplc="FC5E4E64">
      <w:numFmt w:val="decimal"/>
      <w:lvlText w:val=""/>
      <w:lvlJc w:val="left"/>
    </w:lvl>
    <w:lvl w:ilvl="8" w:tplc="ADB46A2E">
      <w:numFmt w:val="decimal"/>
      <w:lvlText w:val=""/>
      <w:lvlJc w:val="left"/>
    </w:lvl>
  </w:abstractNum>
  <w:abstractNum w:abstractNumId="14" w15:restartNumberingAfterBreak="0">
    <w:nsid w:val="6C107429"/>
    <w:multiLevelType w:val="hybridMultilevel"/>
    <w:tmpl w:val="555E6614"/>
    <w:lvl w:ilvl="0" w:tplc="A5FC37B4">
      <w:start w:val="1"/>
      <w:numFmt w:val="bullet"/>
      <w:lvlText w:val=""/>
      <w:lvlJc w:val="left"/>
      <w:pPr>
        <w:tabs>
          <w:tab w:val="num" w:pos="1080"/>
        </w:tabs>
        <w:ind w:left="720" w:hanging="360"/>
      </w:pPr>
      <w:rPr>
        <w:rFonts w:ascii="Symbol" w:hAnsi="Symbol" w:hint="default"/>
      </w:rPr>
    </w:lvl>
    <w:lvl w:ilvl="1" w:tplc="65389BFC">
      <w:numFmt w:val="decimal"/>
      <w:lvlText w:val=""/>
      <w:lvlJc w:val="left"/>
    </w:lvl>
    <w:lvl w:ilvl="2" w:tplc="B1B02D02">
      <w:numFmt w:val="decimal"/>
      <w:lvlText w:val=""/>
      <w:lvlJc w:val="left"/>
    </w:lvl>
    <w:lvl w:ilvl="3" w:tplc="0750F0DE">
      <w:numFmt w:val="decimal"/>
      <w:lvlText w:val=""/>
      <w:lvlJc w:val="left"/>
    </w:lvl>
    <w:lvl w:ilvl="4" w:tplc="F42E452A">
      <w:numFmt w:val="decimal"/>
      <w:lvlText w:val=""/>
      <w:lvlJc w:val="left"/>
    </w:lvl>
    <w:lvl w:ilvl="5" w:tplc="E5ACB77A">
      <w:numFmt w:val="decimal"/>
      <w:lvlText w:val=""/>
      <w:lvlJc w:val="left"/>
    </w:lvl>
    <w:lvl w:ilvl="6" w:tplc="45E4CE0C">
      <w:numFmt w:val="decimal"/>
      <w:lvlText w:val=""/>
      <w:lvlJc w:val="left"/>
    </w:lvl>
    <w:lvl w:ilvl="7" w:tplc="4B6A7972">
      <w:numFmt w:val="decimal"/>
      <w:lvlText w:val=""/>
      <w:lvlJc w:val="left"/>
    </w:lvl>
    <w:lvl w:ilvl="8" w:tplc="A4BEB22A">
      <w:numFmt w:val="decimal"/>
      <w:lvlText w:val=""/>
      <w:lvlJc w:val="left"/>
    </w:lvl>
  </w:abstractNum>
  <w:abstractNum w:abstractNumId="15" w15:restartNumberingAfterBreak="0">
    <w:nsid w:val="79614B9F"/>
    <w:multiLevelType w:val="hybridMultilevel"/>
    <w:tmpl w:val="8A44CB1A"/>
    <w:lvl w:ilvl="0" w:tplc="35068FA0">
      <w:start w:val="1"/>
      <w:numFmt w:val="bullet"/>
      <w:lvlText w:val=""/>
      <w:lvlJc w:val="left"/>
      <w:pPr>
        <w:tabs>
          <w:tab w:val="num" w:pos="1080"/>
        </w:tabs>
        <w:ind w:left="720" w:hanging="360"/>
      </w:pPr>
      <w:rPr>
        <w:rFonts w:ascii="Symbol" w:hAnsi="Symbol" w:hint="default"/>
      </w:rPr>
    </w:lvl>
    <w:lvl w:ilvl="1" w:tplc="5B1EF724">
      <w:numFmt w:val="decimal"/>
      <w:lvlText w:val=""/>
      <w:lvlJc w:val="left"/>
    </w:lvl>
    <w:lvl w:ilvl="2" w:tplc="C4CA0680">
      <w:numFmt w:val="decimal"/>
      <w:lvlText w:val=""/>
      <w:lvlJc w:val="left"/>
    </w:lvl>
    <w:lvl w:ilvl="3" w:tplc="BA062844">
      <w:numFmt w:val="decimal"/>
      <w:lvlText w:val=""/>
      <w:lvlJc w:val="left"/>
    </w:lvl>
    <w:lvl w:ilvl="4" w:tplc="44D4EE88">
      <w:numFmt w:val="decimal"/>
      <w:lvlText w:val=""/>
      <w:lvlJc w:val="left"/>
    </w:lvl>
    <w:lvl w:ilvl="5" w:tplc="6D8AD742">
      <w:numFmt w:val="decimal"/>
      <w:lvlText w:val=""/>
      <w:lvlJc w:val="left"/>
    </w:lvl>
    <w:lvl w:ilvl="6" w:tplc="A0C058F8">
      <w:numFmt w:val="decimal"/>
      <w:lvlText w:val=""/>
      <w:lvlJc w:val="left"/>
    </w:lvl>
    <w:lvl w:ilvl="7" w:tplc="7A5E0854">
      <w:numFmt w:val="decimal"/>
      <w:lvlText w:val=""/>
      <w:lvlJc w:val="left"/>
    </w:lvl>
    <w:lvl w:ilvl="8" w:tplc="CF50C20E">
      <w:numFmt w:val="decimal"/>
      <w:lvlText w:val=""/>
      <w:lvlJc w:val="left"/>
    </w:lvl>
  </w:abstractNum>
  <w:abstractNum w:abstractNumId="16" w15:restartNumberingAfterBreak="0">
    <w:nsid w:val="79C55C64"/>
    <w:multiLevelType w:val="hybridMultilevel"/>
    <w:tmpl w:val="5688178A"/>
    <w:lvl w:ilvl="0" w:tplc="64C4253A">
      <w:start w:val="1"/>
      <w:numFmt w:val="none"/>
      <w:lvlText w:val="•"/>
      <w:lvlJc w:val="left"/>
      <w:pPr>
        <w:tabs>
          <w:tab w:val="num" w:pos="1080"/>
        </w:tabs>
        <w:ind w:left="720" w:hanging="360"/>
      </w:pPr>
      <w:rPr>
        <w:rFonts w:hint="default"/>
      </w:rPr>
    </w:lvl>
    <w:lvl w:ilvl="1" w:tplc="981A869C">
      <w:numFmt w:val="decimal"/>
      <w:lvlText w:val=""/>
      <w:lvlJc w:val="left"/>
    </w:lvl>
    <w:lvl w:ilvl="2" w:tplc="763679FE">
      <w:numFmt w:val="decimal"/>
      <w:lvlText w:val=""/>
      <w:lvlJc w:val="left"/>
    </w:lvl>
    <w:lvl w:ilvl="3" w:tplc="6202860E">
      <w:numFmt w:val="decimal"/>
      <w:lvlText w:val=""/>
      <w:lvlJc w:val="left"/>
    </w:lvl>
    <w:lvl w:ilvl="4" w:tplc="32CC46AA">
      <w:numFmt w:val="decimal"/>
      <w:lvlText w:val=""/>
      <w:lvlJc w:val="left"/>
    </w:lvl>
    <w:lvl w:ilvl="5" w:tplc="789EE9B8">
      <w:numFmt w:val="decimal"/>
      <w:lvlText w:val=""/>
      <w:lvlJc w:val="left"/>
    </w:lvl>
    <w:lvl w:ilvl="6" w:tplc="CD82B048">
      <w:numFmt w:val="decimal"/>
      <w:lvlText w:val=""/>
      <w:lvlJc w:val="left"/>
    </w:lvl>
    <w:lvl w:ilvl="7" w:tplc="3B101F32">
      <w:numFmt w:val="decimal"/>
      <w:lvlText w:val=""/>
      <w:lvlJc w:val="left"/>
    </w:lvl>
    <w:lvl w:ilvl="8" w:tplc="2752EBF0">
      <w:numFmt w:val="decimal"/>
      <w:lvlText w:val=""/>
      <w:lvlJc w:val="left"/>
    </w:lvl>
  </w:abstractNum>
  <w:abstractNum w:abstractNumId="17" w15:restartNumberingAfterBreak="0">
    <w:nsid w:val="7EA14853"/>
    <w:multiLevelType w:val="hybridMultilevel"/>
    <w:tmpl w:val="DE6C8078"/>
    <w:lvl w:ilvl="0" w:tplc="EA4ACB10">
      <w:start w:val="1"/>
      <w:numFmt w:val="bullet"/>
      <w:lvlText w:val=""/>
      <w:lvlJc w:val="left"/>
      <w:pPr>
        <w:tabs>
          <w:tab w:val="num" w:pos="1080"/>
        </w:tabs>
        <w:ind w:left="720" w:hanging="360"/>
      </w:pPr>
      <w:rPr>
        <w:rFonts w:ascii="Symbol" w:hAnsi="Symbol" w:hint="default"/>
      </w:rPr>
    </w:lvl>
    <w:lvl w:ilvl="1" w:tplc="DE364286">
      <w:numFmt w:val="decimal"/>
      <w:lvlText w:val=""/>
      <w:lvlJc w:val="left"/>
    </w:lvl>
    <w:lvl w:ilvl="2" w:tplc="58F07F10">
      <w:numFmt w:val="decimal"/>
      <w:lvlText w:val=""/>
      <w:lvlJc w:val="left"/>
    </w:lvl>
    <w:lvl w:ilvl="3" w:tplc="E738CBF0">
      <w:numFmt w:val="decimal"/>
      <w:lvlText w:val=""/>
      <w:lvlJc w:val="left"/>
    </w:lvl>
    <w:lvl w:ilvl="4" w:tplc="552CF9B2">
      <w:numFmt w:val="decimal"/>
      <w:lvlText w:val=""/>
      <w:lvlJc w:val="left"/>
    </w:lvl>
    <w:lvl w:ilvl="5" w:tplc="ED2656FC">
      <w:numFmt w:val="decimal"/>
      <w:lvlText w:val=""/>
      <w:lvlJc w:val="left"/>
    </w:lvl>
    <w:lvl w:ilvl="6" w:tplc="916C7826">
      <w:numFmt w:val="decimal"/>
      <w:lvlText w:val=""/>
      <w:lvlJc w:val="left"/>
    </w:lvl>
    <w:lvl w:ilvl="7" w:tplc="D8EA23F4">
      <w:numFmt w:val="decimal"/>
      <w:lvlText w:val=""/>
      <w:lvlJc w:val="left"/>
    </w:lvl>
    <w:lvl w:ilvl="8" w:tplc="D090B898">
      <w:numFmt w:val="decimal"/>
      <w:lvlText w:val=""/>
      <w:lvlJc w:val="left"/>
    </w:lvl>
  </w:abstractNum>
  <w:num w:numId="1" w16cid:durableId="1251695662">
    <w:abstractNumId w:val="12"/>
  </w:num>
  <w:num w:numId="2" w16cid:durableId="936788309">
    <w:abstractNumId w:val="6"/>
  </w:num>
  <w:num w:numId="3" w16cid:durableId="608590827">
    <w:abstractNumId w:val="2"/>
  </w:num>
  <w:num w:numId="4" w16cid:durableId="1397506079">
    <w:abstractNumId w:val="8"/>
  </w:num>
  <w:num w:numId="5" w16cid:durableId="2005011368">
    <w:abstractNumId w:val="5"/>
  </w:num>
  <w:num w:numId="6" w16cid:durableId="1666546238">
    <w:abstractNumId w:val="13"/>
  </w:num>
  <w:num w:numId="7" w16cid:durableId="32318076">
    <w:abstractNumId w:val="16"/>
  </w:num>
  <w:num w:numId="8" w16cid:durableId="207961132">
    <w:abstractNumId w:val="10"/>
  </w:num>
  <w:num w:numId="9" w16cid:durableId="1024555218">
    <w:abstractNumId w:val="1"/>
  </w:num>
  <w:num w:numId="10" w16cid:durableId="1378551520">
    <w:abstractNumId w:val="0"/>
  </w:num>
  <w:num w:numId="11" w16cid:durableId="488525392">
    <w:abstractNumId w:val="14"/>
  </w:num>
  <w:num w:numId="12" w16cid:durableId="1032421370">
    <w:abstractNumId w:val="4"/>
  </w:num>
  <w:num w:numId="13" w16cid:durableId="632098354">
    <w:abstractNumId w:val="17"/>
  </w:num>
  <w:num w:numId="14" w16cid:durableId="1602689631">
    <w:abstractNumId w:val="3"/>
  </w:num>
  <w:num w:numId="15" w16cid:durableId="2134474183">
    <w:abstractNumId w:val="9"/>
  </w:num>
  <w:num w:numId="16" w16cid:durableId="404107939">
    <w:abstractNumId w:val="7"/>
  </w:num>
  <w:num w:numId="17" w16cid:durableId="631600989">
    <w:abstractNumId w:val="11"/>
  </w:num>
  <w:num w:numId="18" w16cid:durableId="17728993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DA3"/>
    <w:rsid w:val="000C7DA3"/>
    <w:rsid w:val="00167FC3"/>
    <w:rsid w:val="00482F13"/>
    <w:rsid w:val="00632610"/>
    <w:rsid w:val="00641BA2"/>
    <w:rsid w:val="0076337D"/>
    <w:rsid w:val="007C26B5"/>
    <w:rsid w:val="007C462C"/>
    <w:rsid w:val="00BA6F5A"/>
    <w:rsid w:val="00F720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F4128"/>
  <w15:docId w15:val="{0236D75A-ACCA-482C-993B-46E2D544A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4163</Words>
  <Characters>23734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Michelle Hernandez Bustos</cp:lastModifiedBy>
  <cp:revision>2</cp:revision>
  <dcterms:created xsi:type="dcterms:W3CDTF">2026-02-18T15:32:00Z</dcterms:created>
  <dcterms:modified xsi:type="dcterms:W3CDTF">2026-02-18T15:32:00Z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fcb35291-9cad-4b23-aa80-395fb2b723c3</vt:lpwstr>
  </property>
</Properties>
</file>