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00" w:line="216" w:lineRule="auto"/>
        <w:ind w:left="720" w:hanging="360"/>
        <w:rPr>
          <w:rFonts w:ascii="Roboto" w:cs="Roboto" w:eastAsia="Roboto" w:hAnsi="Roboto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rtl w:val="0"/>
        </w:rPr>
        <w:t xml:space="preserve">Descrivere le differenze tra Reference Type e Value Type</w:t>
      </w:r>
    </w:p>
    <w:p w:rsidR="00000000" w:rsidDel="00000000" w:rsidP="00000000" w:rsidRDefault="00000000" w:rsidRPr="00000000" w14:paraId="00000002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Merriweather" w:cs="Merriweather" w:eastAsia="Merriweather" w:hAnsi="Merriweather"/>
          <w:i w:val="1"/>
          <w:color w:val="303030"/>
          <w:sz w:val="24"/>
          <w:szCs w:val="24"/>
          <w:highlight w:val="white"/>
          <w:rtl w:val="0"/>
        </w:rPr>
        <w:t xml:space="preserve">reference type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 archiviano i riferimenti ai relativi dati (oggetti) e possono fare riferimento allo stesso oggetto, le quali operazioni su una variabile possono influire sull’oggetto di riferimento di un’altra variabile.</w:t>
      </w:r>
    </w:p>
    <w:p w:rsidR="00000000" w:rsidDel="00000000" w:rsidP="00000000" w:rsidRDefault="00000000" w:rsidRPr="00000000" w14:paraId="00000003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Merriweather" w:cs="Merriweather" w:eastAsia="Merriweather" w:hAnsi="Merriweather"/>
          <w:i w:val="1"/>
          <w:color w:val="303030"/>
          <w:sz w:val="24"/>
          <w:szCs w:val="24"/>
          <w:highlight w:val="white"/>
          <w:rtl w:val="0"/>
        </w:rPr>
        <w:t xml:space="preserve">value type 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invece contengono direttamente i dati e ogni variabile ha una propria copia dei dati e le operazioni non influiscono sull’altra.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216" w:lineRule="auto"/>
        <w:ind w:left="720" w:hanging="360"/>
        <w:rPr>
          <w:rFonts w:ascii="Roboto" w:cs="Roboto" w:eastAsia="Roboto" w:hAnsi="Roboto"/>
          <w:b w:val="1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rtl w:val="0"/>
        </w:rPr>
        <w:t xml:space="preserve">Cosa è un delegate?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00" w:line="216" w:lineRule="auto"/>
        <w:ind w:left="720" w:firstLine="0"/>
        <w:rPr/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Un </w:t>
      </w:r>
      <w:r w:rsidDel="00000000" w:rsidR="00000000" w:rsidRPr="00000000">
        <w:rPr>
          <w:rFonts w:ascii="Merriweather" w:cs="Merriweather" w:eastAsia="Merriweather" w:hAnsi="Merriweather"/>
          <w:i w:val="1"/>
          <w:color w:val="303030"/>
          <w:sz w:val="24"/>
          <w:szCs w:val="24"/>
          <w:highlight w:val="white"/>
          <w:rtl w:val="0"/>
        </w:rPr>
        <w:t xml:space="preserve">delegate 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è un puntatore a funzione, e vengono utilizzati per passare metodi come argomenti ad altri metodi.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="216" w:lineRule="auto"/>
        <w:ind w:left="720" w:hanging="360"/>
        <w:rPr>
          <w:rFonts w:ascii="Roboto" w:cs="Roboto" w:eastAsia="Roboto" w:hAnsi="Roboto"/>
          <w:b w:val="1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rtl w:val="0"/>
        </w:rPr>
        <w:t xml:space="preserve">Definire come costruire il design pattern Factory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  e qual è la sua utilità</w:t>
      </w:r>
    </w:p>
    <w:p w:rsidR="00000000" w:rsidDel="00000000" w:rsidP="00000000" w:rsidRDefault="00000000" w:rsidRPr="00000000" w14:paraId="00000007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Un </w:t>
      </w:r>
      <w:r w:rsidDel="00000000" w:rsidR="00000000" w:rsidRPr="00000000">
        <w:rPr>
          <w:rFonts w:ascii="Merriweather" w:cs="Merriweather" w:eastAsia="Merriweather" w:hAnsi="Merriweather"/>
          <w:i w:val="1"/>
          <w:color w:val="303030"/>
          <w:sz w:val="24"/>
          <w:szCs w:val="24"/>
          <w:highlight w:val="white"/>
          <w:rtl w:val="0"/>
        </w:rPr>
        <w:t xml:space="preserve">design pattern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 è una soluzione ad un problema ricorrente ed è costituito da un nome, dalla sua descrizione su come e quando applicarlo, e dall'identificazione delle classi e delle sue istanze con rispettiva responsabilità.</w:t>
      </w:r>
    </w:p>
    <w:p w:rsidR="00000000" w:rsidDel="00000000" w:rsidP="00000000" w:rsidRDefault="00000000" w:rsidRPr="00000000" w14:paraId="00000008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Tra i Design Pattern vi sono quelli Creazionali, di cui fa parte la </w:t>
      </w:r>
      <w:r w:rsidDel="00000000" w:rsidR="00000000" w:rsidRPr="00000000">
        <w:rPr>
          <w:rFonts w:ascii="Merriweather" w:cs="Merriweather" w:eastAsia="Merriweather" w:hAnsi="Merriweather"/>
          <w:i w:val="1"/>
          <w:color w:val="303030"/>
          <w:sz w:val="24"/>
          <w:szCs w:val="24"/>
          <w:highlight w:val="white"/>
          <w:rtl w:val="0"/>
        </w:rPr>
        <w:t xml:space="preserve">Factory</w:t>
      </w: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, che descrive un approccio di programmazione con il quale è possibile creare oggetti senza bisogno di dover specificare la loro classe.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216" w:lineRule="auto"/>
        <w:ind w:left="720" w:hanging="360"/>
        <w:rPr>
          <w:rFonts w:ascii="Calibri" w:cs="Calibri" w:eastAsia="Calibri" w:hAnsi="Calibri"/>
          <w:b w:val="1"/>
          <w:i w:val="1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0"/>
          <w:szCs w:val="40"/>
          <w:rtl w:val="0"/>
        </w:rPr>
        <w:t xml:space="preserve">Dare una panoramica degli elementi principali nel Framework .Net. Cosa è successo con l'introduzione di .Net 5?</w:t>
      </w:r>
    </w:p>
    <w:p w:rsidR="00000000" w:rsidDel="00000000" w:rsidP="00000000" w:rsidRDefault="00000000" w:rsidRPr="00000000" w14:paraId="0000000A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Si compone di due elementi principali: CLR (Common Language Runtime) e Class Library.</w:t>
      </w:r>
    </w:p>
    <w:p w:rsidR="00000000" w:rsidDel="00000000" w:rsidP="00000000" w:rsidRDefault="00000000" w:rsidRPr="00000000" w14:paraId="0000000B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La prima si occupa dell’esecuzione dei programmi, di fornire servizi come la gestione della memoria. Inoltre è responsabile della sicurezza e affidabilità dei programmi.</w:t>
      </w:r>
    </w:p>
    <w:p w:rsidR="00000000" w:rsidDel="00000000" w:rsidP="00000000" w:rsidRDefault="00000000" w:rsidRPr="00000000" w14:paraId="0000000C">
      <w:pPr>
        <w:spacing w:before="200" w:line="216" w:lineRule="auto"/>
        <w:ind w:left="720" w:firstLine="0"/>
        <w:rPr>
          <w:rFonts w:ascii="Merriweather" w:cs="Merriweather" w:eastAsia="Merriweather" w:hAnsi="Merriweather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Le Class Library invece sono una collezione di classi sia di funzionalità di base (stringhe, strutture dati ecc), che di specifiche tipologie di applicazioni (Console applications, Web services, etc)</w:t>
      </w:r>
    </w:p>
    <w:p w:rsidR="00000000" w:rsidDel="00000000" w:rsidP="00000000" w:rsidRDefault="00000000" w:rsidRPr="00000000" w14:paraId="0000000D">
      <w:pPr>
        <w:spacing w:before="200" w:line="216" w:lineRule="auto"/>
        <w:ind w:left="720" w:firstLine="0"/>
        <w:rPr/>
      </w:pPr>
      <w:r w:rsidDel="00000000" w:rsidR="00000000" w:rsidRPr="00000000">
        <w:rPr>
          <w:rFonts w:ascii="Merriweather" w:cs="Merriweather" w:eastAsia="Merriweather" w:hAnsi="Merriweather"/>
          <w:color w:val="303030"/>
          <w:sz w:val="24"/>
          <w:szCs w:val="24"/>
          <w:highlight w:val="white"/>
          <w:rtl w:val="0"/>
        </w:rPr>
        <w:t xml:space="preserve">Con l’introduzione di .Net5 è stata presentata una versione più snella del framework e open-source. Liberamente utilizzabile con licenza sia su Windows che su Mac. Questo per contribuire al rapido sviluppo del framework e alla sua diffusione.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