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EE8B" w14:textId="77777777" w:rsidR="0082515D" w:rsidRPr="0082515D" w:rsidRDefault="0082515D" w:rsidP="0082515D">
      <w:pPr>
        <w:widowControl/>
        <w:jc w:val="left"/>
        <w:rPr>
          <w:rFonts w:ascii="宋体" w:eastAsia="宋体" w:hAnsi="宋体" w:cs="宋体"/>
          <w:kern w:val="0"/>
          <w:sz w:val="24"/>
          <w14:ligatures w14:val="none"/>
        </w:rPr>
      </w:pPr>
    </w:p>
    <w:p w14:paraId="43BAFF8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color w:val="640000"/>
          <w:kern w:val="0"/>
          <w:sz w:val="24"/>
          <w14:ligatures w14:val="none"/>
        </w:rPr>
        <w:t>本篇报告为低频价量因子的参考手册，汇集了常用的价量因子以及中金研究量化策略团队开发的创新性因子。</w:t>
      </w:r>
      <w:r w:rsidRPr="0082515D">
        <w:rPr>
          <w:rFonts w:ascii="宋体" w:eastAsia="宋体" w:hAnsi="宋体" w:cs="宋体"/>
          <w:kern w:val="0"/>
          <w:sz w:val="24"/>
          <w14:ligatures w14:val="none"/>
        </w:rPr>
        <w:t>价量因子是以股票的交易价格、成交量以及资金的流向等数据为基础构建的，刻画的是各类投资者的交易行为。本篇报告为中金公司研究部金融工程团队的第二篇量化因子手册报告，不同于“基本面因子手册”中利用基本面数据构建的因子，价量因子的优势在于数据的可得性、及时性较强，能够较为及时地捕捉到市场的最新动态；它的劣势在于换手率通常较高，因子逻辑易受投资者结构、交易规则变化的影响。</w:t>
      </w:r>
    </w:p>
    <w:p w14:paraId="77EA6869" w14:textId="77777777" w:rsidR="0082515D" w:rsidRPr="0082515D" w:rsidRDefault="0082515D" w:rsidP="0082515D">
      <w:pPr>
        <w:widowControl/>
        <w:jc w:val="left"/>
        <w:rPr>
          <w:rFonts w:ascii="宋体" w:eastAsia="宋体" w:hAnsi="宋体" w:cs="宋体"/>
          <w:kern w:val="0"/>
          <w:sz w:val="24"/>
          <w14:ligatures w14:val="none"/>
        </w:rPr>
      </w:pPr>
    </w:p>
    <w:p w14:paraId="76B47A1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我们依据价量因子的构建方式及核心逻辑将其划分为8大类，分别为动量&amp;反转、流动性、波动率、量价相关性、筹码分布、资金流、北向资金、融资融券因子，并构建了各类因子的复合因子，检验各类因子的有效性，尝试分析其主要收益来源，供投资者参考。</w:t>
      </w:r>
    </w:p>
    <w:p w14:paraId="04BC4DBA" w14:textId="77777777" w:rsidR="0082515D" w:rsidRPr="0082515D" w:rsidRDefault="0082515D" w:rsidP="0082515D">
      <w:pPr>
        <w:widowControl/>
        <w:jc w:val="left"/>
        <w:rPr>
          <w:rFonts w:ascii="宋体" w:eastAsia="宋体" w:hAnsi="宋体" w:cs="宋体"/>
          <w:kern w:val="0"/>
          <w:sz w:val="24"/>
          <w14:ligatures w14:val="none"/>
        </w:rPr>
      </w:pPr>
    </w:p>
    <w:p w14:paraId="46FE80CF" w14:textId="77777777" w:rsidR="0082515D" w:rsidRPr="0082515D" w:rsidRDefault="0082515D" w:rsidP="0082515D">
      <w:pPr>
        <w:widowControl/>
        <w:jc w:val="left"/>
        <w:rPr>
          <w:rFonts w:ascii="宋体" w:eastAsia="宋体" w:hAnsi="宋体" w:cs="宋体"/>
          <w:kern w:val="0"/>
          <w:sz w:val="24"/>
          <w14:ligatures w14:val="none"/>
        </w:rPr>
      </w:pPr>
    </w:p>
    <w:p w14:paraId="2CA04D6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1）动量&amp;反转</w:t>
      </w:r>
    </w:p>
    <w:p w14:paraId="1CC752B3" w14:textId="77777777" w:rsidR="0082515D" w:rsidRPr="0082515D" w:rsidRDefault="0082515D" w:rsidP="0082515D">
      <w:pPr>
        <w:widowControl/>
        <w:jc w:val="left"/>
        <w:rPr>
          <w:rFonts w:ascii="宋体" w:eastAsia="宋体" w:hAnsi="宋体" w:cs="宋体"/>
          <w:kern w:val="0"/>
          <w:sz w:val="24"/>
          <w14:ligatures w14:val="none"/>
        </w:rPr>
      </w:pPr>
    </w:p>
    <w:p w14:paraId="25BC596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我们将动量&amp;反转因子分为4小类：隔夜动量、报告期动量、月度反转和年度动量因子。</w:t>
      </w:r>
      <w:r w:rsidRPr="0082515D">
        <w:rPr>
          <w:rFonts w:ascii="宋体" w:eastAsia="宋体" w:hAnsi="宋体" w:cs="宋体"/>
          <w:b/>
          <w:bCs/>
          <w:kern w:val="0"/>
          <w:sz w:val="24"/>
          <w14:ligatures w14:val="none"/>
        </w:rPr>
        <w:t>隔夜动量因子</w:t>
      </w:r>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mmt_overnight_A</w:t>
      </w:r>
      <w:proofErr w:type="spellEnd"/>
      <w:r w:rsidRPr="0082515D">
        <w:rPr>
          <w:rFonts w:ascii="宋体" w:eastAsia="宋体" w:hAnsi="宋体" w:cs="宋体"/>
          <w:kern w:val="0"/>
          <w:sz w:val="24"/>
          <w14:ligatures w14:val="none"/>
        </w:rPr>
        <w:t>）全市场范围内有效性较好，IC_IR达0.63，但沪深300范围内有效性一般；</w:t>
      </w:r>
      <w:r w:rsidRPr="0082515D">
        <w:rPr>
          <w:rFonts w:ascii="宋体" w:eastAsia="宋体" w:hAnsi="宋体" w:cs="宋体"/>
          <w:b/>
          <w:bCs/>
          <w:kern w:val="0"/>
          <w:sz w:val="24"/>
          <w14:ligatures w14:val="none"/>
        </w:rPr>
        <w:t>报告期动量</w:t>
      </w:r>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mmt_report_period</w:t>
      </w:r>
      <w:proofErr w:type="spellEnd"/>
      <w:r w:rsidRPr="0082515D">
        <w:rPr>
          <w:rFonts w:ascii="宋体" w:eastAsia="宋体" w:hAnsi="宋体" w:cs="宋体"/>
          <w:kern w:val="0"/>
          <w:sz w:val="24"/>
          <w14:ligatures w14:val="none"/>
        </w:rPr>
        <w:t>）、</w:t>
      </w:r>
      <w:r w:rsidRPr="0082515D">
        <w:rPr>
          <w:rFonts w:ascii="宋体" w:eastAsia="宋体" w:hAnsi="宋体" w:cs="宋体"/>
          <w:b/>
          <w:bCs/>
          <w:kern w:val="0"/>
          <w:sz w:val="24"/>
          <w14:ligatures w14:val="none"/>
        </w:rPr>
        <w:t>年度动量因子</w:t>
      </w:r>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mmt_offlimit_A</w:t>
      </w:r>
      <w:proofErr w:type="spellEnd"/>
      <w:r w:rsidRPr="0082515D">
        <w:rPr>
          <w:rFonts w:ascii="宋体" w:eastAsia="宋体" w:hAnsi="宋体" w:cs="宋体"/>
          <w:kern w:val="0"/>
          <w:sz w:val="24"/>
          <w14:ligatures w14:val="none"/>
        </w:rPr>
        <w:t>）IC_IR表现不算亮眼，但在沪深300范围内具有较好的多头选股能力；</w:t>
      </w:r>
      <w:r w:rsidRPr="0082515D">
        <w:rPr>
          <w:rFonts w:ascii="宋体" w:eastAsia="宋体" w:hAnsi="宋体" w:cs="宋体"/>
          <w:b/>
          <w:bCs/>
          <w:kern w:val="0"/>
          <w:sz w:val="24"/>
          <w14:ligatures w14:val="none"/>
        </w:rPr>
        <w:t>月度反转因子</w:t>
      </w:r>
      <w:r w:rsidRPr="0082515D">
        <w:rPr>
          <w:rFonts w:ascii="宋体" w:eastAsia="宋体" w:hAnsi="宋体" w:cs="宋体"/>
          <w:kern w:val="0"/>
          <w:sz w:val="24"/>
          <w14:ligatures w14:val="none"/>
        </w:rPr>
        <w:t>整体有效性较强，尤其是</w:t>
      </w:r>
      <w:proofErr w:type="spellStart"/>
      <w:r w:rsidRPr="0082515D">
        <w:rPr>
          <w:rFonts w:ascii="宋体" w:eastAsia="宋体" w:hAnsi="宋体" w:cs="宋体"/>
          <w:kern w:val="0"/>
          <w:sz w:val="24"/>
          <w14:ligatures w14:val="none"/>
        </w:rPr>
        <w:t>mmt_range_M</w:t>
      </w:r>
      <w:proofErr w:type="spellEnd"/>
      <w:r w:rsidRPr="0082515D">
        <w:rPr>
          <w:rFonts w:ascii="宋体" w:eastAsia="宋体" w:hAnsi="宋体" w:cs="宋体"/>
          <w:kern w:val="0"/>
          <w:sz w:val="24"/>
          <w14:ligatures w14:val="none"/>
        </w:rPr>
        <w:t>因子，在所有选股域中均有较好的表现。</w:t>
      </w:r>
    </w:p>
    <w:p w14:paraId="45BF4725" w14:textId="77777777" w:rsidR="0082515D" w:rsidRPr="0082515D" w:rsidRDefault="0082515D" w:rsidP="0082515D">
      <w:pPr>
        <w:widowControl/>
        <w:jc w:val="left"/>
        <w:rPr>
          <w:rFonts w:ascii="宋体" w:eastAsia="宋体" w:hAnsi="宋体" w:cs="宋体"/>
          <w:kern w:val="0"/>
          <w:sz w:val="24"/>
          <w14:ligatures w14:val="none"/>
        </w:rPr>
      </w:pPr>
    </w:p>
    <w:p w14:paraId="56193826" w14:textId="77777777" w:rsidR="0082515D" w:rsidRPr="0082515D" w:rsidRDefault="0082515D" w:rsidP="0082515D">
      <w:pPr>
        <w:widowControl/>
        <w:jc w:val="left"/>
        <w:rPr>
          <w:rFonts w:ascii="宋体" w:eastAsia="宋体" w:hAnsi="宋体" w:cs="宋体"/>
          <w:kern w:val="0"/>
          <w:sz w:val="24"/>
          <w14:ligatures w14:val="none"/>
        </w:rPr>
      </w:pPr>
    </w:p>
    <w:p w14:paraId="208BDE4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2）波动率</w:t>
      </w:r>
    </w:p>
    <w:p w14:paraId="30DA0BED" w14:textId="77777777" w:rsidR="0082515D" w:rsidRPr="0082515D" w:rsidRDefault="0082515D" w:rsidP="0082515D">
      <w:pPr>
        <w:widowControl/>
        <w:jc w:val="left"/>
        <w:rPr>
          <w:rFonts w:ascii="宋体" w:eastAsia="宋体" w:hAnsi="宋体" w:cs="宋体"/>
          <w:kern w:val="0"/>
          <w:sz w:val="24"/>
          <w14:ligatures w14:val="none"/>
        </w:rPr>
      </w:pPr>
    </w:p>
    <w:p w14:paraId="3808524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我们相对</w:t>
      </w:r>
      <w:r w:rsidRPr="0082515D">
        <w:rPr>
          <w:rFonts w:ascii="宋体" w:eastAsia="宋体" w:hAnsi="宋体" w:cs="宋体"/>
          <w:b/>
          <w:bCs/>
          <w:kern w:val="0"/>
          <w:sz w:val="24"/>
          <w14:ligatures w14:val="none"/>
        </w:rPr>
        <w:t>推荐振幅的标准差因子</w:t>
      </w:r>
      <w:r w:rsidRPr="0082515D">
        <w:rPr>
          <w:rFonts w:ascii="宋体" w:eastAsia="宋体" w:hAnsi="宋体" w:cs="宋体"/>
          <w:kern w:val="0"/>
          <w:sz w:val="24"/>
          <w14:ligatures w14:val="none"/>
        </w:rPr>
        <w:t>，如</w:t>
      </w:r>
      <w:proofErr w:type="spellStart"/>
      <w:r w:rsidRPr="0082515D">
        <w:rPr>
          <w:rFonts w:ascii="宋体" w:eastAsia="宋体" w:hAnsi="宋体" w:cs="宋体"/>
          <w:kern w:val="0"/>
          <w:sz w:val="24"/>
          <w14:ligatures w14:val="none"/>
        </w:rPr>
        <w:t>vol_highlow_std</w:t>
      </w:r>
      <w:proofErr w:type="spellEnd"/>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vol_upshadow_std</w:t>
      </w:r>
      <w:proofErr w:type="spellEnd"/>
      <w:r w:rsidRPr="0082515D">
        <w:rPr>
          <w:rFonts w:ascii="宋体" w:eastAsia="宋体" w:hAnsi="宋体" w:cs="宋体"/>
          <w:kern w:val="0"/>
          <w:sz w:val="24"/>
          <w14:ligatures w14:val="none"/>
        </w:rPr>
        <w:t>和</w:t>
      </w:r>
      <w:proofErr w:type="spellStart"/>
      <w:r w:rsidRPr="0082515D">
        <w:rPr>
          <w:rFonts w:ascii="宋体" w:eastAsia="宋体" w:hAnsi="宋体" w:cs="宋体"/>
          <w:kern w:val="0"/>
          <w:sz w:val="24"/>
          <w14:ligatures w14:val="none"/>
        </w:rPr>
        <w:t>vol_w_downshadow_std</w:t>
      </w:r>
      <w:proofErr w:type="spellEnd"/>
      <w:r w:rsidRPr="0082515D">
        <w:rPr>
          <w:rFonts w:ascii="宋体" w:eastAsia="宋体" w:hAnsi="宋体" w:cs="宋体"/>
          <w:kern w:val="0"/>
          <w:sz w:val="24"/>
          <w14:ligatures w14:val="none"/>
        </w:rPr>
        <w:t>等。同时，对比不同周期的振幅标准差因子的IC均值和多头组合收益表现，我们发现其选股能力未有显著差异，但长周期（6个月）的波动率因子多头组合换手率明显低于短周期（1个月）的波动率因子。考虑换手成本的情况下，</w:t>
      </w:r>
      <w:r w:rsidRPr="0082515D">
        <w:rPr>
          <w:rFonts w:ascii="宋体" w:eastAsia="宋体" w:hAnsi="宋体" w:cs="宋体"/>
          <w:b/>
          <w:bCs/>
          <w:kern w:val="0"/>
          <w:sz w:val="24"/>
          <w14:ligatures w14:val="none"/>
        </w:rPr>
        <w:t>长周期的振幅标准差因子性价比更高。</w:t>
      </w:r>
    </w:p>
    <w:p w14:paraId="324A073A" w14:textId="77777777" w:rsidR="0082515D" w:rsidRPr="0082515D" w:rsidRDefault="0082515D" w:rsidP="0082515D">
      <w:pPr>
        <w:widowControl/>
        <w:jc w:val="left"/>
        <w:rPr>
          <w:rFonts w:ascii="宋体" w:eastAsia="宋体" w:hAnsi="宋体" w:cs="宋体"/>
          <w:kern w:val="0"/>
          <w:sz w:val="24"/>
          <w14:ligatures w14:val="none"/>
        </w:rPr>
      </w:pPr>
    </w:p>
    <w:p w14:paraId="5D03F8D6" w14:textId="77777777" w:rsidR="0082515D" w:rsidRPr="0082515D" w:rsidRDefault="0082515D" w:rsidP="0082515D">
      <w:pPr>
        <w:widowControl/>
        <w:jc w:val="left"/>
        <w:rPr>
          <w:rFonts w:ascii="宋体" w:eastAsia="宋体" w:hAnsi="宋体" w:cs="宋体"/>
          <w:kern w:val="0"/>
          <w:sz w:val="24"/>
          <w14:ligatures w14:val="none"/>
        </w:rPr>
      </w:pPr>
    </w:p>
    <w:p w14:paraId="7C6E0F7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3）流动性</w:t>
      </w:r>
    </w:p>
    <w:p w14:paraId="2555483D" w14:textId="77777777" w:rsidR="0082515D" w:rsidRPr="0082515D" w:rsidRDefault="0082515D" w:rsidP="0082515D">
      <w:pPr>
        <w:widowControl/>
        <w:jc w:val="left"/>
        <w:rPr>
          <w:rFonts w:ascii="宋体" w:eastAsia="宋体" w:hAnsi="宋体" w:cs="宋体"/>
          <w:kern w:val="0"/>
          <w:sz w:val="24"/>
          <w14:ligatures w14:val="none"/>
        </w:rPr>
      </w:pPr>
    </w:p>
    <w:p w14:paraId="53C1228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换手率因子与价格弹性因子均值得关注，</w:t>
      </w:r>
      <w:r w:rsidRPr="0082515D">
        <w:rPr>
          <w:rFonts w:ascii="宋体" w:eastAsia="宋体" w:hAnsi="宋体" w:cs="宋体"/>
          <w:kern w:val="0"/>
          <w:sz w:val="24"/>
          <w14:ligatures w14:val="none"/>
        </w:rPr>
        <w:t>其中，换手率标准差因子（liq_turn_std_6M）在沪深300、中证500、中证1000范围内的IC_IR分别为-0.39、-0.70、-0.81，表现均较好。同时，虽然价格弹性因子（liq_vstd_1M、liq_shortcut_avg_1M）有效性不如换手率因子，但考虑到其与换手率因子仅有弱相关关系，构建流动性的大类因子时，价格弹性类因子亦值得考虑。 </w:t>
      </w:r>
    </w:p>
    <w:p w14:paraId="3357659F" w14:textId="77777777" w:rsidR="0082515D" w:rsidRPr="0082515D" w:rsidRDefault="0082515D" w:rsidP="0082515D">
      <w:pPr>
        <w:widowControl/>
        <w:jc w:val="left"/>
        <w:rPr>
          <w:rFonts w:ascii="宋体" w:eastAsia="宋体" w:hAnsi="宋体" w:cs="宋体"/>
          <w:kern w:val="0"/>
          <w:sz w:val="24"/>
          <w14:ligatures w14:val="none"/>
        </w:rPr>
      </w:pPr>
    </w:p>
    <w:p w14:paraId="3AE25BE7" w14:textId="77777777" w:rsidR="0082515D" w:rsidRPr="0082515D" w:rsidRDefault="0082515D" w:rsidP="0082515D">
      <w:pPr>
        <w:widowControl/>
        <w:jc w:val="left"/>
        <w:rPr>
          <w:rFonts w:ascii="宋体" w:eastAsia="宋体" w:hAnsi="宋体" w:cs="宋体"/>
          <w:kern w:val="0"/>
          <w:sz w:val="24"/>
          <w14:ligatures w14:val="none"/>
        </w:rPr>
      </w:pPr>
    </w:p>
    <w:p w14:paraId="18EC904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4）量价相关性</w:t>
      </w:r>
    </w:p>
    <w:p w14:paraId="4667A1B9" w14:textId="77777777" w:rsidR="0082515D" w:rsidRPr="0082515D" w:rsidRDefault="0082515D" w:rsidP="0082515D">
      <w:pPr>
        <w:widowControl/>
        <w:jc w:val="left"/>
        <w:rPr>
          <w:rFonts w:ascii="宋体" w:eastAsia="宋体" w:hAnsi="宋体" w:cs="宋体"/>
          <w:kern w:val="0"/>
          <w:sz w:val="24"/>
          <w14:ligatures w14:val="none"/>
        </w:rPr>
      </w:pPr>
    </w:p>
    <w:p w14:paraId="10B41D5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量能领先阶段往往是信息扩散的初期，</w:t>
      </w:r>
      <w:r w:rsidRPr="0082515D">
        <w:rPr>
          <w:rFonts w:ascii="宋体" w:eastAsia="宋体" w:hAnsi="宋体" w:cs="宋体"/>
          <w:b/>
          <w:bCs/>
          <w:kern w:val="0"/>
          <w:sz w:val="24"/>
          <w14:ligatures w14:val="none"/>
        </w:rPr>
        <w:t>量能领先因子（corr_ret_turn_post_1M）与未来收益正相关</w:t>
      </w:r>
      <w:r w:rsidRPr="0082515D">
        <w:rPr>
          <w:rFonts w:ascii="宋体" w:eastAsia="宋体" w:hAnsi="宋体" w:cs="宋体"/>
          <w:kern w:val="0"/>
          <w:sz w:val="24"/>
          <w14:ligatures w14:val="none"/>
        </w:rPr>
        <w:t>，全市场IC_IR为0.52，在沪深300、中证1000范围内亦有不俗的表现；量价同步阶段往往是信息扩散的中后期，</w:t>
      </w:r>
      <w:r w:rsidRPr="0082515D">
        <w:rPr>
          <w:rFonts w:ascii="宋体" w:eastAsia="宋体" w:hAnsi="宋体" w:cs="宋体"/>
          <w:b/>
          <w:bCs/>
          <w:kern w:val="0"/>
          <w:sz w:val="24"/>
          <w14:ligatures w14:val="none"/>
        </w:rPr>
        <w:t>量价同步因子（corr_ret_turnd_1M、corr_price_turn_1M）与未来收益负相关</w:t>
      </w:r>
      <w:r w:rsidRPr="0082515D">
        <w:rPr>
          <w:rFonts w:ascii="宋体" w:eastAsia="宋体" w:hAnsi="宋体" w:cs="宋体"/>
          <w:kern w:val="0"/>
          <w:sz w:val="24"/>
          <w14:ligatures w14:val="none"/>
        </w:rPr>
        <w:t>，全市场IC_IR可达-1.00，总体表现较好，在不同选股范围内均具有较强的选股能力。</w:t>
      </w:r>
    </w:p>
    <w:p w14:paraId="68D53723" w14:textId="77777777" w:rsidR="0082515D" w:rsidRPr="0082515D" w:rsidRDefault="0082515D" w:rsidP="0082515D">
      <w:pPr>
        <w:widowControl/>
        <w:jc w:val="left"/>
        <w:rPr>
          <w:rFonts w:ascii="宋体" w:eastAsia="宋体" w:hAnsi="宋体" w:cs="宋体"/>
          <w:kern w:val="0"/>
          <w:sz w:val="24"/>
          <w14:ligatures w14:val="none"/>
        </w:rPr>
      </w:pPr>
    </w:p>
    <w:p w14:paraId="56B138F1" w14:textId="77777777" w:rsidR="0082515D" w:rsidRPr="0082515D" w:rsidRDefault="0082515D" w:rsidP="0082515D">
      <w:pPr>
        <w:widowControl/>
        <w:jc w:val="left"/>
        <w:rPr>
          <w:rFonts w:ascii="宋体" w:eastAsia="宋体" w:hAnsi="宋体" w:cs="宋体"/>
          <w:kern w:val="0"/>
          <w:sz w:val="24"/>
          <w14:ligatures w14:val="none"/>
        </w:rPr>
      </w:pPr>
    </w:p>
    <w:p w14:paraId="67E25FB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5）筹码分布</w:t>
      </w:r>
    </w:p>
    <w:p w14:paraId="727F24CE" w14:textId="77777777" w:rsidR="0082515D" w:rsidRPr="0082515D" w:rsidRDefault="0082515D" w:rsidP="0082515D">
      <w:pPr>
        <w:widowControl/>
        <w:jc w:val="left"/>
        <w:rPr>
          <w:rFonts w:ascii="宋体" w:eastAsia="宋体" w:hAnsi="宋体" w:cs="宋体"/>
          <w:kern w:val="0"/>
          <w:sz w:val="24"/>
          <w14:ligatures w14:val="none"/>
        </w:rPr>
      </w:pPr>
    </w:p>
    <w:p w14:paraId="12B3E28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筹码分布旨在刻画股票持有人的持仓成本分布情况，我们据此构建了筹码分布的均值、标准差、偏度、峰度等因子，以及不同盈亏水平的筹码占比因子。该类因子在沪深300和中证500范围内因子IC表现较弱，在全市场、中证1000范围内才具有一定的选股效果，IC_IR的绝对值大概可以达到0.40左右。</w:t>
      </w:r>
    </w:p>
    <w:p w14:paraId="1A0734D5" w14:textId="77777777" w:rsidR="0082515D" w:rsidRPr="0082515D" w:rsidRDefault="0082515D" w:rsidP="0082515D">
      <w:pPr>
        <w:widowControl/>
        <w:jc w:val="left"/>
        <w:rPr>
          <w:rFonts w:ascii="宋体" w:eastAsia="宋体" w:hAnsi="宋体" w:cs="宋体"/>
          <w:kern w:val="0"/>
          <w:sz w:val="24"/>
          <w14:ligatures w14:val="none"/>
        </w:rPr>
      </w:pPr>
    </w:p>
    <w:p w14:paraId="2182A1A7" w14:textId="77777777" w:rsidR="0082515D" w:rsidRPr="0082515D" w:rsidRDefault="0082515D" w:rsidP="0082515D">
      <w:pPr>
        <w:widowControl/>
        <w:jc w:val="left"/>
        <w:rPr>
          <w:rFonts w:ascii="宋体" w:eastAsia="宋体" w:hAnsi="宋体" w:cs="宋体"/>
          <w:kern w:val="0"/>
          <w:sz w:val="24"/>
          <w14:ligatures w14:val="none"/>
        </w:rPr>
      </w:pPr>
    </w:p>
    <w:p w14:paraId="2B80481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6）资金流向</w:t>
      </w:r>
    </w:p>
    <w:p w14:paraId="7359FAE2" w14:textId="77777777" w:rsidR="0082515D" w:rsidRPr="0082515D" w:rsidRDefault="0082515D" w:rsidP="0082515D">
      <w:pPr>
        <w:widowControl/>
        <w:jc w:val="left"/>
        <w:rPr>
          <w:rFonts w:ascii="宋体" w:eastAsia="宋体" w:hAnsi="宋体" w:cs="宋体"/>
          <w:kern w:val="0"/>
          <w:sz w:val="24"/>
          <w14:ligatures w14:val="none"/>
        </w:rPr>
      </w:pPr>
    </w:p>
    <w:p w14:paraId="5DFAA53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资金流因子反映了不同类型资金流向的信息，该类因子的</w:t>
      </w:r>
      <w:r w:rsidRPr="0082515D">
        <w:rPr>
          <w:rFonts w:ascii="宋体" w:eastAsia="宋体" w:hAnsi="宋体" w:cs="宋体"/>
          <w:b/>
          <w:bCs/>
          <w:kern w:val="0"/>
          <w:sz w:val="24"/>
          <w14:ligatures w14:val="none"/>
        </w:rPr>
        <w:t>核心思路是捕捉“聪明资金”的流向，采取跟随策略，以期获得基本面改善带来的超额收益。</w:t>
      </w:r>
      <w:r w:rsidRPr="0082515D">
        <w:rPr>
          <w:rFonts w:ascii="宋体" w:eastAsia="宋体" w:hAnsi="宋体" w:cs="宋体"/>
          <w:kern w:val="0"/>
          <w:sz w:val="24"/>
          <w14:ligatures w14:val="none"/>
        </w:rPr>
        <w:t>从因子有效性角度来看，</w:t>
      </w:r>
      <w:r w:rsidRPr="0082515D">
        <w:rPr>
          <w:rFonts w:ascii="宋体" w:eastAsia="宋体" w:hAnsi="宋体" w:cs="宋体"/>
          <w:b/>
          <w:bCs/>
          <w:kern w:val="0"/>
          <w:sz w:val="24"/>
          <w14:ligatures w14:val="none"/>
        </w:rPr>
        <w:t>大单买入因子（</w:t>
      </w:r>
      <w:proofErr w:type="spellStart"/>
      <w:r w:rsidRPr="0082515D">
        <w:rPr>
          <w:rFonts w:ascii="宋体" w:eastAsia="宋体" w:hAnsi="宋体" w:cs="宋体"/>
          <w:b/>
          <w:bCs/>
          <w:kern w:val="0"/>
          <w:sz w:val="24"/>
          <w14:ligatures w14:val="none"/>
        </w:rPr>
        <w:t>buy_shift_dist_l</w:t>
      </w:r>
      <w:proofErr w:type="spellEnd"/>
      <w:r w:rsidRPr="0082515D">
        <w:rPr>
          <w:rFonts w:ascii="宋体" w:eastAsia="宋体" w:hAnsi="宋体" w:cs="宋体"/>
          <w:b/>
          <w:bCs/>
          <w:kern w:val="0"/>
          <w:sz w:val="24"/>
          <w14:ligatures w14:val="none"/>
        </w:rPr>
        <w:t>）具有正向预测能力，</w:t>
      </w:r>
      <w:r w:rsidRPr="0082515D">
        <w:rPr>
          <w:rFonts w:ascii="宋体" w:eastAsia="宋体" w:hAnsi="宋体" w:cs="宋体"/>
          <w:kern w:val="0"/>
          <w:sz w:val="24"/>
          <w14:ligatures w14:val="none"/>
        </w:rPr>
        <w:t>全市场IC_IR达0.78；</w:t>
      </w:r>
      <w:r w:rsidRPr="0082515D">
        <w:rPr>
          <w:rFonts w:ascii="宋体" w:eastAsia="宋体" w:hAnsi="宋体" w:cs="宋体"/>
          <w:b/>
          <w:bCs/>
          <w:kern w:val="0"/>
          <w:sz w:val="24"/>
          <w14:ligatures w14:val="none"/>
        </w:rPr>
        <w:t>小单主动买入因子（</w:t>
      </w:r>
      <w:proofErr w:type="spellStart"/>
      <w:r w:rsidRPr="0082515D">
        <w:rPr>
          <w:rFonts w:ascii="宋体" w:eastAsia="宋体" w:hAnsi="宋体" w:cs="宋体"/>
          <w:b/>
          <w:bCs/>
          <w:kern w:val="0"/>
          <w:sz w:val="24"/>
          <w14:ligatures w14:val="none"/>
        </w:rPr>
        <w:t>act_buy_shift_dist_s</w:t>
      </w:r>
      <w:proofErr w:type="spellEnd"/>
      <w:r w:rsidRPr="0082515D">
        <w:rPr>
          <w:rFonts w:ascii="宋体" w:eastAsia="宋体" w:hAnsi="宋体" w:cs="宋体"/>
          <w:b/>
          <w:bCs/>
          <w:kern w:val="0"/>
          <w:sz w:val="24"/>
          <w14:ligatures w14:val="none"/>
        </w:rPr>
        <w:t>）具有负向的预测效果</w:t>
      </w:r>
      <w:r w:rsidRPr="0082515D">
        <w:rPr>
          <w:rFonts w:ascii="宋体" w:eastAsia="宋体" w:hAnsi="宋体" w:cs="宋体"/>
          <w:kern w:val="0"/>
          <w:sz w:val="24"/>
          <w14:ligatures w14:val="none"/>
        </w:rPr>
        <w:t>，全市场IC_IR为-0.46。这一结果与直观理解相近，</w:t>
      </w:r>
      <w:r w:rsidRPr="0082515D">
        <w:rPr>
          <w:rFonts w:ascii="宋体" w:eastAsia="宋体" w:hAnsi="宋体" w:cs="宋体"/>
          <w:b/>
          <w:bCs/>
          <w:kern w:val="0"/>
          <w:sz w:val="24"/>
          <w14:ligatures w14:val="none"/>
        </w:rPr>
        <w:t>大单更多表征较为理性的机构观点，而小单则主要代表相对非理性的观点。</w:t>
      </w:r>
      <w:r w:rsidRPr="0082515D">
        <w:rPr>
          <w:rFonts w:ascii="宋体" w:eastAsia="宋体" w:hAnsi="宋体" w:cs="宋体"/>
          <w:kern w:val="0"/>
          <w:sz w:val="24"/>
          <w14:ligatures w14:val="none"/>
        </w:rPr>
        <w:t>此外，开盘资金流入因子（</w:t>
      </w:r>
      <w:proofErr w:type="spellStart"/>
      <w:r w:rsidRPr="0082515D">
        <w:rPr>
          <w:rFonts w:ascii="宋体" w:eastAsia="宋体" w:hAnsi="宋体" w:cs="宋体"/>
          <w:kern w:val="0"/>
          <w:sz w:val="24"/>
          <w14:ligatures w14:val="none"/>
        </w:rPr>
        <w:t>inflow_shift_dist_open_l</w:t>
      </w:r>
      <w:proofErr w:type="spellEnd"/>
      <w:r w:rsidRPr="0082515D">
        <w:rPr>
          <w:rFonts w:ascii="宋体" w:eastAsia="宋体" w:hAnsi="宋体" w:cs="宋体"/>
          <w:kern w:val="0"/>
          <w:sz w:val="24"/>
          <w14:ligatures w14:val="none"/>
        </w:rPr>
        <w:t>）在沪深300、中证500、中证1000范围内也具有较强的选股效果，多头组合年化超额收益分别为6.1%、8.6%、8.8%，分组单调性也较好，亦值得关注。</w:t>
      </w:r>
    </w:p>
    <w:p w14:paraId="73A10538" w14:textId="77777777" w:rsidR="0082515D" w:rsidRPr="0082515D" w:rsidRDefault="0082515D" w:rsidP="0082515D">
      <w:pPr>
        <w:widowControl/>
        <w:jc w:val="left"/>
        <w:rPr>
          <w:rFonts w:ascii="宋体" w:eastAsia="宋体" w:hAnsi="宋体" w:cs="宋体"/>
          <w:kern w:val="0"/>
          <w:sz w:val="24"/>
          <w14:ligatures w14:val="none"/>
        </w:rPr>
      </w:pPr>
    </w:p>
    <w:p w14:paraId="0352382C" w14:textId="77777777" w:rsidR="0082515D" w:rsidRPr="0082515D" w:rsidRDefault="0082515D" w:rsidP="0082515D">
      <w:pPr>
        <w:widowControl/>
        <w:jc w:val="left"/>
        <w:rPr>
          <w:rFonts w:ascii="宋体" w:eastAsia="宋体" w:hAnsi="宋体" w:cs="宋体"/>
          <w:kern w:val="0"/>
          <w:sz w:val="24"/>
          <w14:ligatures w14:val="none"/>
        </w:rPr>
      </w:pPr>
    </w:p>
    <w:p w14:paraId="0441A90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7）北向资金流</w:t>
      </w:r>
    </w:p>
    <w:p w14:paraId="65FD6DF8" w14:textId="77777777" w:rsidR="0082515D" w:rsidRPr="0082515D" w:rsidRDefault="0082515D" w:rsidP="0082515D">
      <w:pPr>
        <w:widowControl/>
        <w:jc w:val="left"/>
        <w:rPr>
          <w:rFonts w:ascii="宋体" w:eastAsia="宋体" w:hAnsi="宋体" w:cs="宋体"/>
          <w:kern w:val="0"/>
          <w:sz w:val="24"/>
          <w14:ligatures w14:val="none"/>
        </w:rPr>
      </w:pPr>
    </w:p>
    <w:p w14:paraId="4670B56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color w:val="000000"/>
          <w:kern w:val="0"/>
          <w:sz w:val="24"/>
          <w14:ligatures w14:val="none"/>
        </w:rPr>
        <w:t>北向持仓占比因子总体有效性较好，</w:t>
      </w:r>
      <w:r w:rsidRPr="0082515D">
        <w:rPr>
          <w:rFonts w:ascii="宋体" w:eastAsia="宋体" w:hAnsi="宋体" w:cs="宋体"/>
          <w:kern w:val="0"/>
          <w:sz w:val="24"/>
          <w14:ligatures w14:val="none"/>
        </w:rPr>
        <w:t>全市场中，</w:t>
      </w:r>
      <w:proofErr w:type="spellStart"/>
      <w:r w:rsidRPr="0082515D">
        <w:rPr>
          <w:rFonts w:ascii="宋体" w:eastAsia="宋体" w:hAnsi="宋体" w:cs="宋体"/>
          <w:kern w:val="0"/>
          <w:sz w:val="24"/>
          <w14:ligatures w14:val="none"/>
        </w:rPr>
        <w:t>north_hold_prop</w:t>
      </w:r>
      <w:proofErr w:type="spellEnd"/>
      <w:r w:rsidRPr="0082515D">
        <w:rPr>
          <w:rFonts w:ascii="宋体" w:eastAsia="宋体" w:hAnsi="宋体" w:cs="宋体"/>
          <w:kern w:val="0"/>
          <w:sz w:val="24"/>
          <w14:ligatures w14:val="none"/>
        </w:rPr>
        <w:t>因子的IC均值为3.5%，IC_IR为0.60；</w:t>
      </w:r>
      <w:proofErr w:type="spellStart"/>
      <w:r w:rsidRPr="0082515D">
        <w:rPr>
          <w:rFonts w:ascii="宋体" w:eastAsia="宋体" w:hAnsi="宋体" w:cs="宋体"/>
          <w:kern w:val="0"/>
          <w:sz w:val="24"/>
          <w14:ligatures w14:val="none"/>
        </w:rPr>
        <w:t>north_hold_prefer</w:t>
      </w:r>
      <w:proofErr w:type="spellEnd"/>
      <w:r w:rsidRPr="0082515D">
        <w:rPr>
          <w:rFonts w:ascii="宋体" w:eastAsia="宋体" w:hAnsi="宋体" w:cs="宋体"/>
          <w:kern w:val="0"/>
          <w:sz w:val="24"/>
          <w14:ligatures w14:val="none"/>
        </w:rPr>
        <w:t>因子的IC均值为3.8%，IC_IR为0.69，但从多头组合的相对净值表现来看，北向持仓因子在2021年以来选股能力有所回落。</w:t>
      </w:r>
      <w:r w:rsidRPr="0082515D">
        <w:rPr>
          <w:rFonts w:ascii="宋体" w:eastAsia="宋体" w:hAnsi="宋体" w:cs="宋体"/>
          <w:b/>
          <w:bCs/>
          <w:kern w:val="0"/>
          <w:sz w:val="24"/>
          <w14:ligatures w14:val="none"/>
        </w:rPr>
        <w:t>北向持仓变化因子</w:t>
      </w:r>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north_hold_prefer_lt_chg</w:t>
      </w:r>
      <w:proofErr w:type="spellEnd"/>
      <w:r w:rsidRPr="0082515D">
        <w:rPr>
          <w:rFonts w:ascii="宋体" w:eastAsia="宋体" w:hAnsi="宋体" w:cs="宋体"/>
          <w:kern w:val="0"/>
          <w:sz w:val="24"/>
          <w14:ligatures w14:val="none"/>
        </w:rPr>
        <w:t>）单调性一般，但多头组合表现较好，沪深300、中证500、中证1000范围内的多头组合均有10%以上的年化超额收益率。</w:t>
      </w:r>
    </w:p>
    <w:p w14:paraId="6CED1633" w14:textId="77777777" w:rsidR="0082515D" w:rsidRPr="0082515D" w:rsidRDefault="0082515D" w:rsidP="0082515D">
      <w:pPr>
        <w:widowControl/>
        <w:jc w:val="left"/>
        <w:rPr>
          <w:rFonts w:ascii="宋体" w:eastAsia="宋体" w:hAnsi="宋体" w:cs="宋体"/>
          <w:kern w:val="0"/>
          <w:sz w:val="24"/>
          <w14:ligatures w14:val="none"/>
        </w:rPr>
      </w:pPr>
    </w:p>
    <w:p w14:paraId="5E79892D" w14:textId="77777777" w:rsidR="0082515D" w:rsidRPr="0082515D" w:rsidRDefault="0082515D" w:rsidP="0082515D">
      <w:pPr>
        <w:widowControl/>
        <w:jc w:val="left"/>
        <w:rPr>
          <w:rFonts w:ascii="宋体" w:eastAsia="宋体" w:hAnsi="宋体" w:cs="宋体"/>
          <w:kern w:val="0"/>
          <w:sz w:val="24"/>
          <w14:ligatures w14:val="none"/>
        </w:rPr>
      </w:pPr>
    </w:p>
    <w:p w14:paraId="77907DB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8）融资融券</w:t>
      </w:r>
    </w:p>
    <w:p w14:paraId="7D3353FA" w14:textId="77777777" w:rsidR="0082515D" w:rsidRPr="0082515D" w:rsidRDefault="0082515D" w:rsidP="0082515D">
      <w:pPr>
        <w:widowControl/>
        <w:jc w:val="left"/>
        <w:rPr>
          <w:rFonts w:ascii="宋体" w:eastAsia="宋体" w:hAnsi="宋体" w:cs="宋体"/>
          <w:kern w:val="0"/>
          <w:sz w:val="24"/>
          <w14:ligatures w14:val="none"/>
        </w:rPr>
      </w:pPr>
    </w:p>
    <w:p w14:paraId="3529AC1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融资融券因子在全市场范围单调性欠佳，且有效性一般。</w:t>
      </w:r>
      <w:r w:rsidRPr="0082515D">
        <w:rPr>
          <w:rFonts w:ascii="宋体" w:eastAsia="宋体" w:hAnsi="宋体" w:cs="宋体"/>
          <w:kern w:val="0"/>
          <w:sz w:val="24"/>
          <w14:ligatures w14:val="none"/>
        </w:rPr>
        <w:t>只有少数融资融券因子在全选股域表现出一定的分组单调性，大多数融资融券因子在沪深300、中证500和中证1000的IC_IR表现都较为一般。从因子的预测方向来看，无论是融资因子还是融券因子，均表现为负面的预测效果，即融资买入（或融券卖出）占比越高，未来收益表现越弱。</w:t>
      </w:r>
    </w:p>
    <w:p w14:paraId="1ABC859E" w14:textId="77777777" w:rsidR="0082515D" w:rsidRPr="0082515D" w:rsidRDefault="0082515D" w:rsidP="0082515D">
      <w:pPr>
        <w:widowControl/>
        <w:jc w:val="left"/>
        <w:rPr>
          <w:rFonts w:ascii="宋体" w:eastAsia="宋体" w:hAnsi="宋体" w:cs="宋体"/>
          <w:kern w:val="0"/>
          <w:sz w:val="24"/>
          <w14:ligatures w14:val="none"/>
        </w:rPr>
      </w:pPr>
    </w:p>
    <w:p w14:paraId="4D5EB0E6" w14:textId="77777777" w:rsidR="0082515D" w:rsidRPr="0082515D" w:rsidRDefault="0082515D" w:rsidP="0082515D">
      <w:pPr>
        <w:widowControl/>
        <w:jc w:val="left"/>
        <w:rPr>
          <w:rFonts w:ascii="宋体" w:eastAsia="宋体" w:hAnsi="宋体" w:cs="宋体"/>
          <w:kern w:val="0"/>
          <w:sz w:val="24"/>
          <w14:ligatures w14:val="none"/>
        </w:rPr>
      </w:pPr>
    </w:p>
    <w:p w14:paraId="44B551B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9）价量复合因子</w:t>
      </w:r>
    </w:p>
    <w:p w14:paraId="7B0D352B" w14:textId="77777777" w:rsidR="0082515D" w:rsidRPr="0082515D" w:rsidRDefault="0082515D" w:rsidP="0082515D">
      <w:pPr>
        <w:widowControl/>
        <w:jc w:val="left"/>
        <w:rPr>
          <w:rFonts w:ascii="宋体" w:eastAsia="宋体" w:hAnsi="宋体" w:cs="宋体"/>
          <w:kern w:val="0"/>
          <w:sz w:val="24"/>
          <w14:ligatures w14:val="none"/>
        </w:rPr>
      </w:pPr>
    </w:p>
    <w:p w14:paraId="44BDA25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大部分价量复合因子之间相关性较低，具有较强的选股能力。</w:t>
      </w:r>
      <w:r w:rsidRPr="0082515D">
        <w:rPr>
          <w:rFonts w:ascii="宋体" w:eastAsia="宋体" w:hAnsi="宋体" w:cs="宋体"/>
          <w:kern w:val="0"/>
          <w:sz w:val="24"/>
          <w14:ligatures w14:val="none"/>
        </w:rPr>
        <w:t>价量复合因子大多分组单调性较好，沪深300范围内推荐关注量价相关性因子、北向持仓变化因子；中小市值范围内则推荐关注换手率因子、反转因子；此外，资金流因子虽然IC_IR表现在价量因子中表现不算突出，但考虑到它与动量、波动率、流动性因子相关性均较低，仍可作为有效的增量信息加入多因子模型中使用。</w:t>
      </w:r>
    </w:p>
    <w:p w14:paraId="3A09B6DA" w14:textId="77777777" w:rsidR="0082515D" w:rsidRPr="0082515D" w:rsidRDefault="0082515D" w:rsidP="0082515D">
      <w:pPr>
        <w:widowControl/>
        <w:jc w:val="left"/>
        <w:rPr>
          <w:rFonts w:ascii="宋体" w:eastAsia="宋体" w:hAnsi="宋体" w:cs="宋体"/>
          <w:kern w:val="0"/>
          <w:sz w:val="24"/>
          <w14:ligatures w14:val="none"/>
        </w:rPr>
      </w:pPr>
    </w:p>
    <w:p w14:paraId="21B89B7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风险提示：</w:t>
      </w:r>
      <w:r w:rsidRPr="0082515D">
        <w:rPr>
          <w:rFonts w:ascii="宋体" w:eastAsia="宋体" w:hAnsi="宋体" w:cs="宋体"/>
          <w:kern w:val="0"/>
          <w:sz w:val="24"/>
          <w14:ligatures w14:val="none"/>
        </w:rPr>
        <w:t>本篇报告基于市场历史收益表现测试价量因子的有效性，无法确保价量因子样本外的收益表现。</w:t>
      </w:r>
    </w:p>
    <w:p w14:paraId="42310F01" w14:textId="77777777" w:rsidR="0082515D" w:rsidRPr="0082515D" w:rsidRDefault="0082515D" w:rsidP="0082515D">
      <w:pPr>
        <w:widowControl/>
        <w:jc w:val="left"/>
        <w:rPr>
          <w:rFonts w:ascii="宋体" w:eastAsia="宋体" w:hAnsi="宋体" w:cs="宋体"/>
          <w:kern w:val="0"/>
          <w:sz w:val="24"/>
          <w14:ligatures w14:val="none"/>
        </w:rPr>
      </w:pPr>
    </w:p>
    <w:p w14:paraId="6F196CF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正文</w:t>
      </w:r>
    </w:p>
    <w:p w14:paraId="3D76CE4C" w14:textId="77777777" w:rsidR="0082515D" w:rsidRPr="0082515D" w:rsidRDefault="0082515D" w:rsidP="0082515D">
      <w:pPr>
        <w:widowControl/>
        <w:jc w:val="left"/>
        <w:rPr>
          <w:rFonts w:ascii="宋体" w:eastAsia="宋体" w:hAnsi="宋体" w:cs="宋体"/>
          <w:kern w:val="0"/>
          <w:sz w:val="24"/>
          <w14:ligatures w14:val="none"/>
        </w:rPr>
      </w:pPr>
    </w:p>
    <w:p w14:paraId="11D50FD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价量因子综述</w:t>
      </w:r>
    </w:p>
    <w:p w14:paraId="35CDFAA8" w14:textId="77777777" w:rsidR="0082515D" w:rsidRPr="0082515D" w:rsidRDefault="0082515D" w:rsidP="0082515D">
      <w:pPr>
        <w:widowControl/>
        <w:jc w:val="left"/>
        <w:rPr>
          <w:rFonts w:ascii="宋体" w:eastAsia="宋体" w:hAnsi="宋体" w:cs="宋体"/>
          <w:kern w:val="0"/>
          <w:sz w:val="24"/>
          <w14:ligatures w14:val="none"/>
        </w:rPr>
      </w:pPr>
    </w:p>
    <w:p w14:paraId="3A15DE6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价量因子：捕捉市场的最新动态</w:t>
      </w:r>
    </w:p>
    <w:p w14:paraId="74026B1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价量因子是以股票的交易价格、成交量以及资金的流向等数据为基础构建的，刻画的是各类投资者的交易行为。</w:t>
      </w:r>
      <w:r w:rsidRPr="0082515D">
        <w:rPr>
          <w:rFonts w:ascii="宋体" w:eastAsia="宋体" w:hAnsi="宋体" w:cs="宋体"/>
          <w:kern w:val="0"/>
          <w:sz w:val="24"/>
          <w14:ligatures w14:val="none"/>
        </w:rPr>
        <w:t>与基本面因子相比，价量因子的优势在于数据的可得性、及时性较强，能够较为及时地捕捉到市场的最新动态；它的劣势在于换手率通常较高，因子逻辑易受投资者结构、交易规则变化的影响。依据基础数据的频率划分，价量因子又可分为高频价量因子和低频价量因子，本篇报告聚焦于低频价量因子的梳理。</w:t>
      </w:r>
    </w:p>
    <w:p w14:paraId="1BD412E0" w14:textId="77777777" w:rsidR="0082515D" w:rsidRPr="0082515D" w:rsidRDefault="0082515D" w:rsidP="0082515D">
      <w:pPr>
        <w:widowControl/>
        <w:jc w:val="left"/>
        <w:rPr>
          <w:rFonts w:ascii="宋体" w:eastAsia="宋体" w:hAnsi="宋体" w:cs="宋体"/>
          <w:kern w:val="0"/>
          <w:sz w:val="24"/>
          <w14:ligatures w14:val="none"/>
        </w:rPr>
      </w:pPr>
    </w:p>
    <w:p w14:paraId="31E4DF0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我们认为，价量因子的</w:t>
      </w:r>
      <w:r w:rsidRPr="0082515D">
        <w:rPr>
          <w:rFonts w:ascii="宋体" w:eastAsia="宋体" w:hAnsi="宋体" w:cs="宋体"/>
          <w:b/>
          <w:bCs/>
          <w:kern w:val="0"/>
          <w:sz w:val="24"/>
          <w14:ligatures w14:val="none"/>
        </w:rPr>
        <w:t>收益来源主要有三方面</w:t>
      </w:r>
      <w:r w:rsidRPr="0082515D">
        <w:rPr>
          <w:rFonts w:ascii="宋体" w:eastAsia="宋体" w:hAnsi="宋体" w:cs="宋体"/>
          <w:kern w:val="0"/>
          <w:sz w:val="24"/>
          <w14:ligatures w14:val="none"/>
        </w:rPr>
        <w:t>，一是通过捕捉由于噪音交易者反映过度（或反应不足）造成的错误定价所带来的投资机会；二是追随“聪明资金”，获取基本面改善带来的超额收益；三是承担了特定的风险，获得风险补偿收益。</w:t>
      </w:r>
    </w:p>
    <w:p w14:paraId="344D36EF" w14:textId="77777777" w:rsidR="0082515D" w:rsidRPr="0082515D" w:rsidRDefault="0082515D" w:rsidP="0082515D">
      <w:pPr>
        <w:widowControl/>
        <w:jc w:val="left"/>
        <w:rPr>
          <w:rFonts w:ascii="宋体" w:eastAsia="宋体" w:hAnsi="宋体" w:cs="宋体"/>
          <w:kern w:val="0"/>
          <w:sz w:val="24"/>
          <w14:ligatures w14:val="none"/>
        </w:rPr>
      </w:pPr>
    </w:p>
    <w:p w14:paraId="1141406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图表1：价量因子收益来源</w:t>
      </w:r>
    </w:p>
    <w:p w14:paraId="0F5141A9" w14:textId="4345A9A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"https://mmbiz.qpic.cn/mmbiz_jpg/41FzlIA3BAWJblpfs7z25pCeTTJegtmBOju6IialxONrDykkoOjibsKtg6BVGgEOcOrgepziakBpGbJqb7Xn1UR5A/640?wx_fmt=jpeg&amp;tp=wxpic&amp;wxfrom=5&amp;wx_lazy=1#imgIndex=0"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D695BDE" wp14:editId="3235568A">
            <wp:extent cx="5274310" cy="2774950"/>
            <wp:effectExtent l="0" t="0" r="0" b="6350"/>
            <wp:docPr id="28429796" name="图片 10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77495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B509C6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1E8C009E" w14:textId="77777777" w:rsidR="0082515D" w:rsidRPr="0082515D" w:rsidRDefault="0082515D" w:rsidP="0082515D">
      <w:pPr>
        <w:widowControl/>
        <w:jc w:val="left"/>
        <w:rPr>
          <w:rFonts w:ascii="宋体" w:eastAsia="宋体" w:hAnsi="宋体" w:cs="宋体"/>
          <w:kern w:val="0"/>
          <w:sz w:val="24"/>
          <w14:ligatures w14:val="none"/>
        </w:rPr>
      </w:pPr>
    </w:p>
    <w:p w14:paraId="7C007CE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本文依据价量因子的构建方式将其划分为8大类，分别为动量&amp;反转、流动性、波动率、量价相关性、筹码分布、资金流、北向资金、融资融券因子。我们将依次检验各类因子的有效性，并尝试分析其主要收益来源。</w:t>
      </w:r>
    </w:p>
    <w:p w14:paraId="39C452AE" w14:textId="77777777" w:rsidR="0082515D" w:rsidRPr="0082515D" w:rsidRDefault="0082515D" w:rsidP="0082515D">
      <w:pPr>
        <w:widowControl/>
        <w:jc w:val="left"/>
        <w:rPr>
          <w:rFonts w:ascii="宋体" w:eastAsia="宋体" w:hAnsi="宋体" w:cs="宋体"/>
          <w:kern w:val="0"/>
          <w:sz w:val="24"/>
          <w14:ligatures w14:val="none"/>
        </w:rPr>
      </w:pPr>
    </w:p>
    <w:p w14:paraId="3BA4AFD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图表2：价量因子分类</w:t>
      </w:r>
    </w:p>
    <w:p w14:paraId="37FB4BD0" w14:textId="01CE224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"https://mmbiz.qpic.cn/mmbiz_png/41FzlIA3BAWJblpfs7z25pCeTTJegtmB1EkDQcPbtf4M8Mhsc1rNFAGFibeNicAUGsStBVzsZniaiaqJHicnPu3exBg/640?wx_fmt=png&amp;tp=wxpic&amp;wxfrom=5&amp;wx_lazy=1#imgIndex=1"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DF62DC9" wp14:editId="39A17339">
            <wp:extent cx="5274310" cy="3164840"/>
            <wp:effectExtent l="0" t="0" r="0" b="0"/>
            <wp:docPr id="1761239763" name="图片 10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E98299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6E7FE363" w14:textId="77777777" w:rsidR="0082515D" w:rsidRPr="0082515D" w:rsidRDefault="0082515D" w:rsidP="0082515D">
      <w:pPr>
        <w:widowControl/>
        <w:jc w:val="left"/>
        <w:rPr>
          <w:rFonts w:ascii="宋体" w:eastAsia="宋体" w:hAnsi="宋体" w:cs="宋体"/>
          <w:kern w:val="0"/>
          <w:sz w:val="24"/>
          <w14:ligatures w14:val="none"/>
        </w:rPr>
      </w:pPr>
    </w:p>
    <w:p w14:paraId="3B4337E3" w14:textId="77777777" w:rsidR="0082515D" w:rsidRPr="0082515D" w:rsidRDefault="0082515D" w:rsidP="0082515D">
      <w:pPr>
        <w:widowControl/>
        <w:jc w:val="left"/>
        <w:rPr>
          <w:rFonts w:ascii="宋体" w:eastAsia="宋体" w:hAnsi="宋体" w:cs="宋体"/>
          <w:kern w:val="0"/>
          <w:sz w:val="24"/>
          <w14:ligatures w14:val="none"/>
        </w:rPr>
      </w:pPr>
    </w:p>
    <w:p w14:paraId="1CC3E11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因子测试框架</w:t>
      </w:r>
    </w:p>
    <w:p w14:paraId="219F498F" w14:textId="77777777" w:rsidR="0082515D" w:rsidRPr="0082515D" w:rsidRDefault="0082515D" w:rsidP="0082515D">
      <w:pPr>
        <w:widowControl/>
        <w:jc w:val="left"/>
        <w:rPr>
          <w:rFonts w:ascii="宋体" w:eastAsia="宋体" w:hAnsi="宋体" w:cs="宋体"/>
          <w:kern w:val="0"/>
          <w:sz w:val="24"/>
          <w14:ligatures w14:val="none"/>
        </w:rPr>
      </w:pPr>
    </w:p>
    <w:p w14:paraId="76D5C5B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本文对基本面因子进行IC检验和分组回测检验，展示不同因子的有效性水平。</w:t>
      </w:r>
      <w:r w:rsidRPr="0082515D">
        <w:rPr>
          <w:rFonts w:ascii="宋体" w:eastAsia="宋体" w:hAnsi="宋体" w:cs="宋体"/>
          <w:kern w:val="0"/>
          <w:sz w:val="24"/>
          <w14:ligatures w14:val="none"/>
        </w:rPr>
        <w:t>我们将对各类因子在全市场、沪深300、中证500和中证1000进行IC检验与分组回测检验，分析不同因子收益率预测的稳定性、单调性和有效性，并展示个别因子的分行业IC表现和多头收益表现。其中因子测试框架如下：</w:t>
      </w:r>
    </w:p>
    <w:p w14:paraId="020FFF37" w14:textId="77777777" w:rsidR="0082515D" w:rsidRPr="0082515D" w:rsidRDefault="0082515D" w:rsidP="0082515D">
      <w:pPr>
        <w:widowControl/>
        <w:jc w:val="left"/>
        <w:rPr>
          <w:rFonts w:ascii="宋体" w:eastAsia="宋体" w:hAnsi="宋体" w:cs="宋体"/>
          <w:kern w:val="0"/>
          <w:sz w:val="24"/>
          <w14:ligatures w14:val="none"/>
        </w:rPr>
      </w:pPr>
    </w:p>
    <w:p w14:paraId="3ABE97C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kern w:val="0"/>
          <w:sz w:val="24"/>
          <w14:ligatures w14:val="none"/>
        </w:rPr>
        <w:t>测试区间：2010.01.04 – 2022.07.01（中证1000范围内测试从2014.11.01开始）</w:t>
      </w:r>
    </w:p>
    <w:p w14:paraId="3CD0987D" w14:textId="77777777" w:rsidR="0082515D" w:rsidRPr="0082515D" w:rsidRDefault="0082515D" w:rsidP="0082515D">
      <w:pPr>
        <w:widowControl/>
        <w:jc w:val="left"/>
        <w:rPr>
          <w:rFonts w:ascii="宋体" w:eastAsia="宋体" w:hAnsi="宋体" w:cs="宋体"/>
          <w:kern w:val="0"/>
          <w:sz w:val="24"/>
          <w14:ligatures w14:val="none"/>
        </w:rPr>
      </w:pPr>
    </w:p>
    <w:p w14:paraId="2976C7E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kern w:val="0"/>
          <w:sz w:val="24"/>
          <w14:ligatures w14:val="none"/>
        </w:rPr>
        <w:t>股票池：全市场、沪深300和中证500中剔除ST、停牌、一字板和上市未满一年股票</w:t>
      </w:r>
    </w:p>
    <w:p w14:paraId="4CE0CB1A" w14:textId="77777777" w:rsidR="0082515D" w:rsidRPr="0082515D" w:rsidRDefault="0082515D" w:rsidP="0082515D">
      <w:pPr>
        <w:widowControl/>
        <w:jc w:val="left"/>
        <w:rPr>
          <w:rFonts w:ascii="宋体" w:eastAsia="宋体" w:hAnsi="宋体" w:cs="宋体"/>
          <w:kern w:val="0"/>
          <w:sz w:val="24"/>
          <w14:ligatures w14:val="none"/>
        </w:rPr>
      </w:pPr>
    </w:p>
    <w:p w14:paraId="66DC95E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kern w:val="0"/>
          <w:sz w:val="24"/>
          <w14:ligatures w14:val="none"/>
        </w:rPr>
        <w:t>频率：月度</w:t>
      </w:r>
    </w:p>
    <w:p w14:paraId="376EFF74" w14:textId="77777777" w:rsidR="0082515D" w:rsidRPr="0082515D" w:rsidRDefault="0082515D" w:rsidP="0082515D">
      <w:pPr>
        <w:widowControl/>
        <w:jc w:val="left"/>
        <w:rPr>
          <w:rFonts w:ascii="宋体" w:eastAsia="宋体" w:hAnsi="宋体" w:cs="宋体"/>
          <w:kern w:val="0"/>
          <w:sz w:val="24"/>
          <w14:ligatures w14:val="none"/>
        </w:rPr>
      </w:pPr>
    </w:p>
    <w:p w14:paraId="384AE4C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kern w:val="0"/>
          <w:sz w:val="24"/>
          <w14:ligatures w14:val="none"/>
        </w:rPr>
        <w:t>分组回测组数：按照因子值由小到大的顺序等分为10组</w:t>
      </w:r>
    </w:p>
    <w:p w14:paraId="2C366AE6" w14:textId="77777777" w:rsidR="0082515D" w:rsidRPr="0082515D" w:rsidRDefault="0082515D" w:rsidP="0082515D">
      <w:pPr>
        <w:widowControl/>
        <w:jc w:val="left"/>
        <w:rPr>
          <w:rFonts w:ascii="宋体" w:eastAsia="宋体" w:hAnsi="宋体" w:cs="宋体"/>
          <w:kern w:val="0"/>
          <w:sz w:val="24"/>
          <w14:ligatures w14:val="none"/>
        </w:rPr>
      </w:pPr>
    </w:p>
    <w:p w14:paraId="3EAFC888" w14:textId="77777777" w:rsidR="0082515D" w:rsidRPr="0082515D" w:rsidRDefault="0082515D" w:rsidP="0082515D">
      <w:pPr>
        <w:widowControl/>
        <w:jc w:val="left"/>
        <w:rPr>
          <w:rFonts w:ascii="宋体" w:eastAsia="宋体" w:hAnsi="宋体" w:cs="宋体"/>
          <w:kern w:val="0"/>
          <w:sz w:val="24"/>
          <w14:ligatures w14:val="none"/>
        </w:rPr>
      </w:pPr>
    </w:p>
    <w:p w14:paraId="78ACCE1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因子有效性评价标准</w:t>
      </w:r>
    </w:p>
    <w:p w14:paraId="186C1E0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使用多种指标展示因子的有效性水平。</w:t>
      </w:r>
      <w:r w:rsidRPr="0082515D">
        <w:rPr>
          <w:rFonts w:ascii="宋体" w:eastAsia="宋体" w:hAnsi="宋体" w:cs="宋体"/>
          <w:kern w:val="0"/>
          <w:sz w:val="24"/>
          <w14:ligatures w14:val="none"/>
        </w:rPr>
        <w:t>在IC检验中，我们使用IC均值、IC_IR等指标展示因子暴露与下期收益率的秩相关性，反映因子对收益率的预测能力。在分组回测中，使用多头年化收益率、多头年化超额收益率、多头超额最大回撤等指标展示多头组合的选股能力；其中我们用较为创新的方式对单调性进行计算，即测算分组回测的组数序号与对应组合年化收益率的秩相关系数，该绝对数值越接近于1，则因子单调性越显著。</w:t>
      </w:r>
    </w:p>
    <w:p w14:paraId="06C8D72D" w14:textId="77777777" w:rsidR="0082515D" w:rsidRPr="0082515D" w:rsidRDefault="0082515D" w:rsidP="0082515D">
      <w:pPr>
        <w:widowControl/>
        <w:jc w:val="left"/>
        <w:rPr>
          <w:rFonts w:ascii="宋体" w:eastAsia="宋体" w:hAnsi="宋体" w:cs="宋体"/>
          <w:kern w:val="0"/>
          <w:sz w:val="24"/>
          <w14:ligatures w14:val="none"/>
        </w:rPr>
      </w:pPr>
    </w:p>
    <w:p w14:paraId="61F38AA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图表3：有效性检验指标含义</w:t>
      </w:r>
    </w:p>
    <w:p w14:paraId="571AF013" w14:textId="2202C72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"https://mmbiz.qpic.cn/mmbiz_png/41FzlIA3BAWJblpfs7z25pCeTTJegtmBsnMC0AJoiaS9HScATy5iaRpvtFX9Imdlg15TPscbyRH0hvm4kr2S8H7g/640?wx_fmt=png&amp;tp=wxpic&amp;wxfrom=5&amp;wx_lazy=1#imgIndex=2"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8476591" wp14:editId="548F8C36">
            <wp:extent cx="5274310" cy="1562735"/>
            <wp:effectExtent l="0" t="0" r="0" b="0"/>
            <wp:docPr id="1652806445" name="图片 10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5627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F78E6B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1C37BDD8" w14:textId="77777777" w:rsidR="0082515D" w:rsidRPr="0082515D" w:rsidRDefault="0082515D" w:rsidP="0082515D">
      <w:pPr>
        <w:widowControl/>
        <w:jc w:val="left"/>
        <w:rPr>
          <w:rFonts w:ascii="宋体" w:eastAsia="宋体" w:hAnsi="宋体" w:cs="宋体"/>
          <w:kern w:val="0"/>
          <w:sz w:val="24"/>
          <w14:ligatures w14:val="none"/>
        </w:rPr>
      </w:pPr>
    </w:p>
    <w:p w14:paraId="217AC64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动量 &amp; 反转</w:t>
      </w:r>
    </w:p>
    <w:p w14:paraId="7E14B40E" w14:textId="77777777" w:rsidR="0082515D" w:rsidRPr="0082515D" w:rsidRDefault="0082515D" w:rsidP="0082515D">
      <w:pPr>
        <w:widowControl/>
        <w:jc w:val="left"/>
        <w:rPr>
          <w:rFonts w:ascii="宋体" w:eastAsia="宋体" w:hAnsi="宋体" w:cs="宋体"/>
          <w:kern w:val="0"/>
          <w:sz w:val="24"/>
          <w14:ligatures w14:val="none"/>
        </w:rPr>
      </w:pPr>
    </w:p>
    <w:p w14:paraId="7B4C745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隔夜涨幅表现为动量，日内涨幅表现为反转</w:t>
      </w:r>
    </w:p>
    <w:p w14:paraId="3F1940F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动量&amp;反转因子通常由过去一段时间的特定类型的涨跌幅构造，其因子收益一方面可能来源于非理性投资者的行为偏差造成的错误定价，另一方面也可能来源于承担特定风险获得的风险补偿（参考中金公司研究报告《量化多因子系列（6）：关于动量，你所希望了解的那些事》）。本节，我们将对23个不同构建方式下的动量&amp;反转因子进行有效性检验。</w:t>
      </w:r>
    </w:p>
    <w:p w14:paraId="46DD5510" w14:textId="77777777" w:rsidR="0082515D" w:rsidRPr="0082515D" w:rsidRDefault="0082515D" w:rsidP="0082515D">
      <w:pPr>
        <w:widowControl/>
        <w:jc w:val="left"/>
        <w:rPr>
          <w:rFonts w:ascii="宋体" w:eastAsia="宋体" w:hAnsi="宋体" w:cs="宋体"/>
          <w:kern w:val="0"/>
          <w:sz w:val="24"/>
          <w14:ligatures w14:val="none"/>
        </w:rPr>
      </w:pPr>
    </w:p>
    <w:p w14:paraId="341515C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图表4：动量 &amp; 反转类因子构建方式</w:t>
      </w:r>
    </w:p>
    <w:p w14:paraId="27F1AB18" w14:textId="4809609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"https://mmbiz.qpic.cn/mmbiz_png/41FzlIA3BAWJblpfs7z25pCeTTJegtmBNjXs8tIuIjf2ibSaeoAyiagOcGlbRc5Dr2icsHJq9Enw3o5TL7gEfJ64A/640?wx_fmt=png&amp;tp=wxpic&amp;wxfrom=5&amp;wx_lazy=1#imgIndex=3"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6103494" wp14:editId="69ADB519">
            <wp:extent cx="5274310" cy="2799080"/>
            <wp:effectExtent l="0" t="0" r="0" b="0"/>
            <wp:docPr id="1371464357" name="图片 10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79908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D3D80D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3B84E976"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3"/>
          <w:szCs w:val="23"/>
          <w14:ligatures w14:val="none"/>
        </w:rPr>
        <w:t>mmt_intraday_M</w:t>
      </w:r>
      <w:proofErr w:type="spellEnd"/>
      <w:r w:rsidRPr="0082515D">
        <w:rPr>
          <w:rFonts w:ascii="宋体" w:eastAsia="宋体" w:hAnsi="宋体" w:cs="宋体"/>
          <w:b/>
          <w:bCs/>
          <w:kern w:val="0"/>
          <w:sz w:val="23"/>
          <w:szCs w:val="23"/>
          <w14:ligatures w14:val="none"/>
        </w:rPr>
        <w:t>、</w:t>
      </w:r>
      <w:proofErr w:type="spellStart"/>
      <w:r w:rsidRPr="0082515D">
        <w:rPr>
          <w:rFonts w:ascii="宋体" w:eastAsia="宋体" w:hAnsi="宋体" w:cs="宋体"/>
          <w:b/>
          <w:bCs/>
          <w:kern w:val="0"/>
          <w:sz w:val="23"/>
          <w:szCs w:val="23"/>
          <w14:ligatures w14:val="none"/>
        </w:rPr>
        <w:t>mmt_range_M</w:t>
      </w:r>
      <w:proofErr w:type="spellEnd"/>
      <w:r w:rsidRPr="0082515D">
        <w:rPr>
          <w:rFonts w:ascii="宋体" w:eastAsia="宋体" w:hAnsi="宋体" w:cs="宋体"/>
          <w:b/>
          <w:bCs/>
          <w:kern w:val="0"/>
          <w:sz w:val="23"/>
          <w:szCs w:val="23"/>
          <w14:ligatures w14:val="none"/>
        </w:rPr>
        <w:t>和</w:t>
      </w:r>
      <w:proofErr w:type="spellStart"/>
      <w:r w:rsidRPr="0082515D">
        <w:rPr>
          <w:rFonts w:ascii="宋体" w:eastAsia="宋体" w:hAnsi="宋体" w:cs="宋体"/>
          <w:b/>
          <w:bCs/>
          <w:kern w:val="0"/>
          <w:sz w:val="23"/>
          <w:szCs w:val="23"/>
          <w14:ligatures w14:val="none"/>
        </w:rPr>
        <w:t>mmt_report_overnight</w:t>
      </w:r>
      <w:proofErr w:type="spellEnd"/>
      <w:r w:rsidRPr="0082515D">
        <w:rPr>
          <w:rFonts w:ascii="宋体" w:eastAsia="宋体" w:hAnsi="宋体" w:cs="宋体"/>
          <w:b/>
          <w:bCs/>
          <w:kern w:val="0"/>
          <w:sz w:val="23"/>
          <w:szCs w:val="23"/>
          <w14:ligatures w14:val="none"/>
        </w:rPr>
        <w:t>因子在绝大多数选股域中有效性良好。</w:t>
      </w:r>
      <w:r w:rsidRPr="0082515D">
        <w:rPr>
          <w:rFonts w:ascii="宋体" w:eastAsia="宋体" w:hAnsi="宋体" w:cs="宋体"/>
          <w:kern w:val="0"/>
          <w:sz w:val="23"/>
          <w:szCs w:val="23"/>
          <w14:ligatures w14:val="none"/>
        </w:rPr>
        <w:t>我们将动量&amp;反转因子在全市场、沪深300、中证500和中证1000分别进行有效性检验，基于因子的相关性统计，大致将动量&amp;反转因子分为以下四类：隔夜动量、报告期动量、月度反转和年度动量因子。</w:t>
      </w:r>
    </w:p>
    <w:p w14:paraId="74FD2B9B" w14:textId="77777777" w:rsidR="0082515D" w:rsidRPr="0082515D" w:rsidRDefault="0082515D" w:rsidP="0082515D">
      <w:pPr>
        <w:widowControl/>
        <w:jc w:val="left"/>
        <w:rPr>
          <w:rFonts w:ascii="宋体" w:eastAsia="宋体" w:hAnsi="宋体" w:cs="宋体"/>
          <w:kern w:val="0"/>
          <w:sz w:val="24"/>
          <w14:ligatures w14:val="none"/>
        </w:rPr>
      </w:pPr>
    </w:p>
    <w:p w14:paraId="2F7ECE0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隔夜动量因子</w:t>
      </w:r>
      <w:r w:rsidRPr="0082515D">
        <w:rPr>
          <w:rFonts w:ascii="宋体" w:eastAsia="宋体" w:hAnsi="宋体" w:cs="宋体"/>
          <w:kern w:val="0"/>
          <w:sz w:val="23"/>
          <w:szCs w:val="23"/>
          <w14:ligatures w14:val="none"/>
        </w:rPr>
        <w:t>包括</w:t>
      </w:r>
      <w:proofErr w:type="spellStart"/>
      <w:r w:rsidRPr="0082515D">
        <w:rPr>
          <w:rFonts w:ascii="宋体" w:eastAsia="宋体" w:hAnsi="宋体" w:cs="宋体"/>
          <w:kern w:val="0"/>
          <w:sz w:val="23"/>
          <w:szCs w:val="23"/>
          <w14:ligatures w14:val="none"/>
        </w:rPr>
        <w:t>mmt_overnight_A</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mmt_overnight_M</w:t>
      </w:r>
      <w:proofErr w:type="spellEnd"/>
      <w:r w:rsidRPr="0082515D">
        <w:rPr>
          <w:rFonts w:ascii="宋体" w:eastAsia="宋体" w:hAnsi="宋体" w:cs="宋体"/>
          <w:kern w:val="0"/>
          <w:sz w:val="23"/>
          <w:szCs w:val="23"/>
          <w14:ligatures w14:val="none"/>
        </w:rPr>
        <w:t>和</w:t>
      </w:r>
      <w:proofErr w:type="spellStart"/>
      <w:r w:rsidRPr="0082515D">
        <w:rPr>
          <w:rFonts w:ascii="宋体" w:eastAsia="宋体" w:hAnsi="宋体" w:cs="宋体"/>
          <w:kern w:val="0"/>
          <w:sz w:val="23"/>
          <w:szCs w:val="23"/>
          <w14:ligatures w14:val="none"/>
        </w:rPr>
        <w:t>mmt_report_overnight</w:t>
      </w:r>
      <w:proofErr w:type="spellEnd"/>
      <w:r w:rsidRPr="0082515D">
        <w:rPr>
          <w:rFonts w:ascii="宋体" w:eastAsia="宋体" w:hAnsi="宋体" w:cs="宋体"/>
          <w:kern w:val="0"/>
          <w:sz w:val="23"/>
          <w:szCs w:val="23"/>
          <w14:ligatures w14:val="none"/>
        </w:rPr>
        <w:t>因子。</w:t>
      </w:r>
      <w:proofErr w:type="spellStart"/>
      <w:r w:rsidRPr="0082515D">
        <w:rPr>
          <w:rFonts w:ascii="宋体" w:eastAsia="宋体" w:hAnsi="宋体" w:cs="宋体"/>
          <w:kern w:val="0"/>
          <w:sz w:val="23"/>
          <w:szCs w:val="23"/>
          <w14:ligatures w14:val="none"/>
        </w:rPr>
        <w:t>mmt_report_overnight</w:t>
      </w:r>
      <w:proofErr w:type="spellEnd"/>
      <w:r w:rsidRPr="0082515D">
        <w:rPr>
          <w:rFonts w:ascii="宋体" w:eastAsia="宋体" w:hAnsi="宋体" w:cs="宋体"/>
          <w:kern w:val="0"/>
          <w:sz w:val="23"/>
          <w:szCs w:val="23"/>
          <w14:ligatures w14:val="none"/>
        </w:rPr>
        <w:t>因子在全市场范围内表现较为出色，在中证500和中证1000中也有较强的收益预测能力，且单调性良好。但在沪深300中，隔夜动量因子均表现较为普通，说明该类因子在大市值股票的有效性偏弱。全市场中，</w:t>
      </w:r>
      <w:proofErr w:type="spellStart"/>
      <w:r w:rsidRPr="0082515D">
        <w:rPr>
          <w:rFonts w:ascii="宋体" w:eastAsia="宋体" w:hAnsi="宋体" w:cs="宋体"/>
          <w:kern w:val="0"/>
          <w:sz w:val="23"/>
          <w:szCs w:val="23"/>
          <w14:ligatures w14:val="none"/>
        </w:rPr>
        <w:t>mmt_report_overnight</w:t>
      </w:r>
      <w:proofErr w:type="spellEnd"/>
      <w:r w:rsidRPr="0082515D">
        <w:rPr>
          <w:rFonts w:ascii="宋体" w:eastAsia="宋体" w:hAnsi="宋体" w:cs="宋体"/>
          <w:kern w:val="0"/>
          <w:sz w:val="23"/>
          <w:szCs w:val="23"/>
          <w14:ligatures w14:val="none"/>
        </w:rPr>
        <w:t>因子的IC均值为2.9%，IC_IR为0.73。</w:t>
      </w:r>
    </w:p>
    <w:p w14:paraId="2EB37C0D" w14:textId="77777777" w:rsidR="0082515D" w:rsidRPr="0082515D" w:rsidRDefault="0082515D" w:rsidP="0082515D">
      <w:pPr>
        <w:widowControl/>
        <w:jc w:val="left"/>
        <w:rPr>
          <w:rFonts w:ascii="宋体" w:eastAsia="宋体" w:hAnsi="宋体" w:cs="宋体"/>
          <w:kern w:val="0"/>
          <w:sz w:val="24"/>
          <w14:ligatures w14:val="none"/>
        </w:rPr>
      </w:pPr>
    </w:p>
    <w:p w14:paraId="36AAC27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报告期动量因子</w:t>
      </w:r>
      <w:r w:rsidRPr="0082515D">
        <w:rPr>
          <w:rFonts w:ascii="宋体" w:eastAsia="宋体" w:hAnsi="宋体" w:cs="宋体"/>
          <w:kern w:val="0"/>
          <w:sz w:val="23"/>
          <w:szCs w:val="23"/>
          <w14:ligatures w14:val="none"/>
        </w:rPr>
        <w:t>指的是与报告期前后涨跌幅相关的因子，如：</w:t>
      </w:r>
      <w:proofErr w:type="spellStart"/>
      <w:r w:rsidRPr="0082515D">
        <w:rPr>
          <w:rFonts w:ascii="宋体" w:eastAsia="宋体" w:hAnsi="宋体" w:cs="宋体"/>
          <w:kern w:val="0"/>
          <w:sz w:val="23"/>
          <w:szCs w:val="23"/>
          <w14:ligatures w14:val="none"/>
        </w:rPr>
        <w:t>mmt_report_jump_open</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mmt_report_period</w:t>
      </w:r>
      <w:proofErr w:type="spellEnd"/>
      <w:r w:rsidRPr="0082515D">
        <w:rPr>
          <w:rFonts w:ascii="宋体" w:eastAsia="宋体" w:hAnsi="宋体" w:cs="宋体"/>
          <w:kern w:val="0"/>
          <w:sz w:val="23"/>
          <w:szCs w:val="23"/>
          <w14:ligatures w14:val="none"/>
        </w:rPr>
        <w:t>等。大部分报告期动量因子在全市场、中证500、中证1000范围内表现良好，</w:t>
      </w:r>
      <w:r w:rsidRPr="0082515D">
        <w:rPr>
          <w:rFonts w:ascii="宋体" w:eastAsia="宋体" w:hAnsi="宋体" w:cs="宋体"/>
          <w:b/>
          <w:bCs/>
          <w:kern w:val="0"/>
          <w:sz w:val="23"/>
          <w:szCs w:val="23"/>
          <w14:ligatures w14:val="none"/>
        </w:rPr>
        <w:t>互相之间相关性较低</w:t>
      </w:r>
      <w:r w:rsidRPr="0082515D">
        <w:rPr>
          <w:rFonts w:ascii="宋体" w:eastAsia="宋体" w:hAnsi="宋体" w:cs="宋体"/>
          <w:kern w:val="0"/>
          <w:sz w:val="23"/>
          <w:szCs w:val="23"/>
          <w14:ligatures w14:val="none"/>
        </w:rPr>
        <w:t>；沪深300范围内可关注</w:t>
      </w:r>
      <w:proofErr w:type="spellStart"/>
      <w:r w:rsidRPr="0082515D">
        <w:rPr>
          <w:rFonts w:ascii="宋体" w:eastAsia="宋体" w:hAnsi="宋体" w:cs="宋体"/>
          <w:kern w:val="0"/>
          <w:sz w:val="23"/>
          <w:szCs w:val="23"/>
          <w14:ligatures w14:val="none"/>
        </w:rPr>
        <w:t>mmt_report_period</w:t>
      </w:r>
      <w:proofErr w:type="spellEnd"/>
      <w:r w:rsidRPr="0082515D">
        <w:rPr>
          <w:rFonts w:ascii="宋体" w:eastAsia="宋体" w:hAnsi="宋体" w:cs="宋体"/>
          <w:kern w:val="0"/>
          <w:sz w:val="23"/>
          <w:szCs w:val="23"/>
          <w14:ligatures w14:val="none"/>
        </w:rPr>
        <w:t>因子，即业绩公告日前后两天内涨跌幅因子，年化超额收益率可达9.1%。</w:t>
      </w:r>
    </w:p>
    <w:p w14:paraId="4FF2E423" w14:textId="77777777" w:rsidR="0082515D" w:rsidRPr="0082515D" w:rsidRDefault="0082515D" w:rsidP="0082515D">
      <w:pPr>
        <w:widowControl/>
        <w:jc w:val="left"/>
        <w:rPr>
          <w:rFonts w:ascii="宋体" w:eastAsia="宋体" w:hAnsi="宋体" w:cs="宋体"/>
          <w:kern w:val="0"/>
          <w:sz w:val="24"/>
          <w14:ligatures w14:val="none"/>
        </w:rPr>
      </w:pPr>
    </w:p>
    <w:p w14:paraId="3426E03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月度反转因子</w:t>
      </w:r>
      <w:r w:rsidRPr="0082515D">
        <w:rPr>
          <w:rFonts w:ascii="宋体" w:eastAsia="宋体" w:hAnsi="宋体" w:cs="宋体"/>
          <w:kern w:val="0"/>
          <w:sz w:val="23"/>
          <w:szCs w:val="23"/>
          <w14:ligatures w14:val="none"/>
        </w:rPr>
        <w:t>指的是一个月涨跌幅因子及其衍生因子，该类因子在全市场范围内彼此相关性较高。其中，</w:t>
      </w:r>
      <w:proofErr w:type="spellStart"/>
      <w:r w:rsidRPr="0082515D">
        <w:rPr>
          <w:rFonts w:ascii="宋体" w:eastAsia="宋体" w:hAnsi="宋体" w:cs="宋体"/>
          <w:kern w:val="0"/>
          <w:sz w:val="23"/>
          <w:szCs w:val="23"/>
          <w14:ligatures w14:val="none"/>
        </w:rPr>
        <w:t>mmt_intraday_M</w:t>
      </w:r>
      <w:proofErr w:type="spellEnd"/>
      <w:r w:rsidRPr="0082515D">
        <w:rPr>
          <w:rFonts w:ascii="宋体" w:eastAsia="宋体" w:hAnsi="宋体" w:cs="宋体"/>
          <w:kern w:val="0"/>
          <w:sz w:val="23"/>
          <w:szCs w:val="23"/>
          <w14:ligatures w14:val="none"/>
        </w:rPr>
        <w:t>因子在全市场、中证500和中证1000中收益预测能力和单调性较好，但在沪深300中表现相对较弱。而</w:t>
      </w:r>
      <w:proofErr w:type="spellStart"/>
      <w:r w:rsidRPr="0082515D">
        <w:rPr>
          <w:rFonts w:ascii="宋体" w:eastAsia="宋体" w:hAnsi="宋体" w:cs="宋体"/>
          <w:kern w:val="0"/>
          <w:sz w:val="23"/>
          <w:szCs w:val="23"/>
          <w14:ligatures w14:val="none"/>
        </w:rPr>
        <w:t>mmt_range_M</w:t>
      </w:r>
      <w:proofErr w:type="spellEnd"/>
      <w:r w:rsidRPr="0082515D">
        <w:rPr>
          <w:rFonts w:ascii="宋体" w:eastAsia="宋体" w:hAnsi="宋体" w:cs="宋体"/>
          <w:kern w:val="0"/>
          <w:sz w:val="23"/>
          <w:szCs w:val="23"/>
          <w14:ligatures w14:val="none"/>
        </w:rPr>
        <w:t>因子在所有选股域中均表现优良。全市场中，</w:t>
      </w:r>
      <w:proofErr w:type="spellStart"/>
      <w:r w:rsidRPr="0082515D">
        <w:rPr>
          <w:rFonts w:ascii="宋体" w:eastAsia="宋体" w:hAnsi="宋体" w:cs="宋体"/>
          <w:kern w:val="0"/>
          <w:sz w:val="23"/>
          <w:szCs w:val="23"/>
          <w14:ligatures w14:val="none"/>
        </w:rPr>
        <w:t>mmt_intraday_M</w:t>
      </w:r>
      <w:proofErr w:type="spellEnd"/>
      <w:r w:rsidRPr="0082515D">
        <w:rPr>
          <w:rFonts w:ascii="宋体" w:eastAsia="宋体" w:hAnsi="宋体" w:cs="宋体"/>
          <w:kern w:val="0"/>
          <w:sz w:val="23"/>
          <w:szCs w:val="23"/>
          <w14:ligatures w14:val="none"/>
        </w:rPr>
        <w:t>因子的IC均值为-6.8%，IC_IR为-0.77；</w:t>
      </w:r>
      <w:proofErr w:type="spellStart"/>
      <w:r w:rsidRPr="0082515D">
        <w:rPr>
          <w:rFonts w:ascii="宋体" w:eastAsia="宋体" w:hAnsi="宋体" w:cs="宋体"/>
          <w:kern w:val="0"/>
          <w:sz w:val="23"/>
          <w:szCs w:val="23"/>
          <w14:ligatures w14:val="none"/>
        </w:rPr>
        <w:t>mmt_range_M</w:t>
      </w:r>
      <w:proofErr w:type="spellEnd"/>
      <w:r w:rsidRPr="0082515D">
        <w:rPr>
          <w:rFonts w:ascii="宋体" w:eastAsia="宋体" w:hAnsi="宋体" w:cs="宋体"/>
          <w:kern w:val="0"/>
          <w:sz w:val="23"/>
          <w:szCs w:val="23"/>
          <w14:ligatures w14:val="none"/>
        </w:rPr>
        <w:t>因子的IC均值为-6.8%，IC_IR为-1.03。</w:t>
      </w:r>
    </w:p>
    <w:p w14:paraId="52738A99" w14:textId="77777777" w:rsidR="0082515D" w:rsidRPr="0082515D" w:rsidRDefault="0082515D" w:rsidP="0082515D">
      <w:pPr>
        <w:widowControl/>
        <w:jc w:val="left"/>
        <w:rPr>
          <w:rFonts w:ascii="宋体" w:eastAsia="宋体" w:hAnsi="宋体" w:cs="宋体"/>
          <w:kern w:val="0"/>
          <w:sz w:val="24"/>
          <w14:ligatures w14:val="none"/>
        </w:rPr>
      </w:pPr>
    </w:p>
    <w:p w14:paraId="3598DE6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年度动量因子</w:t>
      </w:r>
      <w:r w:rsidRPr="0082515D">
        <w:rPr>
          <w:rFonts w:ascii="宋体" w:eastAsia="宋体" w:hAnsi="宋体" w:cs="宋体"/>
          <w:kern w:val="0"/>
          <w:sz w:val="23"/>
          <w:szCs w:val="23"/>
          <w14:ligatures w14:val="none"/>
        </w:rPr>
        <w:t>主要指年度涨跌幅因子及其衍生因子，该类因子与反转、隔夜动量、报告期动量因子的相关性均较低，包括</w:t>
      </w:r>
      <w:proofErr w:type="spellStart"/>
      <w:r w:rsidRPr="0082515D">
        <w:rPr>
          <w:rFonts w:ascii="宋体" w:eastAsia="宋体" w:hAnsi="宋体" w:cs="宋体"/>
          <w:kern w:val="0"/>
          <w:sz w:val="23"/>
          <w:szCs w:val="23"/>
          <w14:ligatures w14:val="none"/>
        </w:rPr>
        <w:t>mmt_normal_A</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mmt_off_limit_A</w:t>
      </w:r>
      <w:proofErr w:type="spellEnd"/>
      <w:r w:rsidRPr="0082515D">
        <w:rPr>
          <w:rFonts w:ascii="宋体" w:eastAsia="宋体" w:hAnsi="宋体" w:cs="宋体"/>
          <w:kern w:val="0"/>
          <w:sz w:val="23"/>
          <w:szCs w:val="23"/>
          <w14:ligatures w14:val="none"/>
        </w:rPr>
        <w:lastRenderedPageBreak/>
        <w:t>等。经过测试，我们认为</w:t>
      </w:r>
      <w:proofErr w:type="spellStart"/>
      <w:r w:rsidRPr="0082515D">
        <w:rPr>
          <w:rFonts w:ascii="宋体" w:eastAsia="宋体" w:hAnsi="宋体" w:cs="宋体"/>
          <w:kern w:val="0"/>
          <w:sz w:val="23"/>
          <w:szCs w:val="23"/>
          <w14:ligatures w14:val="none"/>
        </w:rPr>
        <w:t>mmt_off_limit_A</w:t>
      </w:r>
      <w:proofErr w:type="spellEnd"/>
      <w:r w:rsidRPr="0082515D">
        <w:rPr>
          <w:rFonts w:ascii="宋体" w:eastAsia="宋体" w:hAnsi="宋体" w:cs="宋体"/>
          <w:kern w:val="0"/>
          <w:sz w:val="23"/>
          <w:szCs w:val="23"/>
          <w14:ligatures w14:val="none"/>
        </w:rPr>
        <w:t>因子值得关注，该因子在沪深300、中证500、中证1000范围内因子有效性均较好，尤其</w:t>
      </w:r>
      <w:r w:rsidRPr="0082515D">
        <w:rPr>
          <w:rFonts w:ascii="宋体" w:eastAsia="宋体" w:hAnsi="宋体" w:cs="宋体"/>
          <w:b/>
          <w:bCs/>
          <w:kern w:val="0"/>
          <w:sz w:val="23"/>
          <w:szCs w:val="23"/>
          <w14:ligatures w14:val="none"/>
        </w:rPr>
        <w:t>多头超额收益表现突出</w:t>
      </w:r>
      <w:r w:rsidRPr="0082515D">
        <w:rPr>
          <w:rFonts w:ascii="宋体" w:eastAsia="宋体" w:hAnsi="宋体" w:cs="宋体"/>
          <w:kern w:val="0"/>
          <w:sz w:val="23"/>
          <w:szCs w:val="23"/>
          <w14:ligatures w14:val="none"/>
        </w:rPr>
        <w:t>。</w:t>
      </w:r>
    </w:p>
    <w:p w14:paraId="449918EB" w14:textId="77777777" w:rsidR="0082515D" w:rsidRPr="0082515D" w:rsidRDefault="0082515D" w:rsidP="0082515D">
      <w:pPr>
        <w:widowControl/>
        <w:jc w:val="left"/>
        <w:rPr>
          <w:rFonts w:ascii="宋体" w:eastAsia="宋体" w:hAnsi="宋体" w:cs="宋体"/>
          <w:kern w:val="0"/>
          <w:sz w:val="24"/>
          <w14:ligatures w14:val="none"/>
        </w:rPr>
      </w:pPr>
    </w:p>
    <w:p w14:paraId="405DC0B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综合来看，</w:t>
      </w:r>
      <w:proofErr w:type="spellStart"/>
      <w:r w:rsidRPr="0082515D">
        <w:rPr>
          <w:rFonts w:ascii="宋体" w:eastAsia="宋体" w:hAnsi="宋体" w:cs="宋体"/>
          <w:b/>
          <w:bCs/>
          <w:kern w:val="0"/>
          <w:sz w:val="23"/>
          <w:szCs w:val="23"/>
          <w14:ligatures w14:val="none"/>
        </w:rPr>
        <w:t>mmt_range_M</w:t>
      </w:r>
      <w:proofErr w:type="spellEnd"/>
      <w:r w:rsidRPr="0082515D">
        <w:rPr>
          <w:rFonts w:ascii="宋体" w:eastAsia="宋体" w:hAnsi="宋体" w:cs="宋体"/>
          <w:b/>
          <w:bCs/>
          <w:kern w:val="0"/>
          <w:sz w:val="23"/>
          <w:szCs w:val="23"/>
          <w14:ligatures w14:val="none"/>
        </w:rPr>
        <w:t>因子整体表现优异。</w:t>
      </w:r>
      <w:r w:rsidRPr="0082515D">
        <w:rPr>
          <w:rFonts w:ascii="宋体" w:eastAsia="宋体" w:hAnsi="宋体" w:cs="宋体"/>
          <w:kern w:val="0"/>
          <w:sz w:val="23"/>
          <w:szCs w:val="23"/>
          <w14:ligatures w14:val="none"/>
        </w:rPr>
        <w:t>在不同选股域中，</w:t>
      </w:r>
      <w:proofErr w:type="spellStart"/>
      <w:r w:rsidRPr="0082515D">
        <w:rPr>
          <w:rFonts w:ascii="宋体" w:eastAsia="宋体" w:hAnsi="宋体" w:cs="宋体"/>
          <w:kern w:val="0"/>
          <w:sz w:val="23"/>
          <w:szCs w:val="23"/>
          <w14:ligatures w14:val="none"/>
        </w:rPr>
        <w:t>mmt_range_M</w:t>
      </w:r>
      <w:proofErr w:type="spellEnd"/>
      <w:r w:rsidRPr="0082515D">
        <w:rPr>
          <w:rFonts w:ascii="宋体" w:eastAsia="宋体" w:hAnsi="宋体" w:cs="宋体"/>
          <w:kern w:val="0"/>
          <w:sz w:val="23"/>
          <w:szCs w:val="23"/>
          <w14:ligatures w14:val="none"/>
        </w:rPr>
        <w:t>因子均有着较强的预测能力和良好的单调性，在其他因子均表现较弱的沪深300中选股能力也较为优异。</w:t>
      </w:r>
    </w:p>
    <w:p w14:paraId="67B81CE7" w14:textId="77777777" w:rsidR="0082515D" w:rsidRPr="0082515D" w:rsidRDefault="0082515D" w:rsidP="0082515D">
      <w:pPr>
        <w:widowControl/>
        <w:jc w:val="left"/>
        <w:rPr>
          <w:rFonts w:ascii="宋体" w:eastAsia="宋体" w:hAnsi="宋体" w:cs="宋体"/>
          <w:kern w:val="0"/>
          <w:sz w:val="24"/>
          <w14:ligatures w14:val="none"/>
        </w:rPr>
      </w:pPr>
    </w:p>
    <w:p w14:paraId="1D39A8A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图表5：动量&amp;反转因子在全市场范围内的有效性检验结果</w:t>
      </w:r>
    </w:p>
    <w:p w14:paraId="4806F2BE" w14:textId="0E3FA5F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"https://mmbiz.qpic.cn/mmbiz_png/41FzlIA3BAWJblpfs7z25pCeTTJegtmBNUszFTsZ9hneDu1r0LRuxzNicRQR8VymcEdiasrlfNg8Sadw81dGPDBA/640?wx_fmt=png&amp;tp=wxpic&amp;wxfrom=5&amp;wx_lazy=1#imgIndex=4"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6BE07DA" wp14:editId="326600F6">
            <wp:extent cx="5274310" cy="2955290"/>
            <wp:effectExtent l="0" t="0" r="0" b="3810"/>
            <wp:docPr id="41919862" name="图片 10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D9B3D1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资料来源：Wind，中金公司研究部（注：统计时间为2010-01-01至2022-06-30；超额收益的比较基准为全市场等权指数）</w:t>
      </w:r>
    </w:p>
    <w:p w14:paraId="57835B91" w14:textId="77777777" w:rsidR="0082515D" w:rsidRPr="0082515D" w:rsidRDefault="0082515D" w:rsidP="0082515D">
      <w:pPr>
        <w:widowControl/>
        <w:jc w:val="left"/>
        <w:rPr>
          <w:rFonts w:ascii="宋体" w:eastAsia="宋体" w:hAnsi="宋体" w:cs="宋体"/>
          <w:kern w:val="0"/>
          <w:sz w:val="24"/>
          <w14:ligatures w14:val="none"/>
        </w:rPr>
      </w:pPr>
    </w:p>
    <w:p w14:paraId="655CBD1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图表6：全市场范围内表现相对较好的动量&amp;反转因子之间的相关性统计</w:t>
      </w:r>
    </w:p>
    <w:p w14:paraId="31CE0487" w14:textId="55FC873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"https://mmbiz.qpic.cn/mmbiz_png/41FzlIA3BAWJblpfs7z25pCeTTJegtmBITgs8j1WXdhe0YkoX7oSKxMKicJrFggLqVEZgvG8NeOpyiakQg9ugLtw/640?wx_fmt=png&amp;tp=wxpic&amp;wxfrom=5&amp;wx_lazy=1#imgIndex=5"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3401A3A" wp14:editId="1F77E798">
            <wp:extent cx="5274310" cy="1534160"/>
            <wp:effectExtent l="0" t="0" r="0" b="2540"/>
            <wp:docPr id="868790475" name="图片 9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5341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790703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 中金公司研究部. （注：统计时间为2010-01-01至2022-06-30）</w:t>
      </w:r>
    </w:p>
    <w:p w14:paraId="0B2E6253" w14:textId="77777777" w:rsidR="0082515D" w:rsidRPr="0082515D" w:rsidRDefault="0082515D" w:rsidP="0082515D">
      <w:pPr>
        <w:widowControl/>
        <w:jc w:val="left"/>
        <w:rPr>
          <w:rFonts w:ascii="宋体" w:eastAsia="宋体" w:hAnsi="宋体" w:cs="宋体"/>
          <w:kern w:val="0"/>
          <w:sz w:val="24"/>
          <w14:ligatures w14:val="none"/>
        </w:rPr>
      </w:pPr>
    </w:p>
    <w:p w14:paraId="0D7ECA4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图表7：动量&amp;反转因子在沪深300范围内的有效性检验结果</w:t>
      </w:r>
    </w:p>
    <w:p w14:paraId="5423654E" w14:textId="251C7FDD"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"https://mmbiz.qpic.cn/mmbiz_png/41FzlIA3BAWJblpfs7z25pCeTTJegtmBXFUC7U9pq3CmxE4h8icHRLib75pmnyJjlRibkIDJZVia7jNjnAO7VYpIXg/640?wx_fmt=png&amp;tp=wxpic&amp;wxfrom=5&amp;wx_lazy=1#imgIndex=6"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D3AE95A" wp14:editId="3D529B4C">
            <wp:extent cx="5274310" cy="2969260"/>
            <wp:effectExtent l="0" t="0" r="0" b="2540"/>
            <wp:docPr id="1116211919" name="图片 9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CF234C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资料来源：Wind，中金公司研究部（注：统计时间为2010-01-01至2022-06-30；超额收益的比较基准为沪深300等权指数000984.CSI）</w:t>
      </w:r>
    </w:p>
    <w:p w14:paraId="22E0AA04" w14:textId="77777777" w:rsidR="0082515D" w:rsidRPr="0082515D" w:rsidRDefault="0082515D" w:rsidP="0082515D">
      <w:pPr>
        <w:widowControl/>
        <w:jc w:val="left"/>
        <w:rPr>
          <w:rFonts w:ascii="宋体" w:eastAsia="宋体" w:hAnsi="宋体" w:cs="宋体"/>
          <w:kern w:val="0"/>
          <w:sz w:val="24"/>
          <w14:ligatures w14:val="none"/>
        </w:rPr>
      </w:pPr>
    </w:p>
    <w:p w14:paraId="1FE7139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图表8：动量&amp;反转因子在中证500范围内的有效性检验结果</w:t>
      </w:r>
    </w:p>
    <w:p w14:paraId="7EE6CA1C" w14:textId="363CAE7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"https://mmbiz.qpic.cn/mmbiz_png/41FzlIA3BAWJblpfs7z25pCeTTJegtmB0k9iaQaxMNstRLDq6f83lZ3lpQI2ib1Wia7efRiaHA2icnpldXmhhk70p6Q/640?wx_fmt=png&amp;tp=wxpic&amp;wxfrom=5&amp;wx_lazy=1#imgIndex=7"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8170A13" wp14:editId="4D2241A1">
            <wp:extent cx="5274310" cy="2987040"/>
            <wp:effectExtent l="0" t="0" r="0" b="0"/>
            <wp:docPr id="1714556277" name="图片 9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8704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6E4A0F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（注：统计时间为2010-01-01至2022-06-30；超额收益的比较基准为中证500等权指数000982.SH）</w:t>
      </w:r>
    </w:p>
    <w:p w14:paraId="3BFFE2E5" w14:textId="77777777" w:rsidR="0082515D" w:rsidRPr="0082515D" w:rsidRDefault="0082515D" w:rsidP="0082515D">
      <w:pPr>
        <w:widowControl/>
        <w:jc w:val="left"/>
        <w:rPr>
          <w:rFonts w:ascii="宋体" w:eastAsia="宋体" w:hAnsi="宋体" w:cs="宋体"/>
          <w:kern w:val="0"/>
          <w:sz w:val="24"/>
          <w14:ligatures w14:val="none"/>
        </w:rPr>
      </w:pPr>
    </w:p>
    <w:p w14:paraId="62B049D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图表9：动量&amp;反转因子在中证1000范围内的有效性检验结果</w:t>
      </w:r>
    </w:p>
    <w:p w14:paraId="200D0D4E" w14:textId="640D00E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"https://mmbiz.qpic.cn/mmbiz_png/41FzlIA3BAWJblpfs7z25pCeTTJegtmBz31r6cwSUTfWvY56QsQYGcxhUia9LSS98XfAqJfTHghh5j9tDBa35tA/640?wx_fmt=png&amp;tp=wxpic&amp;wxfrom=5&amp;wx_lazy=1#imgIndex=8"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6EA2F6D" wp14:editId="098C3D01">
            <wp:extent cx="5274310" cy="2997835"/>
            <wp:effectExtent l="0" t="0" r="0" b="0"/>
            <wp:docPr id="1300689555" name="图片 9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978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FC4212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1238E1BD" w14:textId="77777777" w:rsidR="0082515D" w:rsidRPr="0082515D" w:rsidRDefault="0082515D" w:rsidP="0082515D">
      <w:pPr>
        <w:widowControl/>
        <w:jc w:val="left"/>
        <w:rPr>
          <w:rFonts w:ascii="宋体" w:eastAsia="宋体" w:hAnsi="宋体" w:cs="宋体"/>
          <w:kern w:val="0"/>
          <w:sz w:val="24"/>
          <w14:ligatures w14:val="none"/>
        </w:rPr>
      </w:pPr>
    </w:p>
    <w:p w14:paraId="2B38B9D9"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4"/>
          <w14:ligatures w14:val="none"/>
        </w:rPr>
        <w:t>mmt_offlimit_A</w:t>
      </w:r>
      <w:proofErr w:type="spellEnd"/>
      <w:r w:rsidRPr="0082515D">
        <w:rPr>
          <w:rFonts w:ascii="宋体" w:eastAsia="宋体" w:hAnsi="宋体" w:cs="宋体"/>
          <w:b/>
          <w:bCs/>
          <w:kern w:val="0"/>
          <w:sz w:val="24"/>
          <w14:ligatures w14:val="none"/>
        </w:rPr>
        <w:t>因子在沪深300中单调性良好且多头收益显著</w:t>
      </w:r>
    </w:p>
    <w:p w14:paraId="3A3E776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w:t>
      </w:r>
      <w:proofErr w:type="spellStart"/>
      <w:r w:rsidRPr="0082515D">
        <w:rPr>
          <w:rFonts w:ascii="宋体" w:eastAsia="宋体" w:hAnsi="宋体" w:cs="宋体"/>
          <w:b/>
          <w:bCs/>
          <w:kern w:val="0"/>
          <w:sz w:val="24"/>
          <w14:ligatures w14:val="none"/>
        </w:rPr>
        <w:t>mmt_range_M</w:t>
      </w:r>
      <w:proofErr w:type="spellEnd"/>
      <w:r w:rsidRPr="0082515D">
        <w:rPr>
          <w:rFonts w:ascii="宋体" w:eastAsia="宋体" w:hAnsi="宋体" w:cs="宋体"/>
          <w:b/>
          <w:bCs/>
          <w:kern w:val="0"/>
          <w:sz w:val="24"/>
          <w14:ligatures w14:val="none"/>
        </w:rPr>
        <w:t>、</w:t>
      </w:r>
      <w:proofErr w:type="spellStart"/>
      <w:r w:rsidRPr="0082515D">
        <w:rPr>
          <w:rFonts w:ascii="宋体" w:eastAsia="宋体" w:hAnsi="宋体" w:cs="宋体"/>
          <w:b/>
          <w:bCs/>
          <w:kern w:val="0"/>
          <w:sz w:val="24"/>
          <w14:ligatures w14:val="none"/>
        </w:rPr>
        <w:t>mmt_offlimit_A</w:t>
      </w:r>
      <w:proofErr w:type="spellEnd"/>
      <w:r w:rsidRPr="0082515D">
        <w:rPr>
          <w:rFonts w:ascii="宋体" w:eastAsia="宋体" w:hAnsi="宋体" w:cs="宋体"/>
          <w:b/>
          <w:bCs/>
          <w:kern w:val="0"/>
          <w:sz w:val="24"/>
          <w14:ligatures w14:val="none"/>
        </w:rPr>
        <w:t>因子分组表现较好</w:t>
      </w:r>
      <w:r w:rsidRPr="0082515D">
        <w:rPr>
          <w:rFonts w:ascii="宋体" w:eastAsia="宋体" w:hAnsi="宋体" w:cs="宋体"/>
          <w:kern w:val="0"/>
          <w:sz w:val="24"/>
          <w14:ligatures w14:val="none"/>
        </w:rPr>
        <w:t>。如下图所示，</w:t>
      </w:r>
      <w:proofErr w:type="spellStart"/>
      <w:r w:rsidRPr="0082515D">
        <w:rPr>
          <w:rFonts w:ascii="宋体" w:eastAsia="宋体" w:hAnsi="宋体" w:cs="宋体"/>
          <w:kern w:val="0"/>
          <w:sz w:val="24"/>
          <w14:ligatures w14:val="none"/>
        </w:rPr>
        <w:t>mmt_range_M</w:t>
      </w:r>
      <w:proofErr w:type="spellEnd"/>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mmt_offlimit_A</w:t>
      </w:r>
      <w:proofErr w:type="spellEnd"/>
      <w:r w:rsidRPr="0082515D">
        <w:rPr>
          <w:rFonts w:ascii="宋体" w:eastAsia="宋体" w:hAnsi="宋体" w:cs="宋体"/>
          <w:kern w:val="0"/>
          <w:sz w:val="24"/>
          <w14:ligatures w14:val="none"/>
        </w:rPr>
        <w:t>因子多头组合显著跑赢基准，空头组合显著跑输基准，分组单调性也相对较好，具有较强的选股能力；</w:t>
      </w:r>
      <w:proofErr w:type="spellStart"/>
      <w:r w:rsidRPr="0082515D">
        <w:rPr>
          <w:rFonts w:ascii="宋体" w:eastAsia="宋体" w:hAnsi="宋体" w:cs="宋体"/>
          <w:kern w:val="0"/>
          <w:sz w:val="24"/>
          <w14:ligatures w14:val="none"/>
        </w:rPr>
        <w:t>mmt_report_period</w:t>
      </w:r>
      <w:proofErr w:type="spellEnd"/>
      <w:r w:rsidRPr="0082515D">
        <w:rPr>
          <w:rFonts w:ascii="宋体" w:eastAsia="宋体" w:hAnsi="宋体" w:cs="宋体"/>
          <w:kern w:val="0"/>
          <w:sz w:val="24"/>
          <w14:ligatures w14:val="none"/>
        </w:rPr>
        <w:t>则多头表现相对较好，但2020年下半年以来多头组合相对净值有所回撤；</w:t>
      </w:r>
      <w:proofErr w:type="spellStart"/>
      <w:r w:rsidRPr="0082515D">
        <w:rPr>
          <w:rFonts w:ascii="宋体" w:eastAsia="宋体" w:hAnsi="宋体" w:cs="宋体"/>
          <w:kern w:val="0"/>
          <w:sz w:val="24"/>
          <w14:ligatures w14:val="none"/>
        </w:rPr>
        <w:t>mmt_overnight_A</w:t>
      </w:r>
      <w:proofErr w:type="spellEnd"/>
      <w:r w:rsidRPr="0082515D">
        <w:rPr>
          <w:rFonts w:ascii="宋体" w:eastAsia="宋体" w:hAnsi="宋体" w:cs="宋体"/>
          <w:kern w:val="0"/>
          <w:sz w:val="24"/>
          <w14:ligatures w14:val="none"/>
        </w:rPr>
        <w:t>因子的有效性则更多来源于空头组合。</w:t>
      </w:r>
    </w:p>
    <w:p w14:paraId="09784FEA" w14:textId="77777777" w:rsidR="0082515D" w:rsidRPr="0082515D" w:rsidRDefault="0082515D" w:rsidP="0082515D">
      <w:pPr>
        <w:widowControl/>
        <w:jc w:val="left"/>
        <w:rPr>
          <w:rFonts w:ascii="宋体" w:eastAsia="宋体" w:hAnsi="宋体" w:cs="宋体"/>
          <w:kern w:val="0"/>
          <w:sz w:val="24"/>
          <w14:ligatures w14:val="none"/>
        </w:rPr>
      </w:pPr>
    </w:p>
    <w:p w14:paraId="679E8A2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图表10：沪深300范围内表现较好的动量&amp;反转因子多头组合相对净值</w:t>
      </w:r>
    </w:p>
    <w:p w14:paraId="48266184" w14:textId="3A061135"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"https://mmbiz.qpic.cn/mmbiz_png/41FzlIA3BAWJblpfs7z25pCeTTJegtmBXibLNTA92WsLp549Q1z1ZsKTibU13GSFAZ2RAvBvj02M8wfKfbpazR2w/640?wx_fmt=png&amp;tp=wxpic&amp;wxfrom=5&amp;wx_lazy=1#imgIndex=9"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12A4F1A" wp14:editId="022AAB9B">
            <wp:extent cx="5274310" cy="3114675"/>
            <wp:effectExtent l="0" t="0" r="0" b="0"/>
            <wp:docPr id="1066336389" name="图片 9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146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377E80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A0C738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注：1）统计时间为2010-01-01至2022-06-30；2）相对净值的比较基准为沪深300等权指数000984.CSI</w:t>
      </w:r>
    </w:p>
    <w:p w14:paraId="3AB839D0" w14:textId="77777777" w:rsidR="0082515D" w:rsidRPr="0082515D" w:rsidRDefault="0082515D" w:rsidP="0082515D">
      <w:pPr>
        <w:widowControl/>
        <w:jc w:val="left"/>
        <w:rPr>
          <w:rFonts w:ascii="宋体" w:eastAsia="宋体" w:hAnsi="宋体" w:cs="宋体"/>
          <w:kern w:val="0"/>
          <w:sz w:val="24"/>
          <w14:ligatures w14:val="none"/>
        </w:rPr>
      </w:pPr>
    </w:p>
    <w:p w14:paraId="488EB68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图表11：沪深300范围内表现较好的动量&amp;反转因子分组年化超额收益统计</w:t>
      </w:r>
    </w:p>
    <w:p w14:paraId="25FC59D1" w14:textId="759D73E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"https://mmbiz.qpic.cn/mmbiz_png/41FzlIA3BAWJblpfs7z25pCeTTJegtmBgU08y7NKyricicvVG5VNUNxJ2ZU71FJArJtia227gjkpZgzTibquaovdvw/640?wx_fmt=png&amp;tp=wxpic&amp;wxfrom=5&amp;wx_lazy=1#imgIndex=10"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F295E81" wp14:editId="26D2874E">
            <wp:extent cx="5274310" cy="3093720"/>
            <wp:effectExtent l="0" t="0" r="0" b="5080"/>
            <wp:docPr id="1637476908" name="图片 9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937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D0E706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0DFC0D1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注：1）统计时间为2010-01-01至2022-06-30；2）超额收益的比较基准为沪深300等权指数000984.CSI；3）Group1为因子值最小一组，Group10为因子值最大一组</w:t>
      </w:r>
    </w:p>
    <w:p w14:paraId="198E2E9A" w14:textId="77777777" w:rsidR="0082515D" w:rsidRPr="0082515D" w:rsidRDefault="0082515D" w:rsidP="0082515D">
      <w:pPr>
        <w:widowControl/>
        <w:jc w:val="left"/>
        <w:rPr>
          <w:rFonts w:ascii="宋体" w:eastAsia="宋体" w:hAnsi="宋体" w:cs="宋体"/>
          <w:kern w:val="0"/>
          <w:sz w:val="24"/>
          <w14:ligatures w14:val="none"/>
        </w:rPr>
      </w:pPr>
    </w:p>
    <w:p w14:paraId="7E9E933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中证500范围内，</w:t>
      </w:r>
      <w:proofErr w:type="spellStart"/>
      <w:r w:rsidRPr="0082515D">
        <w:rPr>
          <w:rFonts w:ascii="宋体" w:eastAsia="宋体" w:hAnsi="宋体" w:cs="宋体"/>
          <w:b/>
          <w:bCs/>
          <w:kern w:val="0"/>
          <w:sz w:val="23"/>
          <w:szCs w:val="23"/>
          <w14:ligatures w14:val="none"/>
        </w:rPr>
        <w:t>mmt_range_M</w:t>
      </w:r>
      <w:proofErr w:type="spellEnd"/>
      <w:r w:rsidRPr="0082515D">
        <w:rPr>
          <w:rFonts w:ascii="宋体" w:eastAsia="宋体" w:hAnsi="宋体" w:cs="宋体"/>
          <w:b/>
          <w:bCs/>
          <w:kern w:val="0"/>
          <w:sz w:val="23"/>
          <w:szCs w:val="23"/>
          <w14:ligatures w14:val="none"/>
        </w:rPr>
        <w:t>、</w:t>
      </w:r>
      <w:proofErr w:type="spellStart"/>
      <w:r w:rsidRPr="0082515D">
        <w:rPr>
          <w:rFonts w:ascii="宋体" w:eastAsia="宋体" w:hAnsi="宋体" w:cs="宋体"/>
          <w:b/>
          <w:bCs/>
          <w:kern w:val="0"/>
          <w:sz w:val="23"/>
          <w:szCs w:val="23"/>
          <w14:ligatures w14:val="none"/>
        </w:rPr>
        <w:t>mmt_report_overnight</w:t>
      </w:r>
      <w:proofErr w:type="spellEnd"/>
      <w:r w:rsidRPr="0082515D">
        <w:rPr>
          <w:rFonts w:ascii="宋体" w:eastAsia="宋体" w:hAnsi="宋体" w:cs="宋体"/>
          <w:b/>
          <w:bCs/>
          <w:kern w:val="0"/>
          <w:sz w:val="23"/>
          <w:szCs w:val="23"/>
          <w14:ligatures w14:val="none"/>
        </w:rPr>
        <w:t>因子分组表现较好，但多头组合2021年9月以来均有所回撤。</w:t>
      </w:r>
      <w:r w:rsidRPr="0082515D">
        <w:rPr>
          <w:rFonts w:ascii="宋体" w:eastAsia="宋体" w:hAnsi="宋体" w:cs="宋体"/>
          <w:kern w:val="0"/>
          <w:sz w:val="23"/>
          <w:szCs w:val="23"/>
          <w14:ligatures w14:val="none"/>
        </w:rPr>
        <w:t>两个因子均多头组合显著跑赢基准，空头组合显著跑输基准，且单调性较为良好；</w:t>
      </w:r>
      <w:proofErr w:type="spellStart"/>
      <w:r w:rsidRPr="0082515D">
        <w:rPr>
          <w:rFonts w:ascii="宋体" w:eastAsia="宋体" w:hAnsi="宋体" w:cs="宋体"/>
          <w:kern w:val="0"/>
          <w:sz w:val="23"/>
          <w:szCs w:val="23"/>
          <w14:ligatures w14:val="none"/>
        </w:rPr>
        <w:t>mmt_report_overnight</w:t>
      </w:r>
      <w:proofErr w:type="spellEnd"/>
      <w:r w:rsidRPr="0082515D">
        <w:rPr>
          <w:rFonts w:ascii="宋体" w:eastAsia="宋体" w:hAnsi="宋体" w:cs="宋体"/>
          <w:kern w:val="0"/>
          <w:sz w:val="23"/>
          <w:szCs w:val="23"/>
          <w14:ligatures w14:val="none"/>
        </w:rPr>
        <w:t>因子的多空头表现均较为良好，而</w:t>
      </w:r>
      <w:proofErr w:type="spellStart"/>
      <w:r w:rsidRPr="0082515D">
        <w:rPr>
          <w:rFonts w:ascii="宋体" w:eastAsia="宋体" w:hAnsi="宋体" w:cs="宋体"/>
          <w:kern w:val="0"/>
          <w:sz w:val="23"/>
          <w:szCs w:val="23"/>
          <w14:ligatures w14:val="none"/>
        </w:rPr>
        <w:t>mmt_range_M</w:t>
      </w:r>
      <w:proofErr w:type="spellEnd"/>
      <w:r w:rsidRPr="0082515D">
        <w:rPr>
          <w:rFonts w:ascii="宋体" w:eastAsia="宋体" w:hAnsi="宋体" w:cs="宋体"/>
          <w:kern w:val="0"/>
          <w:sz w:val="23"/>
          <w:szCs w:val="23"/>
          <w14:ligatures w14:val="none"/>
        </w:rPr>
        <w:t>因子的有效性更多来源于空头。</w:t>
      </w:r>
    </w:p>
    <w:p w14:paraId="2482E446" w14:textId="77777777" w:rsidR="0082515D" w:rsidRPr="0082515D" w:rsidRDefault="0082515D" w:rsidP="0082515D">
      <w:pPr>
        <w:widowControl/>
        <w:jc w:val="left"/>
        <w:rPr>
          <w:rFonts w:ascii="宋体" w:eastAsia="宋体" w:hAnsi="宋体" w:cs="宋体"/>
          <w:kern w:val="0"/>
          <w:sz w:val="24"/>
          <w14:ligatures w14:val="none"/>
        </w:rPr>
      </w:pPr>
    </w:p>
    <w:p w14:paraId="4C7C20E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图表12：中证500范围内表现较好的动量&amp;反转因子多头组合相对净值</w:t>
      </w:r>
    </w:p>
    <w:p w14:paraId="51081996" w14:textId="715234B3"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"https://mmbiz.qpic.cn/mmbiz_png/41FzlIA3BAWJblpfs7z25pCeTTJegtmBN7hc8GCW6xDkNNv8iaveAwDbTNvQ1sosqdq69FGnGVvkBXibHicJjxDPQ/640?wx_fmt=png&amp;tp=wxpic&amp;wxfrom=5&amp;wx_lazy=1#imgIndex=11"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11B4E56" wp14:editId="25F2DE98">
            <wp:extent cx="5274310" cy="3100705"/>
            <wp:effectExtent l="0" t="0" r="0" b="0"/>
            <wp:docPr id="1628601247" name="图片 9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1007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ECA622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注：1）统计时间为2010-01-01至2022-06-30；2）相对净值的比较基准为中证500等权指数000982.SH</w:t>
      </w:r>
    </w:p>
    <w:p w14:paraId="7523BFF7" w14:textId="77777777" w:rsidR="0082515D" w:rsidRPr="0082515D" w:rsidRDefault="0082515D" w:rsidP="0082515D">
      <w:pPr>
        <w:widowControl/>
        <w:jc w:val="left"/>
        <w:rPr>
          <w:rFonts w:ascii="宋体" w:eastAsia="宋体" w:hAnsi="宋体" w:cs="宋体"/>
          <w:kern w:val="0"/>
          <w:sz w:val="24"/>
          <w14:ligatures w14:val="none"/>
        </w:rPr>
      </w:pPr>
    </w:p>
    <w:p w14:paraId="77884C1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图表13：中证500范围内表现较好的动量&amp;反转因子分组年化超额收益统计</w:t>
      </w:r>
    </w:p>
    <w:p w14:paraId="42DC9EDF" w14:textId="65719C5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"https://mmbiz.qpic.cn/mmbiz_png/41FzlIA3BAWJblpfs7z25pCeTTJegtmB7m7Xp7uCk59UtAHuQtiaQRMicxkElpsZOwMYWy1pSECrDx3TmWgPcbnQ/640?wx_fmt=png&amp;tp=wxpic&amp;wxfrom=5&amp;wx_lazy=1#imgIndex=12"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F98FA0E" wp14:editId="4B2BABFB">
            <wp:extent cx="5274310" cy="3085465"/>
            <wp:effectExtent l="0" t="0" r="0" b="635"/>
            <wp:docPr id="215952228" name="图片 9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08546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4C79C9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注：1）统计时间为2010-01-01至2022-06-30；2）超额收益的比较基准为中证500等权指数000982.SH；3）Group1为因子值最小一组，Group10为因子值最大一组</w:t>
      </w:r>
    </w:p>
    <w:p w14:paraId="18D01771" w14:textId="77777777" w:rsidR="0082515D" w:rsidRPr="0082515D" w:rsidRDefault="0082515D" w:rsidP="0082515D">
      <w:pPr>
        <w:widowControl/>
        <w:jc w:val="left"/>
        <w:rPr>
          <w:rFonts w:ascii="宋体" w:eastAsia="宋体" w:hAnsi="宋体" w:cs="宋体"/>
          <w:kern w:val="0"/>
          <w:sz w:val="24"/>
          <w14:ligatures w14:val="none"/>
        </w:rPr>
      </w:pPr>
    </w:p>
    <w:p w14:paraId="02200CD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中证1000范围内，</w:t>
      </w:r>
      <w:proofErr w:type="spellStart"/>
      <w:r w:rsidRPr="0082515D">
        <w:rPr>
          <w:rFonts w:ascii="宋体" w:eastAsia="宋体" w:hAnsi="宋体" w:cs="宋体"/>
          <w:b/>
          <w:bCs/>
          <w:kern w:val="0"/>
          <w:sz w:val="24"/>
          <w14:ligatures w14:val="none"/>
        </w:rPr>
        <w:t>mmt_intraday_M</w:t>
      </w:r>
      <w:proofErr w:type="spellEnd"/>
      <w:r w:rsidRPr="0082515D">
        <w:rPr>
          <w:rFonts w:ascii="宋体" w:eastAsia="宋体" w:hAnsi="宋体" w:cs="宋体"/>
          <w:b/>
          <w:bCs/>
          <w:kern w:val="0"/>
          <w:sz w:val="24"/>
          <w14:ligatures w14:val="none"/>
        </w:rPr>
        <w:t>因子分组表现较好。</w:t>
      </w:r>
      <w:r w:rsidRPr="0082515D">
        <w:rPr>
          <w:rFonts w:ascii="宋体" w:eastAsia="宋体" w:hAnsi="宋体" w:cs="宋体"/>
          <w:kern w:val="0"/>
          <w:sz w:val="24"/>
          <w14:ligatures w14:val="none"/>
        </w:rPr>
        <w:t>其多头组合显著跑赢基准，空头组合显著跑输基准，单调性良好，且空头贡献较为突出。</w:t>
      </w:r>
      <w:proofErr w:type="spellStart"/>
      <w:r w:rsidRPr="0082515D">
        <w:rPr>
          <w:rFonts w:ascii="宋体" w:eastAsia="宋体" w:hAnsi="宋体" w:cs="宋体"/>
          <w:kern w:val="0"/>
          <w:sz w:val="24"/>
          <w14:ligatures w14:val="none"/>
        </w:rPr>
        <w:lastRenderedPageBreak/>
        <w:t>mmt_range_M</w:t>
      </w:r>
      <w:proofErr w:type="spellEnd"/>
      <w:r w:rsidRPr="0082515D">
        <w:rPr>
          <w:rFonts w:ascii="宋体" w:eastAsia="宋体" w:hAnsi="宋体" w:cs="宋体"/>
          <w:kern w:val="0"/>
          <w:sz w:val="24"/>
          <w14:ligatures w14:val="none"/>
        </w:rPr>
        <w:t>因子的空头贡献较大，但整体单调性较差，分组超额收益呈现倒U形。</w:t>
      </w:r>
    </w:p>
    <w:p w14:paraId="22985B56" w14:textId="77777777" w:rsidR="0082515D" w:rsidRPr="0082515D" w:rsidRDefault="0082515D" w:rsidP="0082515D">
      <w:pPr>
        <w:widowControl/>
        <w:jc w:val="left"/>
        <w:rPr>
          <w:rFonts w:ascii="宋体" w:eastAsia="宋体" w:hAnsi="宋体" w:cs="宋体"/>
          <w:kern w:val="0"/>
          <w:sz w:val="24"/>
          <w14:ligatures w14:val="none"/>
        </w:rPr>
      </w:pPr>
    </w:p>
    <w:p w14:paraId="49F4A89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图表14：中证1000范围内表现较好的动量&amp;反转因子多头组合相对净值</w:t>
      </w:r>
    </w:p>
    <w:p w14:paraId="49F3A79B" w14:textId="3A9CE0F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"https://mmbiz.qpic.cn/mmbiz_png/41FzlIA3BAWJblpfs7z25pCeTTJegtmBm07J6DvOBStF5tSCNENV8NwYHkLUJFVHNQWdl1wXpicx77Uvdhddw3g/640?wx_fmt=png&amp;tp=wxpic&amp;wxfrom=5&amp;wx_lazy=1#imgIndex=13"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ABDC980" wp14:editId="6B4113AE">
            <wp:extent cx="5274310" cy="3006725"/>
            <wp:effectExtent l="0" t="0" r="0" b="3175"/>
            <wp:docPr id="1780864390" name="图片 9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00672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371B27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注：1）统计时间为2014-11-01至2022-06-30；2）相对净值的比较基准为中证1000等权指数000852.SH</w:t>
      </w:r>
    </w:p>
    <w:p w14:paraId="5BD91C55" w14:textId="77777777" w:rsidR="0082515D" w:rsidRPr="0082515D" w:rsidRDefault="0082515D" w:rsidP="0082515D">
      <w:pPr>
        <w:widowControl/>
        <w:jc w:val="left"/>
        <w:rPr>
          <w:rFonts w:ascii="宋体" w:eastAsia="宋体" w:hAnsi="宋体" w:cs="宋体"/>
          <w:kern w:val="0"/>
          <w:sz w:val="24"/>
          <w14:ligatures w14:val="none"/>
        </w:rPr>
      </w:pPr>
    </w:p>
    <w:p w14:paraId="3320C83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图表15：中证1000范围内表现较好的动量&amp;反转因子分组年化超额收益统计</w:t>
      </w:r>
    </w:p>
    <w:p w14:paraId="0BACB514" w14:textId="5ACAEF2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"https://mmbiz.qpic.cn/mmbiz_png/41FzlIA3BAWJblpfs7z25pCeTTJegtmBFTowBibVDHeNMcD5b69Jia6K1nFickG8Veqz10Oibib7bmS7Eib78RlicZWaQ/640?wx_fmt=png&amp;tp=wxpic&amp;wxfrom=5&amp;wx_lazy=1#imgIndex=14"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DE7E1E2" wp14:editId="1B7E63E4">
            <wp:extent cx="5274310" cy="3100705"/>
            <wp:effectExtent l="0" t="0" r="0" b="0"/>
            <wp:docPr id="318442820" name="图片 9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1007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BAB795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7C5BA7F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注：1）统计时间为2014-11-01至2022-06-30；2）超额收益的比较基准为中证1000指数000852.SH；3）Group1为因子值最小一组，Group10为因子值最大一组</w:t>
      </w:r>
    </w:p>
    <w:p w14:paraId="6348B8E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波动率</w:t>
      </w:r>
    </w:p>
    <w:p w14:paraId="77EB4D76" w14:textId="77777777" w:rsidR="0082515D" w:rsidRPr="0082515D" w:rsidRDefault="0082515D" w:rsidP="0082515D">
      <w:pPr>
        <w:widowControl/>
        <w:jc w:val="left"/>
        <w:rPr>
          <w:rFonts w:ascii="宋体" w:eastAsia="宋体" w:hAnsi="宋体" w:cs="宋体"/>
          <w:kern w:val="0"/>
          <w:sz w:val="24"/>
          <w14:ligatures w14:val="none"/>
        </w:rPr>
      </w:pPr>
    </w:p>
    <w:p w14:paraId="1907A14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长期波动率因子换手率较低，性价比凸显</w:t>
      </w:r>
    </w:p>
    <w:p w14:paraId="54C1F7F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波动率因子刻画了股票价格或股票收益在过去一段时间的不确定性程度</w:t>
      </w:r>
      <w:r w:rsidRPr="0082515D">
        <w:rPr>
          <w:rFonts w:ascii="宋体" w:eastAsia="宋体" w:hAnsi="宋体" w:cs="宋体"/>
          <w:kern w:val="0"/>
          <w:sz w:val="24"/>
          <w14:ligatures w14:val="none"/>
        </w:rPr>
        <w:t>，高波动率通常反映其不确定性程度较高，未来收益表现可能相对较弱。本节</w:t>
      </w:r>
      <w:r w:rsidRPr="0082515D">
        <w:rPr>
          <w:rFonts w:ascii="宋体" w:eastAsia="宋体" w:hAnsi="宋体" w:cs="宋体"/>
          <w:b/>
          <w:bCs/>
          <w:kern w:val="0"/>
          <w:sz w:val="24"/>
          <w14:ligatures w14:val="none"/>
        </w:rPr>
        <w:t>基于传统的收益波动、振幅因子进行改进</w:t>
      </w:r>
      <w:r w:rsidRPr="0082515D">
        <w:rPr>
          <w:rFonts w:ascii="宋体" w:eastAsia="宋体" w:hAnsi="宋体" w:cs="宋体"/>
          <w:kern w:val="0"/>
          <w:sz w:val="24"/>
          <w14:ligatures w14:val="none"/>
        </w:rPr>
        <w:t>，尝试构建了39个波动率因子，并对其进行了有效性检验。</w:t>
      </w:r>
    </w:p>
    <w:p w14:paraId="305328F5" w14:textId="77777777" w:rsidR="0082515D" w:rsidRPr="0082515D" w:rsidRDefault="0082515D" w:rsidP="0082515D">
      <w:pPr>
        <w:widowControl/>
        <w:jc w:val="left"/>
        <w:rPr>
          <w:rFonts w:ascii="宋体" w:eastAsia="宋体" w:hAnsi="宋体" w:cs="宋体"/>
          <w:kern w:val="0"/>
          <w:sz w:val="24"/>
          <w14:ligatures w14:val="none"/>
        </w:rPr>
      </w:pPr>
    </w:p>
    <w:p w14:paraId="0157118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图表16：波动率因子构建方式</w:t>
      </w:r>
    </w:p>
    <w:p w14:paraId="044734D2" w14:textId="755EAD3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"https://mmbiz.qpic.cn/mmbiz_png/41FzlIA3BAWJblpfs7z25pCeTTJegtmB5LMvOaNrdsymoaK5UZKFlyzJfpiaAgILJfcwzb3L2kLl8tx2Q6BkYibg/640?wx_fmt=png&amp;tp=wxpic&amp;wxfrom=5&amp;wx_lazy=1#imgIndex=15"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3D15F4A" wp14:editId="1D4EDC1B">
            <wp:extent cx="5274310" cy="5092065"/>
            <wp:effectExtent l="0" t="0" r="0" b="635"/>
            <wp:docPr id="170021302" name="图片 8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509206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AC1FD2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3F1ACF73" w14:textId="77777777" w:rsidR="0082515D" w:rsidRPr="0082515D" w:rsidRDefault="0082515D" w:rsidP="0082515D">
      <w:pPr>
        <w:widowControl/>
        <w:jc w:val="left"/>
        <w:rPr>
          <w:rFonts w:ascii="宋体" w:eastAsia="宋体" w:hAnsi="宋体" w:cs="宋体"/>
          <w:kern w:val="0"/>
          <w:sz w:val="24"/>
          <w14:ligatures w14:val="none"/>
        </w:rPr>
      </w:pPr>
    </w:p>
    <w:p w14:paraId="0295491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vol_highlow_std_3M、vol_upshadow_std_6M和vol_w_downshadow_std_3M因子在大部分市场中有效性良好。</w:t>
      </w:r>
      <w:r w:rsidRPr="0082515D">
        <w:rPr>
          <w:rFonts w:ascii="宋体" w:eastAsia="宋体" w:hAnsi="宋体" w:cs="宋体"/>
          <w:kern w:val="0"/>
          <w:sz w:val="23"/>
          <w:szCs w:val="23"/>
          <w14:ligatures w14:val="none"/>
        </w:rPr>
        <w:t>从相关性统计来看，上述波动率因子互相之间的相关性均较高，因而我们基于因子的构建方式，大致将上述因子分为收益波动率因子和振幅因子。</w:t>
      </w:r>
    </w:p>
    <w:p w14:paraId="3420E64C" w14:textId="77777777" w:rsidR="0082515D" w:rsidRPr="0082515D" w:rsidRDefault="0082515D" w:rsidP="0082515D">
      <w:pPr>
        <w:widowControl/>
        <w:jc w:val="left"/>
        <w:rPr>
          <w:rFonts w:ascii="宋体" w:eastAsia="宋体" w:hAnsi="宋体" w:cs="宋体"/>
          <w:kern w:val="0"/>
          <w:sz w:val="24"/>
          <w14:ligatures w14:val="none"/>
        </w:rPr>
      </w:pPr>
    </w:p>
    <w:p w14:paraId="6D2FB24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w:t>
      </w:r>
      <w:r w:rsidRPr="0082515D">
        <w:rPr>
          <w:rFonts w:ascii="宋体" w:eastAsia="宋体" w:hAnsi="宋体" w:cs="宋体"/>
          <w:b/>
          <w:bCs/>
          <w:kern w:val="0"/>
          <w:sz w:val="23"/>
          <w:szCs w:val="23"/>
          <w14:ligatures w14:val="none"/>
        </w:rPr>
        <w:t>收益波动率因子</w:t>
      </w:r>
      <w:r w:rsidRPr="0082515D">
        <w:rPr>
          <w:rFonts w:ascii="宋体" w:eastAsia="宋体" w:hAnsi="宋体" w:cs="宋体"/>
          <w:kern w:val="0"/>
          <w:sz w:val="23"/>
          <w:szCs w:val="23"/>
          <w14:ligatures w14:val="none"/>
        </w:rPr>
        <w:t>包括传统的波动率因子、上行波动率因子、下行波动率因子。对比收益波动率因子表现，不难看出，上行波动率因子有效性优于传统波动率因子、下行波动率因子，全市场IC_IR可达-0.79，IC均值可达-7.9%；</w:t>
      </w:r>
      <w:r w:rsidRPr="0082515D">
        <w:rPr>
          <w:rFonts w:ascii="宋体" w:eastAsia="宋体" w:hAnsi="宋体" w:cs="宋体"/>
          <w:b/>
          <w:bCs/>
          <w:kern w:val="0"/>
          <w:sz w:val="23"/>
          <w:szCs w:val="23"/>
          <w14:ligatures w14:val="none"/>
        </w:rPr>
        <w:t>不同周期的波动率因子表现对比来看，短周期（1个月）波动率因子有效性更强一些，但多头组合换手率也显著高于长周期（6个月）的波动率因子。 </w:t>
      </w:r>
    </w:p>
    <w:p w14:paraId="59D70EE8" w14:textId="77777777" w:rsidR="0082515D" w:rsidRPr="0082515D" w:rsidRDefault="0082515D" w:rsidP="0082515D">
      <w:pPr>
        <w:widowControl/>
        <w:jc w:val="left"/>
        <w:rPr>
          <w:rFonts w:ascii="宋体" w:eastAsia="宋体" w:hAnsi="宋体" w:cs="宋体"/>
          <w:kern w:val="0"/>
          <w:sz w:val="24"/>
          <w14:ligatures w14:val="none"/>
        </w:rPr>
      </w:pPr>
    </w:p>
    <w:p w14:paraId="2A63AE4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振幅因子</w:t>
      </w:r>
      <w:r w:rsidRPr="0082515D">
        <w:rPr>
          <w:rFonts w:ascii="宋体" w:eastAsia="宋体" w:hAnsi="宋体" w:cs="宋体"/>
          <w:kern w:val="0"/>
          <w:sz w:val="23"/>
          <w:szCs w:val="23"/>
          <w14:ligatures w14:val="none"/>
        </w:rPr>
        <w:t>考虑了最低价到最高价的振幅、上影线、下影线、威廉上影线、威廉下影线的均值和标准差。总体来看，振幅、影线标准差因子的有效性略好于均值因子，其中，</w:t>
      </w:r>
      <w:proofErr w:type="spellStart"/>
      <w:r w:rsidRPr="0082515D">
        <w:rPr>
          <w:rFonts w:ascii="宋体" w:eastAsia="宋体" w:hAnsi="宋体" w:cs="宋体"/>
          <w:kern w:val="0"/>
          <w:sz w:val="23"/>
          <w:szCs w:val="23"/>
          <w14:ligatures w14:val="none"/>
        </w:rPr>
        <w:t>vol_highlow_std</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vol_upshadow_std</w:t>
      </w:r>
      <w:proofErr w:type="spellEnd"/>
      <w:r w:rsidRPr="0082515D">
        <w:rPr>
          <w:rFonts w:ascii="宋体" w:eastAsia="宋体" w:hAnsi="宋体" w:cs="宋体"/>
          <w:kern w:val="0"/>
          <w:sz w:val="23"/>
          <w:szCs w:val="23"/>
          <w14:ligatures w14:val="none"/>
        </w:rPr>
        <w:t>和</w:t>
      </w:r>
      <w:proofErr w:type="spellStart"/>
      <w:r w:rsidRPr="0082515D">
        <w:rPr>
          <w:rFonts w:ascii="宋体" w:eastAsia="宋体" w:hAnsi="宋体" w:cs="宋体"/>
          <w:kern w:val="0"/>
          <w:sz w:val="23"/>
          <w:szCs w:val="23"/>
          <w14:ligatures w14:val="none"/>
        </w:rPr>
        <w:t>vol_w_downshadow_std</w:t>
      </w:r>
      <w:proofErr w:type="spellEnd"/>
      <w:r w:rsidRPr="0082515D">
        <w:rPr>
          <w:rFonts w:ascii="宋体" w:eastAsia="宋体" w:hAnsi="宋体" w:cs="宋体"/>
          <w:kern w:val="0"/>
          <w:sz w:val="23"/>
          <w:szCs w:val="23"/>
          <w14:ligatures w14:val="none"/>
        </w:rPr>
        <w:t>因子在不同范围内表现均较为突出，有效性与单调性良好，</w:t>
      </w:r>
      <w:r w:rsidRPr="0082515D">
        <w:rPr>
          <w:rFonts w:ascii="宋体" w:eastAsia="宋体" w:hAnsi="宋体" w:cs="宋体"/>
          <w:b/>
          <w:bCs/>
          <w:kern w:val="0"/>
          <w:sz w:val="23"/>
          <w:szCs w:val="23"/>
          <w14:ligatures w14:val="none"/>
        </w:rPr>
        <w:t>多头选股组合表现优于收益波动率因子；</w:t>
      </w:r>
      <w:r w:rsidRPr="0082515D">
        <w:rPr>
          <w:rFonts w:ascii="宋体" w:eastAsia="宋体" w:hAnsi="宋体" w:cs="宋体"/>
          <w:kern w:val="0"/>
          <w:sz w:val="23"/>
          <w:szCs w:val="23"/>
          <w14:ligatures w14:val="none"/>
        </w:rPr>
        <w:t>中小市值范围内（中证500、中证1000）的有效性显著优于大市值范围（沪深300）。</w:t>
      </w:r>
    </w:p>
    <w:p w14:paraId="4D21A505" w14:textId="77777777" w:rsidR="0082515D" w:rsidRPr="0082515D" w:rsidRDefault="0082515D" w:rsidP="0082515D">
      <w:pPr>
        <w:widowControl/>
        <w:jc w:val="left"/>
        <w:rPr>
          <w:rFonts w:ascii="宋体" w:eastAsia="宋体" w:hAnsi="宋体" w:cs="宋体"/>
          <w:kern w:val="0"/>
          <w:sz w:val="24"/>
          <w14:ligatures w14:val="none"/>
        </w:rPr>
      </w:pPr>
    </w:p>
    <w:p w14:paraId="1EC498B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综上所述，我们相对推荐振幅的标准差因子</w:t>
      </w:r>
      <w:r w:rsidRPr="0082515D">
        <w:rPr>
          <w:rFonts w:ascii="宋体" w:eastAsia="宋体" w:hAnsi="宋体" w:cs="宋体"/>
          <w:kern w:val="0"/>
          <w:sz w:val="23"/>
          <w:szCs w:val="23"/>
          <w14:ligatures w14:val="none"/>
        </w:rPr>
        <w:t>，如</w:t>
      </w:r>
      <w:proofErr w:type="spellStart"/>
      <w:r w:rsidRPr="0082515D">
        <w:rPr>
          <w:rFonts w:ascii="宋体" w:eastAsia="宋体" w:hAnsi="宋体" w:cs="宋体"/>
          <w:kern w:val="0"/>
          <w:sz w:val="23"/>
          <w:szCs w:val="23"/>
          <w14:ligatures w14:val="none"/>
        </w:rPr>
        <w:t>vol_highlow_std</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vol_upshadow_std</w:t>
      </w:r>
      <w:proofErr w:type="spellEnd"/>
      <w:r w:rsidRPr="0082515D">
        <w:rPr>
          <w:rFonts w:ascii="宋体" w:eastAsia="宋体" w:hAnsi="宋体" w:cs="宋体"/>
          <w:kern w:val="0"/>
          <w:sz w:val="23"/>
          <w:szCs w:val="23"/>
          <w14:ligatures w14:val="none"/>
        </w:rPr>
        <w:t>和</w:t>
      </w:r>
      <w:proofErr w:type="spellStart"/>
      <w:r w:rsidRPr="0082515D">
        <w:rPr>
          <w:rFonts w:ascii="宋体" w:eastAsia="宋体" w:hAnsi="宋体" w:cs="宋体"/>
          <w:kern w:val="0"/>
          <w:sz w:val="23"/>
          <w:szCs w:val="23"/>
          <w14:ligatures w14:val="none"/>
        </w:rPr>
        <w:t>vol_w_downshadow_std</w:t>
      </w:r>
      <w:proofErr w:type="spellEnd"/>
      <w:r w:rsidRPr="0082515D">
        <w:rPr>
          <w:rFonts w:ascii="宋体" w:eastAsia="宋体" w:hAnsi="宋体" w:cs="宋体"/>
          <w:kern w:val="0"/>
          <w:sz w:val="23"/>
          <w:szCs w:val="23"/>
          <w14:ligatures w14:val="none"/>
        </w:rPr>
        <w:t>等。同时，对比不同周期的振幅标准差因子的IC均值和多头组合收益表现，我们发现其选股能力未有显著差异，但长周期（6个月）的波动率因子多头组合换手率明显低于短周期（1个月）的波动率因子。考虑换手成本的情况下，</w:t>
      </w:r>
      <w:r w:rsidRPr="0082515D">
        <w:rPr>
          <w:rFonts w:ascii="宋体" w:eastAsia="宋体" w:hAnsi="宋体" w:cs="宋体"/>
          <w:b/>
          <w:bCs/>
          <w:kern w:val="0"/>
          <w:sz w:val="23"/>
          <w:szCs w:val="23"/>
          <w14:ligatures w14:val="none"/>
        </w:rPr>
        <w:t>长周期的振幅标准差因子性价比更高。</w:t>
      </w:r>
    </w:p>
    <w:p w14:paraId="77248863" w14:textId="77777777" w:rsidR="0082515D" w:rsidRPr="0082515D" w:rsidRDefault="0082515D" w:rsidP="0082515D">
      <w:pPr>
        <w:widowControl/>
        <w:jc w:val="left"/>
        <w:rPr>
          <w:rFonts w:ascii="宋体" w:eastAsia="宋体" w:hAnsi="宋体" w:cs="宋体"/>
          <w:kern w:val="0"/>
          <w:sz w:val="24"/>
          <w14:ligatures w14:val="none"/>
        </w:rPr>
      </w:pPr>
    </w:p>
    <w:p w14:paraId="4F91363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图表17：波动率因子在全市场范围内的有效性检验结果</w:t>
      </w:r>
    </w:p>
    <w:p w14:paraId="10DA1714" w14:textId="2FD285AD"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"https://mmbiz.qpic.cn/mmbiz_png/41FzlIA3BAWJblpfs7z25pCeTTJegtmBbojJvIsb6lZ5ibfficHF2JguACALNgAsVtbFlibGhv4I846b301AqGibrQ/640?wx_fmt=png&amp;tp=wxpic&amp;wxfrom=5&amp;wx_lazy=1#imgIndex=16"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241589A" wp14:editId="5EE26F3E">
            <wp:extent cx="5274310" cy="4480560"/>
            <wp:effectExtent l="0" t="0" r="0" b="2540"/>
            <wp:docPr id="144199400" name="图片 8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44805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9B4231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w:t>
      </w:r>
      <w:r w:rsidRPr="0082515D">
        <w:rPr>
          <w:rFonts w:ascii="宋体" w:eastAsia="宋体" w:hAnsi="宋体" w:cs="宋体"/>
          <w:kern w:val="0"/>
          <w:sz w:val="24"/>
          <w14:ligatures w14:val="none"/>
        </w:rPr>
        <w:br/>
        <w:t>注：（注：统计时间为2010-01-01至2022-06-30；超额收益的比较基准为全市场等权指数）</w:t>
      </w:r>
    </w:p>
    <w:p w14:paraId="2EB33ED7" w14:textId="77777777" w:rsidR="0082515D" w:rsidRPr="0082515D" w:rsidRDefault="0082515D" w:rsidP="0082515D">
      <w:pPr>
        <w:widowControl/>
        <w:jc w:val="left"/>
        <w:rPr>
          <w:rFonts w:ascii="宋体" w:eastAsia="宋体" w:hAnsi="宋体" w:cs="宋体"/>
          <w:kern w:val="0"/>
          <w:sz w:val="24"/>
          <w14:ligatures w14:val="none"/>
        </w:rPr>
      </w:pPr>
    </w:p>
    <w:p w14:paraId="2D7E7FE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图表18：全市场范围内表现相对较好的波动率因子之间的相关性统计</w:t>
      </w:r>
    </w:p>
    <w:p w14:paraId="68FD3A19" w14:textId="3CF1845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"https://mmbiz.qpic.cn/mmbiz_png/41FzlIA3BAWJblpfs7z25pCeTTJegtmB6UWiaRa0XOhHl1S475sTbtccvy5O9ypX3VnSicHErWNLzrA8KYeVD9BA/640?wx_fmt=png&amp;tp=wxpic&amp;wxfrom=5&amp;wx_lazy=1#imgIndex=17"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FF0C0B2" wp14:editId="743C00A4">
            <wp:extent cx="5274310" cy="1346835"/>
            <wp:effectExtent l="0" t="0" r="0" b="0"/>
            <wp:docPr id="1493319111" name="图片 8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3468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5AABCF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w:t>
      </w:r>
    </w:p>
    <w:p w14:paraId="1220B23E" w14:textId="77777777" w:rsidR="0082515D" w:rsidRPr="0082515D" w:rsidRDefault="0082515D" w:rsidP="0082515D">
      <w:pPr>
        <w:widowControl/>
        <w:jc w:val="left"/>
        <w:rPr>
          <w:rFonts w:ascii="宋体" w:eastAsia="宋体" w:hAnsi="宋体" w:cs="宋体"/>
          <w:kern w:val="0"/>
          <w:sz w:val="24"/>
          <w14:ligatures w14:val="none"/>
        </w:rPr>
      </w:pPr>
    </w:p>
    <w:p w14:paraId="0B62ABD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图表19：波动率因子在沪深300范围内的有效性检验结果</w:t>
      </w:r>
    </w:p>
    <w:p w14:paraId="63667313" w14:textId="13717CD5"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"https://mmbiz.qpic.cn/mmbiz_png/41FzlIA3BAWJblpfs7z25pCeTTJegtmBNx8zgtpJfVXeUZXk88vL0Y45xgGm3oFwXHMJbSEjJAGfHTvslza1sQ/640?wx_fmt=png&amp;tp=wxpic&amp;wxfrom=5&amp;wx_lazy=1#imgIndex=18"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21D41B5" wp14:editId="496A70AD">
            <wp:extent cx="5274310" cy="4439920"/>
            <wp:effectExtent l="0" t="0" r="0" b="5080"/>
            <wp:docPr id="366488086" name="图片 8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4399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C598D4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资料来源：Wind，中金公司研究部（注：统计时间为2010-01-01至2022-06-30；超额收益的比较基准为沪深300等权指数000984.CSI）</w:t>
      </w:r>
    </w:p>
    <w:p w14:paraId="428E7DF1" w14:textId="77777777" w:rsidR="0082515D" w:rsidRPr="0082515D" w:rsidRDefault="0082515D" w:rsidP="0082515D">
      <w:pPr>
        <w:widowControl/>
        <w:jc w:val="left"/>
        <w:rPr>
          <w:rFonts w:ascii="宋体" w:eastAsia="宋体" w:hAnsi="宋体" w:cs="宋体"/>
          <w:kern w:val="0"/>
          <w:sz w:val="24"/>
          <w14:ligatures w14:val="none"/>
        </w:rPr>
      </w:pPr>
    </w:p>
    <w:p w14:paraId="6F825E9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图表20：波动率因子在中证500范围内的有效性检验结果</w:t>
      </w:r>
    </w:p>
    <w:p w14:paraId="7773B11A" w14:textId="565CDD3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"https://mmbiz.qpic.cn/mmbiz_png/41FzlIA3BAWJblpfs7z25pCeTTJegtmBOanapCAF2Quw1eb51S1Kp3icd7rTBGyUI45Dk0oMjIKAALhsbY1T4cA/640?wx_fmt=png&amp;tp=wxpic&amp;wxfrom=5&amp;wx_lazy=1#imgIndex=19"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76EB3D0" wp14:editId="20BEE4D1">
            <wp:extent cx="5274310" cy="4328795"/>
            <wp:effectExtent l="0" t="0" r="0" b="1905"/>
            <wp:docPr id="217136025" name="图片 8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43287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C5E220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资料来源：Wind，中金公司研究部（注：统计时间为2010-01-01至2022-06-30；超额收益的比较基准为中证500等权指数000982.SH）</w:t>
      </w:r>
    </w:p>
    <w:p w14:paraId="324BB8C3" w14:textId="77777777" w:rsidR="0082515D" w:rsidRPr="0082515D" w:rsidRDefault="0082515D" w:rsidP="0082515D">
      <w:pPr>
        <w:widowControl/>
        <w:jc w:val="left"/>
        <w:rPr>
          <w:rFonts w:ascii="宋体" w:eastAsia="宋体" w:hAnsi="宋体" w:cs="宋体"/>
          <w:kern w:val="0"/>
          <w:sz w:val="24"/>
          <w14:ligatures w14:val="none"/>
        </w:rPr>
      </w:pPr>
    </w:p>
    <w:p w14:paraId="1DFBEB5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图表21：波动率因子在中证1000范围内的有效性检验结果</w:t>
      </w:r>
    </w:p>
    <w:p w14:paraId="6480C5B8" w14:textId="1D62C1A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"https://mmbiz.qpic.cn/mmbiz_png/41FzlIA3BAWJblpfs7z25pCeTTJegtmBribb4MY3W2YjIwVKibIib58XPiaG36chDAVeEezhnwVAqbnWNEXj4nSadQ/640?wx_fmt=png&amp;tp=wxpic&amp;wxfrom=5&amp;wx_lazy=1#imgIndex=20"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CF52488" wp14:editId="0997BE0D">
            <wp:extent cx="5274310" cy="4335780"/>
            <wp:effectExtent l="0" t="0" r="0" b="0"/>
            <wp:docPr id="1555504175" name="图片 8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433578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B2DFE8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资料来源：Wind，中金公司研究部（注：统计时间为2014-11-01至2022-06-30；超额收益的比较基准为中证1000指数000852.SH）</w:t>
      </w:r>
    </w:p>
    <w:p w14:paraId="6E8992D2" w14:textId="77777777" w:rsidR="0082515D" w:rsidRPr="0082515D" w:rsidRDefault="0082515D" w:rsidP="0082515D">
      <w:pPr>
        <w:widowControl/>
        <w:jc w:val="left"/>
        <w:rPr>
          <w:rFonts w:ascii="宋体" w:eastAsia="宋体" w:hAnsi="宋体" w:cs="宋体"/>
          <w:kern w:val="0"/>
          <w:sz w:val="24"/>
          <w14:ligatures w14:val="none"/>
        </w:rPr>
      </w:pPr>
    </w:p>
    <w:p w14:paraId="2ED27B1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中证500范围内振幅标准差因子分组多空表现较好</w:t>
      </w:r>
    </w:p>
    <w:p w14:paraId="5BC85A3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沪深300范围内，vol_highlow_std_1M、vol_highlow_std_6M、vol_upshadow_std_6M和vol_w_downshadow_std_6M因子分组单调性普通。</w:t>
      </w:r>
      <w:r w:rsidRPr="0082515D">
        <w:rPr>
          <w:rFonts w:ascii="宋体" w:eastAsia="宋体" w:hAnsi="宋体" w:cs="宋体"/>
          <w:kern w:val="0"/>
          <w:sz w:val="23"/>
          <w:szCs w:val="23"/>
          <w14:ligatures w14:val="none"/>
        </w:rPr>
        <w:t>如下图所示，4个因子多头组合显著跑赢基准，空头组合则显著跑输基准。4个因子的多头相对净值走势相近，也是其因子相关性偏高的一种体现。</w:t>
      </w:r>
    </w:p>
    <w:p w14:paraId="303B14A1" w14:textId="77777777" w:rsidR="0082515D" w:rsidRPr="0082515D" w:rsidRDefault="0082515D" w:rsidP="0082515D">
      <w:pPr>
        <w:widowControl/>
        <w:jc w:val="left"/>
        <w:rPr>
          <w:rFonts w:ascii="宋体" w:eastAsia="宋体" w:hAnsi="宋体" w:cs="宋体"/>
          <w:kern w:val="0"/>
          <w:sz w:val="24"/>
          <w14:ligatures w14:val="none"/>
        </w:rPr>
      </w:pPr>
    </w:p>
    <w:p w14:paraId="659333F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图表22：沪深300范围内表现较好的波动率因子多头组合相对净值</w:t>
      </w:r>
    </w:p>
    <w:p w14:paraId="5B3E4008" w14:textId="439D063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"https://mmbiz.qpic.cn/mmbiz_png/41FzlIA3BAWJblpfs7z25pCeTTJegtmBqeic0RibJC1S2ePbMtFUYbIGB3fRevVXNvAXibUOUqbJ602GSlaBg2vRw/640?wx_fmt=png&amp;tp=wxpic&amp;wxfrom=5&amp;wx_lazy=1#imgIndex=21"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3873373" wp14:editId="15C1B72D">
            <wp:extent cx="5274310" cy="2709545"/>
            <wp:effectExtent l="0" t="0" r="0" b="0"/>
            <wp:docPr id="1482925413" name="图片 8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70954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E2B6BE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注：1）统计时间为2010-01-01至2022-06-30；2）相对净值的比较基准为沪深300等权指数000984.CSI</w:t>
      </w:r>
    </w:p>
    <w:p w14:paraId="62D7D742" w14:textId="77777777" w:rsidR="0082515D" w:rsidRPr="0082515D" w:rsidRDefault="0082515D" w:rsidP="0082515D">
      <w:pPr>
        <w:widowControl/>
        <w:jc w:val="left"/>
        <w:rPr>
          <w:rFonts w:ascii="宋体" w:eastAsia="宋体" w:hAnsi="宋体" w:cs="宋体"/>
          <w:kern w:val="0"/>
          <w:sz w:val="24"/>
          <w14:ligatures w14:val="none"/>
        </w:rPr>
      </w:pPr>
    </w:p>
    <w:p w14:paraId="0D69E45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图表23：沪深300范围内表现较好的波动率因子分组年化超额收益统计</w:t>
      </w:r>
    </w:p>
    <w:p w14:paraId="326A47AF" w14:textId="6173AD4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"https://mmbiz.qpic.cn/mmbiz_png/41FzlIA3BAWJblpfs7z25pCeTTJegtmBevAiaia9SV92ibnZbILNXcicjpGxQzXANLuZJ2UaW0dFODhwdbjRqhFdNA/640?wx_fmt=png&amp;tp=wxpic&amp;wxfrom=5&amp;wx_lazy=1#imgIndex=22"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4CD8589" wp14:editId="43885D64">
            <wp:extent cx="5274310" cy="2738755"/>
            <wp:effectExtent l="0" t="0" r="0" b="4445"/>
            <wp:docPr id="981703323" name="图片 8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73875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24CC92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注：1）统计时间为2010-01-01至2022-06-30；2）超额收益的比较基准为沪深300等权指数000984.CSI；3）Group1为因子值最小一组，Group10为因子值最大一组</w:t>
      </w:r>
    </w:p>
    <w:p w14:paraId="46CCFEE8" w14:textId="77777777" w:rsidR="0082515D" w:rsidRPr="0082515D" w:rsidRDefault="0082515D" w:rsidP="0082515D">
      <w:pPr>
        <w:widowControl/>
        <w:jc w:val="left"/>
        <w:rPr>
          <w:rFonts w:ascii="宋体" w:eastAsia="宋体" w:hAnsi="宋体" w:cs="宋体"/>
          <w:kern w:val="0"/>
          <w:sz w:val="24"/>
          <w14:ligatures w14:val="none"/>
        </w:rPr>
      </w:pPr>
    </w:p>
    <w:p w14:paraId="415BF72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中证500范围内，vol_highlow_std_3M因子分组表现良好，单调性较优</w:t>
      </w:r>
      <w:r w:rsidRPr="0082515D">
        <w:rPr>
          <w:rFonts w:ascii="宋体" w:eastAsia="宋体" w:hAnsi="宋体" w:cs="宋体"/>
          <w:kern w:val="0"/>
          <w:sz w:val="24"/>
          <w14:ligatures w14:val="none"/>
        </w:rPr>
        <w:t>。vol_highlow_std_3M、vol_upshadow_std_3M和vol_w_downshadow_std_3M因子的空头组合显著跑输基准，多头组合跑赢基准，单调性较高，相对来说，空头贡献更大。</w:t>
      </w:r>
    </w:p>
    <w:p w14:paraId="00256A17" w14:textId="77777777" w:rsidR="0082515D" w:rsidRPr="0082515D" w:rsidRDefault="0082515D" w:rsidP="0082515D">
      <w:pPr>
        <w:widowControl/>
        <w:jc w:val="left"/>
        <w:rPr>
          <w:rFonts w:ascii="宋体" w:eastAsia="宋体" w:hAnsi="宋体" w:cs="宋体"/>
          <w:kern w:val="0"/>
          <w:sz w:val="24"/>
          <w14:ligatures w14:val="none"/>
        </w:rPr>
      </w:pPr>
    </w:p>
    <w:p w14:paraId="36639C7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图表24：中证500范围内表现较好的波动率因子多头组合相对净值</w:t>
      </w:r>
    </w:p>
    <w:p w14:paraId="26757BB6" w14:textId="511F3DC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"https://mmbiz.qpic.cn/mmbiz_png/41FzlIA3BAWJblpfs7z25pCeTTJegtmBPYfoXDQEU0wVoTIicSOUBONhrIiaB3K0ZszLCmwic09ZDibticuJtNVJRzQ/640?wx_fmt=png&amp;tp=wxpic&amp;wxfrom=5&amp;wx_lazy=1#imgIndex=23"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B88D2E8" wp14:editId="22C094F5">
            <wp:extent cx="5274310" cy="2660015"/>
            <wp:effectExtent l="0" t="0" r="0" b="0"/>
            <wp:docPr id="769485611" name="图片 8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66001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417C31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1EA5331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注：1）统计时间为2010-01-01至2022-06-30；2）相对净值的比较基准为中证500等权指数000982.SH</w:t>
      </w:r>
    </w:p>
    <w:p w14:paraId="42A69183" w14:textId="77777777" w:rsidR="0082515D" w:rsidRPr="0082515D" w:rsidRDefault="0082515D" w:rsidP="0082515D">
      <w:pPr>
        <w:widowControl/>
        <w:jc w:val="left"/>
        <w:rPr>
          <w:rFonts w:ascii="宋体" w:eastAsia="宋体" w:hAnsi="宋体" w:cs="宋体"/>
          <w:kern w:val="0"/>
          <w:sz w:val="24"/>
          <w14:ligatures w14:val="none"/>
        </w:rPr>
      </w:pPr>
    </w:p>
    <w:p w14:paraId="0B292E5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图表25：中证500范围内表现较好的波动率因子分组年化超额收益统计</w:t>
      </w:r>
    </w:p>
    <w:p w14:paraId="45E3EB6A" w14:textId="2BFC08A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"https://mmbiz.qpic.cn/mmbiz_png/41FzlIA3BAWJblpfs7z25pCeTTJegtmBQ9vZDiahFlxwofJ2OBKRlExEcgXp2laJurvkTibdIrPK60VzCPcgFkJg/640?wx_fmt=png&amp;tp=wxpic&amp;wxfrom=5&amp;wx_lazy=1#imgIndex=24"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B0FC49B" wp14:editId="36105790">
            <wp:extent cx="5218430" cy="2706370"/>
            <wp:effectExtent l="0" t="0" r="1270" b="0"/>
            <wp:docPr id="1157864464" name="图片 8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8430" cy="27063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3CB2E9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注：1）统计时间为2010-01-01至2022-06-30；2）超额收益的比较基准为中证500等权指数000982.SH；3）Group1为因子值最小一组，Group10为因子值最大一组</w:t>
      </w:r>
    </w:p>
    <w:p w14:paraId="34C7B5C5" w14:textId="77777777" w:rsidR="0082515D" w:rsidRPr="0082515D" w:rsidRDefault="0082515D" w:rsidP="0082515D">
      <w:pPr>
        <w:widowControl/>
        <w:jc w:val="left"/>
        <w:rPr>
          <w:rFonts w:ascii="宋体" w:eastAsia="宋体" w:hAnsi="宋体" w:cs="宋体"/>
          <w:kern w:val="0"/>
          <w:sz w:val="24"/>
          <w14:ligatures w14:val="none"/>
        </w:rPr>
      </w:pPr>
    </w:p>
    <w:p w14:paraId="6C9508A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中证1000范围内，vol_highlow_std_3M、vol_upshadow_std_3M等因子空头贡献相对较多。</w:t>
      </w:r>
      <w:r w:rsidRPr="0082515D">
        <w:rPr>
          <w:rFonts w:ascii="宋体" w:eastAsia="宋体" w:hAnsi="宋体" w:cs="宋体"/>
          <w:kern w:val="0"/>
          <w:sz w:val="24"/>
          <w14:ligatures w14:val="none"/>
        </w:rPr>
        <w:t>振幅标准差因子空头组合均显著跑输基准，贡献了大部分超额收益；虽然多头组合也能跑赢基准，但Group1-5区分度相对较小，但单调性表现一般。</w:t>
      </w:r>
    </w:p>
    <w:p w14:paraId="2C79D073" w14:textId="77777777" w:rsidR="0082515D" w:rsidRPr="0082515D" w:rsidRDefault="0082515D" w:rsidP="0082515D">
      <w:pPr>
        <w:widowControl/>
        <w:jc w:val="left"/>
        <w:rPr>
          <w:rFonts w:ascii="宋体" w:eastAsia="宋体" w:hAnsi="宋体" w:cs="宋体"/>
          <w:kern w:val="0"/>
          <w:sz w:val="24"/>
          <w14:ligatures w14:val="none"/>
        </w:rPr>
      </w:pPr>
    </w:p>
    <w:p w14:paraId="583EA74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图表26：中证1000范围内表现较好的波动率因子多头组合相对净值</w:t>
      </w:r>
    </w:p>
    <w:p w14:paraId="76A3AD39" w14:textId="6D92D59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"https://mmbiz.qpic.cn/mmbiz_png/41FzlIA3BAWJblpfs7z25pCeTTJegtmBQ9vZDiahFlxwofJ2OBKRlExEcgXp2laJurvkTibdIrPK60VzCPcgFkJg/640?wx_fmt=png&amp;tp=wxpic&amp;wxfrom=5&amp;wx_lazy=1#imgIndex=25"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6F63C3C" wp14:editId="77F0D7C7">
            <wp:extent cx="5218430" cy="2706370"/>
            <wp:effectExtent l="0" t="0" r="1270" b="0"/>
            <wp:docPr id="581980224" name="图片 7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8430" cy="27063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039558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注：1）统计时间为2014-11-01至2022-06-30；2）相对净值的比较基准为中证1000等权指数000852.SH</w:t>
      </w:r>
    </w:p>
    <w:p w14:paraId="3292CC39" w14:textId="77777777" w:rsidR="0082515D" w:rsidRPr="0082515D" w:rsidRDefault="0082515D" w:rsidP="0082515D">
      <w:pPr>
        <w:widowControl/>
        <w:jc w:val="left"/>
        <w:rPr>
          <w:rFonts w:ascii="宋体" w:eastAsia="宋体" w:hAnsi="宋体" w:cs="宋体"/>
          <w:kern w:val="0"/>
          <w:sz w:val="24"/>
          <w14:ligatures w14:val="none"/>
        </w:rPr>
      </w:pPr>
    </w:p>
    <w:p w14:paraId="44B178A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图表27：中证1000范围内表现较好的波动率因子分组年化超额收益统计</w:t>
      </w:r>
    </w:p>
    <w:p w14:paraId="676F887F" w14:textId="315103C5"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"https://mmbiz.qpic.cn/mmbiz_png/41FzlIA3BAWJblpfs7z25pCeTTJegtmBHjGaxECkF1uSuZszKbicTjicPdwAYicYjrYZIibFPzh0Oz598IibZ8U0NhA/640?wx_fmt=png&amp;tp=wxpic&amp;wxfrom=5&amp;wx_lazy=1#imgIndex=26"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F71A009" wp14:editId="085B4ACB">
            <wp:extent cx="5227955" cy="2733675"/>
            <wp:effectExtent l="0" t="0" r="4445" b="0"/>
            <wp:docPr id="789460967" name="图片 7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27955" cy="27336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CD44F7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注：1）统计时间为2014-11-01至2022-06-30；2）超额收益的比较基准为中证1000指数000852.SH；3）Group1为因子值最小一组，Group10为因子值最大一组</w:t>
      </w:r>
    </w:p>
    <w:p w14:paraId="37F8A40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流动性</w:t>
      </w:r>
    </w:p>
    <w:p w14:paraId="58BA662E" w14:textId="77777777" w:rsidR="0082515D" w:rsidRPr="0082515D" w:rsidRDefault="0082515D" w:rsidP="0082515D">
      <w:pPr>
        <w:widowControl/>
        <w:jc w:val="left"/>
        <w:rPr>
          <w:rFonts w:ascii="宋体" w:eastAsia="宋体" w:hAnsi="宋体" w:cs="宋体"/>
          <w:kern w:val="0"/>
          <w:sz w:val="24"/>
          <w14:ligatures w14:val="none"/>
        </w:rPr>
      </w:pPr>
    </w:p>
    <w:p w14:paraId="01EEDC4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换手率因子与价格弹性因子均值得关注</w:t>
      </w:r>
    </w:p>
    <w:p w14:paraId="4385B3B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流动性刻画股票交易所需要的时间和成本，一般来说，流动性较差的个股通常有更高的预期收益，这是</w:t>
      </w:r>
      <w:r w:rsidRPr="0082515D">
        <w:rPr>
          <w:rFonts w:ascii="宋体" w:eastAsia="宋体" w:hAnsi="宋体" w:cs="宋体"/>
          <w:b/>
          <w:bCs/>
          <w:kern w:val="0"/>
          <w:sz w:val="24"/>
          <w14:ligatures w14:val="none"/>
        </w:rPr>
        <w:t>对流动性风险的风险补偿。</w:t>
      </w:r>
      <w:r w:rsidRPr="0082515D">
        <w:rPr>
          <w:rFonts w:ascii="宋体" w:eastAsia="宋体" w:hAnsi="宋体" w:cs="宋体"/>
          <w:kern w:val="0"/>
          <w:sz w:val="24"/>
          <w14:ligatures w14:val="none"/>
        </w:rPr>
        <w:t>因此，流动性因子通常表现为流动性越低，未来收益越高的特征（也会被称为为非流动性因子）。高频的流动性因子，可以通过价差宽度、价格深度来刻画流动性，而中低频的流动</w:t>
      </w:r>
      <w:r w:rsidRPr="0082515D">
        <w:rPr>
          <w:rFonts w:ascii="宋体" w:eastAsia="宋体" w:hAnsi="宋体" w:cs="宋体"/>
          <w:kern w:val="0"/>
          <w:sz w:val="24"/>
          <w14:ligatures w14:val="none"/>
        </w:rPr>
        <w:lastRenderedPageBreak/>
        <w:t>性因子则主要观察</w:t>
      </w:r>
      <w:r w:rsidRPr="0082515D">
        <w:rPr>
          <w:rFonts w:ascii="宋体" w:eastAsia="宋体" w:hAnsi="宋体" w:cs="宋体"/>
          <w:b/>
          <w:bCs/>
          <w:kern w:val="0"/>
          <w:sz w:val="24"/>
          <w14:ligatures w14:val="none"/>
        </w:rPr>
        <w:t>换手率或价格弹性</w:t>
      </w:r>
      <w:r w:rsidRPr="0082515D">
        <w:rPr>
          <w:rFonts w:ascii="宋体" w:eastAsia="宋体" w:hAnsi="宋体" w:cs="宋体"/>
          <w:kern w:val="0"/>
          <w:sz w:val="24"/>
          <w14:ligatures w14:val="none"/>
        </w:rPr>
        <w:t>。本节基于换手率、价格弹性构建了21个流动性因子，并对其进行有效性检验。</w:t>
      </w:r>
    </w:p>
    <w:p w14:paraId="7B4D1D9F" w14:textId="77777777" w:rsidR="0082515D" w:rsidRPr="0082515D" w:rsidRDefault="0082515D" w:rsidP="0082515D">
      <w:pPr>
        <w:widowControl/>
        <w:jc w:val="left"/>
        <w:rPr>
          <w:rFonts w:ascii="宋体" w:eastAsia="宋体" w:hAnsi="宋体" w:cs="宋体"/>
          <w:kern w:val="0"/>
          <w:sz w:val="24"/>
          <w14:ligatures w14:val="none"/>
        </w:rPr>
      </w:pPr>
    </w:p>
    <w:p w14:paraId="587643F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图表28：流动性因子构建方式</w:t>
      </w:r>
    </w:p>
    <w:p w14:paraId="4C192CAC" w14:textId="77BC032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"https://mmbiz.qpic.cn/mmbiz_png/41FzlIA3BAWJblpfs7z25pCeTTJegtmBt3EeF74RTa9W3lWxQRPJNUibRYVH9fUYnmpQ7rS6m9ed1mBd9xdxNmA/640?wx_fmt=png&amp;tp=wxpic&amp;wxfrom=5&amp;wx_lazy=1#imgIndex=27"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5157C17" wp14:editId="47A74983">
            <wp:extent cx="5274310" cy="2743200"/>
            <wp:effectExtent l="0" t="0" r="0" b="0"/>
            <wp:docPr id="1759906398" name="图片 7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图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74320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CD39E3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w:t>
      </w:r>
    </w:p>
    <w:p w14:paraId="5D68CA97" w14:textId="77777777" w:rsidR="0082515D" w:rsidRPr="0082515D" w:rsidRDefault="0082515D" w:rsidP="0082515D">
      <w:pPr>
        <w:widowControl/>
        <w:jc w:val="left"/>
        <w:rPr>
          <w:rFonts w:ascii="宋体" w:eastAsia="宋体" w:hAnsi="宋体" w:cs="宋体"/>
          <w:kern w:val="0"/>
          <w:sz w:val="24"/>
          <w14:ligatures w14:val="none"/>
        </w:rPr>
      </w:pPr>
    </w:p>
    <w:p w14:paraId="1830E86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从相关性角度来看，换手率因子、成交波动比因子、</w:t>
      </w:r>
      <w:proofErr w:type="spellStart"/>
      <w:r w:rsidRPr="0082515D">
        <w:rPr>
          <w:rFonts w:ascii="宋体" w:eastAsia="宋体" w:hAnsi="宋体" w:cs="宋体"/>
          <w:kern w:val="0"/>
          <w:sz w:val="24"/>
          <w14:ligatures w14:val="none"/>
        </w:rPr>
        <w:t>amihud</w:t>
      </w:r>
      <w:proofErr w:type="spellEnd"/>
      <w:r w:rsidRPr="0082515D">
        <w:rPr>
          <w:rFonts w:ascii="宋体" w:eastAsia="宋体" w:hAnsi="宋体" w:cs="宋体"/>
          <w:kern w:val="0"/>
          <w:sz w:val="24"/>
          <w14:ligatures w14:val="none"/>
        </w:rPr>
        <w:t>非流动因子、最短路径非流动因子之间均有0.3-0.4的弱相关性；结合因子的构建逻辑，我们大致将流动性因子分为两类：换手率因子、价格弹性因子。</w:t>
      </w:r>
    </w:p>
    <w:p w14:paraId="274FD62A" w14:textId="77777777" w:rsidR="0082515D" w:rsidRPr="0082515D" w:rsidRDefault="0082515D" w:rsidP="0082515D">
      <w:pPr>
        <w:widowControl/>
        <w:jc w:val="left"/>
        <w:rPr>
          <w:rFonts w:ascii="宋体" w:eastAsia="宋体" w:hAnsi="宋体" w:cs="宋体"/>
          <w:kern w:val="0"/>
          <w:sz w:val="24"/>
          <w14:ligatures w14:val="none"/>
        </w:rPr>
      </w:pPr>
    </w:p>
    <w:p w14:paraId="3CD7C59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b/>
          <w:bCs/>
          <w:kern w:val="0"/>
          <w:sz w:val="24"/>
          <w14:ligatures w14:val="none"/>
        </w:rPr>
        <w:t>换手率因子</w:t>
      </w:r>
      <w:r w:rsidRPr="0082515D">
        <w:rPr>
          <w:rFonts w:ascii="宋体" w:eastAsia="宋体" w:hAnsi="宋体" w:cs="宋体"/>
          <w:kern w:val="0"/>
          <w:sz w:val="24"/>
          <w14:ligatures w14:val="none"/>
        </w:rPr>
        <w:t>是用不同区间的</w:t>
      </w:r>
      <w:r w:rsidRPr="0082515D">
        <w:rPr>
          <w:rFonts w:ascii="宋体" w:eastAsia="宋体" w:hAnsi="宋体" w:cs="宋体"/>
          <w:b/>
          <w:bCs/>
          <w:kern w:val="0"/>
          <w:sz w:val="24"/>
          <w14:ligatures w14:val="none"/>
        </w:rPr>
        <w:t>换手率均值和标准差</w:t>
      </w:r>
      <w:r w:rsidRPr="0082515D">
        <w:rPr>
          <w:rFonts w:ascii="宋体" w:eastAsia="宋体" w:hAnsi="宋体" w:cs="宋体"/>
          <w:kern w:val="0"/>
          <w:sz w:val="24"/>
          <w14:ligatures w14:val="none"/>
        </w:rPr>
        <w:t>构建的，从相关性统计结果来看，换手率均值与标准差因子的相关性较高，一定程度说明换手率因子</w:t>
      </w:r>
      <w:r w:rsidRPr="0082515D">
        <w:rPr>
          <w:rFonts w:ascii="宋体" w:eastAsia="宋体" w:hAnsi="宋体" w:cs="宋体"/>
          <w:b/>
          <w:bCs/>
          <w:kern w:val="0"/>
          <w:sz w:val="24"/>
          <w14:ligatures w14:val="none"/>
        </w:rPr>
        <w:t>既含有流动性方面的信息，也含有部分波动率方面的信息。</w:t>
      </w:r>
      <w:r w:rsidRPr="0082515D">
        <w:rPr>
          <w:rFonts w:ascii="宋体" w:eastAsia="宋体" w:hAnsi="宋体" w:cs="宋体"/>
          <w:kern w:val="0"/>
          <w:sz w:val="24"/>
          <w14:ligatures w14:val="none"/>
        </w:rPr>
        <w:t>比较换手率均值因子和标准差因子，不难看出，</w:t>
      </w:r>
      <w:r w:rsidRPr="0082515D">
        <w:rPr>
          <w:rFonts w:ascii="宋体" w:eastAsia="宋体" w:hAnsi="宋体" w:cs="宋体"/>
          <w:b/>
          <w:bCs/>
          <w:kern w:val="0"/>
          <w:sz w:val="24"/>
          <w14:ligatures w14:val="none"/>
        </w:rPr>
        <w:t>换手率标准差因子（liq_turn_std_6M）有效性相对较高；</w:t>
      </w:r>
      <w:r w:rsidRPr="0082515D">
        <w:rPr>
          <w:rFonts w:ascii="宋体" w:eastAsia="宋体" w:hAnsi="宋体" w:cs="宋体"/>
          <w:kern w:val="0"/>
          <w:sz w:val="24"/>
          <w14:ligatures w14:val="none"/>
        </w:rPr>
        <w:t>在中证500、中证1000内的有效性显著优于沪深300范围。</w:t>
      </w:r>
    </w:p>
    <w:p w14:paraId="3CC37AB5" w14:textId="77777777" w:rsidR="0082515D" w:rsidRPr="0082515D" w:rsidRDefault="0082515D" w:rsidP="0082515D">
      <w:pPr>
        <w:widowControl/>
        <w:jc w:val="left"/>
        <w:rPr>
          <w:rFonts w:ascii="宋体" w:eastAsia="宋体" w:hAnsi="宋体" w:cs="宋体"/>
          <w:kern w:val="0"/>
          <w:sz w:val="24"/>
          <w14:ligatures w14:val="none"/>
        </w:rPr>
      </w:pPr>
    </w:p>
    <w:p w14:paraId="3247579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4"/>
          <w14:ligatures w14:val="none"/>
        </w:rPr>
        <w:t>►</w:t>
      </w:r>
      <w:r w:rsidRPr="0082515D">
        <w:rPr>
          <w:rFonts w:ascii="宋体" w:eastAsia="宋体" w:hAnsi="宋体" w:cs="宋体"/>
          <w:b/>
          <w:bCs/>
          <w:kern w:val="0"/>
          <w:sz w:val="24"/>
          <w14:ligatures w14:val="none"/>
        </w:rPr>
        <w:t>价格弹性因子包括</w:t>
      </w:r>
      <w:proofErr w:type="spellStart"/>
      <w:r w:rsidRPr="0082515D">
        <w:rPr>
          <w:rFonts w:ascii="宋体" w:eastAsia="宋体" w:hAnsi="宋体" w:cs="宋体"/>
          <w:b/>
          <w:bCs/>
          <w:kern w:val="0"/>
          <w:sz w:val="24"/>
          <w14:ligatures w14:val="none"/>
        </w:rPr>
        <w:t>Amihud</w:t>
      </w:r>
      <w:proofErr w:type="spellEnd"/>
      <w:r w:rsidRPr="0082515D">
        <w:rPr>
          <w:rFonts w:ascii="宋体" w:eastAsia="宋体" w:hAnsi="宋体" w:cs="宋体"/>
          <w:b/>
          <w:bCs/>
          <w:kern w:val="0"/>
          <w:sz w:val="24"/>
          <w14:ligatures w14:val="none"/>
        </w:rPr>
        <w:t>非流动性因子、最短路径非流动因子、成交波动比因子。</w:t>
      </w:r>
      <w:r w:rsidRPr="0082515D">
        <w:rPr>
          <w:rFonts w:ascii="宋体" w:eastAsia="宋体" w:hAnsi="宋体" w:cs="宋体"/>
          <w:kern w:val="0"/>
          <w:sz w:val="24"/>
          <w14:ligatures w14:val="none"/>
        </w:rPr>
        <w:t>在全市场范围内，上述三类因子IC_IR差异不大，绝对值均可达0.6以上，从多头收益表现来看，则是</w:t>
      </w:r>
      <w:proofErr w:type="spellStart"/>
      <w:r w:rsidRPr="0082515D">
        <w:rPr>
          <w:rFonts w:ascii="宋体" w:eastAsia="宋体" w:hAnsi="宋体" w:cs="宋体"/>
          <w:kern w:val="0"/>
          <w:sz w:val="24"/>
          <w14:ligatures w14:val="none"/>
        </w:rPr>
        <w:t>Amihud</w:t>
      </w:r>
      <w:proofErr w:type="spellEnd"/>
      <w:r w:rsidRPr="0082515D">
        <w:rPr>
          <w:rFonts w:ascii="宋体" w:eastAsia="宋体" w:hAnsi="宋体" w:cs="宋体"/>
          <w:kern w:val="0"/>
          <w:sz w:val="24"/>
          <w14:ligatures w14:val="none"/>
        </w:rPr>
        <w:t>非流动性因子表现相对较好，年化超额可达9.4%。沪深300范围内相对推荐最短路径非流动性因子；中证500、中证1000指数范围内则是</w:t>
      </w:r>
      <w:proofErr w:type="spellStart"/>
      <w:r w:rsidRPr="0082515D">
        <w:rPr>
          <w:rFonts w:ascii="宋体" w:eastAsia="宋体" w:hAnsi="宋体" w:cs="宋体"/>
          <w:kern w:val="0"/>
          <w:sz w:val="24"/>
          <w14:ligatures w14:val="none"/>
        </w:rPr>
        <w:t>liq_vstd</w:t>
      </w:r>
      <w:proofErr w:type="spellEnd"/>
      <w:r w:rsidRPr="0082515D">
        <w:rPr>
          <w:rFonts w:ascii="宋体" w:eastAsia="宋体" w:hAnsi="宋体" w:cs="宋体"/>
          <w:kern w:val="0"/>
          <w:sz w:val="24"/>
          <w14:ligatures w14:val="none"/>
        </w:rPr>
        <w:t>因子表现相对较好。</w:t>
      </w:r>
    </w:p>
    <w:p w14:paraId="75F7C332" w14:textId="77777777" w:rsidR="0082515D" w:rsidRPr="0082515D" w:rsidRDefault="0082515D" w:rsidP="0082515D">
      <w:pPr>
        <w:widowControl/>
        <w:jc w:val="left"/>
        <w:rPr>
          <w:rFonts w:ascii="宋体" w:eastAsia="宋体" w:hAnsi="宋体" w:cs="宋体"/>
          <w:kern w:val="0"/>
          <w:sz w:val="24"/>
          <w14:ligatures w14:val="none"/>
        </w:rPr>
      </w:pPr>
    </w:p>
    <w:p w14:paraId="3D084DB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总体来看，换手率标准差因子在不同范围内表现均较好，值得推荐。</w:t>
      </w:r>
      <w:r w:rsidRPr="0082515D">
        <w:rPr>
          <w:rFonts w:ascii="宋体" w:eastAsia="宋体" w:hAnsi="宋体" w:cs="宋体"/>
          <w:kern w:val="0"/>
          <w:sz w:val="24"/>
          <w14:ligatures w14:val="none"/>
        </w:rPr>
        <w:t>同时，由于价格弹性因子与换手率因子仅有弱相关关系，构建流动性的大类因子时，价格弹性类因子亦值得考虑。 </w:t>
      </w:r>
    </w:p>
    <w:p w14:paraId="029A9617" w14:textId="77777777" w:rsidR="0082515D" w:rsidRPr="0082515D" w:rsidRDefault="0082515D" w:rsidP="0082515D">
      <w:pPr>
        <w:widowControl/>
        <w:jc w:val="left"/>
        <w:rPr>
          <w:rFonts w:ascii="宋体" w:eastAsia="宋体" w:hAnsi="宋体" w:cs="宋体"/>
          <w:kern w:val="0"/>
          <w:sz w:val="24"/>
          <w14:ligatures w14:val="none"/>
        </w:rPr>
      </w:pPr>
    </w:p>
    <w:p w14:paraId="7F7CA8B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图表29：流动性因子在全市场范围内的有效性检验结果</w:t>
      </w:r>
    </w:p>
    <w:p w14:paraId="6C60CBA5" w14:textId="339DC05C"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"https://mmbiz.qpic.cn/mmbiz_png/41FzlIA3BAWJblpfs7z25pCeTTJegtmBfedPPQtccdt3JoeZmA7RlGG9akZF5leru7oia21icrPIs1JiavhpdFq1Q/640?wx_fmt=png&amp;tp=wxpic&amp;wxfrom=5&amp;wx_lazy=1#imgIndex=28"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446841A" wp14:editId="11F3089A">
            <wp:extent cx="5274310" cy="2632710"/>
            <wp:effectExtent l="0" t="0" r="0" b="0"/>
            <wp:docPr id="891584933" name="图片 7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片"/>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63271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8716A0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资料来源：Wind，中金公司研究部（注：统计时间为2010-01-01至2022-06-30；超额收益的比较基准为全市场等权指数）</w:t>
      </w:r>
    </w:p>
    <w:p w14:paraId="11FCAC51" w14:textId="77777777" w:rsidR="0082515D" w:rsidRPr="0082515D" w:rsidRDefault="0082515D" w:rsidP="0082515D">
      <w:pPr>
        <w:widowControl/>
        <w:jc w:val="left"/>
        <w:rPr>
          <w:rFonts w:ascii="宋体" w:eastAsia="宋体" w:hAnsi="宋体" w:cs="宋体"/>
          <w:kern w:val="0"/>
          <w:sz w:val="24"/>
          <w14:ligatures w14:val="none"/>
        </w:rPr>
      </w:pPr>
    </w:p>
    <w:p w14:paraId="256B4DE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图表30：全市场范围内表现相对较好的流动性因子之间的相关性统计</w:t>
      </w:r>
    </w:p>
    <w:p w14:paraId="2097A242" w14:textId="3E3584B3"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"https://mmbiz.qpic.cn/mmbiz_png/41FzlIA3BAWJblpfs7z25pCeTTJegtmBPIHXm38pfvaIGibsW2jCTOIHMDpW9BDyWI83l3UrbKMcFW379tC6y4Q/640?wx_fmt=png&amp;tp=wxpic&amp;wxfrom=5&amp;wx_lazy=1#imgIndex=29"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046BC21" wp14:editId="70B08043">
            <wp:extent cx="5274310" cy="1546860"/>
            <wp:effectExtent l="0" t="0" r="0" b="2540"/>
            <wp:docPr id="959996786" name="图片 7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5468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438789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资料来源：Wind，中金公司研究部（注：统计时间为2010-01-01至2022-06-30）</w:t>
      </w:r>
    </w:p>
    <w:p w14:paraId="35765487" w14:textId="77777777" w:rsidR="0082515D" w:rsidRPr="0082515D" w:rsidRDefault="0082515D" w:rsidP="0082515D">
      <w:pPr>
        <w:widowControl/>
        <w:jc w:val="left"/>
        <w:rPr>
          <w:rFonts w:ascii="宋体" w:eastAsia="宋体" w:hAnsi="宋体" w:cs="宋体"/>
          <w:kern w:val="0"/>
          <w:sz w:val="24"/>
          <w14:ligatures w14:val="none"/>
        </w:rPr>
      </w:pPr>
    </w:p>
    <w:p w14:paraId="179590A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图表31：流动性因子在沪深300范围内的有效性检验结果</w:t>
      </w:r>
    </w:p>
    <w:p w14:paraId="5FDAB5FF" w14:textId="7D131CA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"https://mmbiz.qpic.cn/mmbiz_png/41FzlIA3BAWJblpfs7z25pCeTTJegtmB62oNVrUokI2nib5LvvOtf5q5p06PK480gAibjTkpUEkgia5ibgVJ30iaB2Q/640?wx_fmt=png&amp;tp=wxpic&amp;wxfrom=5&amp;wx_lazy=1#imgIndex=30"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4ABF9EF" wp14:editId="161D4CAC">
            <wp:extent cx="5274310" cy="2515870"/>
            <wp:effectExtent l="0" t="0" r="0" b="0"/>
            <wp:docPr id="1286216221" name="图片 7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图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5158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484F05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资料来源：Wind，中金公司研究部（注：统计时间为2010-01-01至2022-06-30；超额收益的比较基准为沪深300等权指数000984.CSI）</w:t>
      </w:r>
    </w:p>
    <w:p w14:paraId="5B0551B5" w14:textId="77777777" w:rsidR="0082515D" w:rsidRPr="0082515D" w:rsidRDefault="0082515D" w:rsidP="0082515D">
      <w:pPr>
        <w:widowControl/>
        <w:jc w:val="left"/>
        <w:rPr>
          <w:rFonts w:ascii="宋体" w:eastAsia="宋体" w:hAnsi="宋体" w:cs="宋体"/>
          <w:kern w:val="0"/>
          <w:sz w:val="24"/>
          <w14:ligatures w14:val="none"/>
        </w:rPr>
      </w:pPr>
    </w:p>
    <w:p w14:paraId="761C829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图表32：流动性因子在中证500范围内的有效性检验结果</w:t>
      </w:r>
    </w:p>
    <w:p w14:paraId="3ECBB686" w14:textId="3746DAE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"https://mmbiz.qpic.cn/mmbiz_png/41FzlIA3BAWJblpfs7z25pCeTTJegtmB2wHGW6KnJ3DF5jbhpibMAWcBYhkQHEArPstgHnQ9yEZmg3C16UicEn3Q/640?wx_fmt=png&amp;tp=wxpic&amp;wxfrom=5&amp;wx_lazy=1#imgIndex=31"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4A00549" wp14:editId="2DB29690">
            <wp:extent cx="5274310" cy="2621915"/>
            <wp:effectExtent l="0" t="0" r="0" b="0"/>
            <wp:docPr id="80689668" name="图片 7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图片"/>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62191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826055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（注：统计时间为2010-01-01至2022-06-30；超额收益的比较基准为中证500等权指数000982.SH）</w:t>
      </w:r>
    </w:p>
    <w:p w14:paraId="55A72867" w14:textId="77777777" w:rsidR="0082515D" w:rsidRPr="0082515D" w:rsidRDefault="0082515D" w:rsidP="0082515D">
      <w:pPr>
        <w:widowControl/>
        <w:jc w:val="left"/>
        <w:rPr>
          <w:rFonts w:ascii="宋体" w:eastAsia="宋体" w:hAnsi="宋体" w:cs="宋体"/>
          <w:kern w:val="0"/>
          <w:sz w:val="24"/>
          <w14:ligatures w14:val="none"/>
        </w:rPr>
      </w:pPr>
    </w:p>
    <w:p w14:paraId="08C5DCC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图表33：过去半年完成发行的定增项目分类折扣率统计</w:t>
      </w:r>
    </w:p>
    <w:p w14:paraId="29B44EBC" w14:textId="05C8E3A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"https://mmbiz.qpic.cn/mmbiz_png/41FzlIA3BAWJblpfs7z25pCeTTJegtmBBUVKbWy3agL4icvbV8ySVYZBradxHeQkZH5bHMjIhSfEHibHOORB3AOQ/640?wx_fmt=png&amp;tp=wxpic&amp;wxfrom=5&amp;wx_lazy=1#imgIndex=32"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9F7BBF4" wp14:editId="7BF1C96A">
            <wp:extent cx="5274310" cy="2611120"/>
            <wp:effectExtent l="0" t="0" r="0" b="5080"/>
            <wp:docPr id="1424646888" name="图片 7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图片"/>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6111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53D46D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1AD4211E" w14:textId="77777777" w:rsidR="0082515D" w:rsidRPr="0082515D" w:rsidRDefault="0082515D" w:rsidP="0082515D">
      <w:pPr>
        <w:widowControl/>
        <w:jc w:val="left"/>
        <w:rPr>
          <w:rFonts w:ascii="宋体" w:eastAsia="宋体" w:hAnsi="宋体" w:cs="宋体"/>
          <w:kern w:val="0"/>
          <w:sz w:val="24"/>
          <w14:ligatures w14:val="none"/>
        </w:rPr>
      </w:pPr>
    </w:p>
    <w:p w14:paraId="5707426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liq_turn_std_6M因子在中证500和中证1000中分组收益表现良好</w:t>
      </w:r>
    </w:p>
    <w:p w14:paraId="4C8B66B3" w14:textId="77777777" w:rsidR="0082515D" w:rsidRPr="0082515D" w:rsidRDefault="0082515D" w:rsidP="0082515D">
      <w:pPr>
        <w:widowControl/>
        <w:jc w:val="left"/>
        <w:rPr>
          <w:rFonts w:ascii="宋体" w:eastAsia="宋体" w:hAnsi="宋体" w:cs="宋体"/>
          <w:kern w:val="0"/>
          <w:sz w:val="24"/>
          <w14:ligatures w14:val="none"/>
        </w:rPr>
      </w:pPr>
    </w:p>
    <w:p w14:paraId="1AEFAF7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沪深300范围内，最短路径非流动性因子多头收益显著跑赢基准，但近两年相对净值出现回撤。</w:t>
      </w:r>
      <w:r w:rsidRPr="0082515D">
        <w:rPr>
          <w:rFonts w:ascii="宋体" w:eastAsia="宋体" w:hAnsi="宋体" w:cs="宋体"/>
          <w:kern w:val="0"/>
          <w:sz w:val="24"/>
          <w14:ligatures w14:val="none"/>
        </w:rPr>
        <w:t>如下图所示，我们展示了最短路径非流动性因子和换手率因子在沪深300内的分组收益表现，不难看出，最短路径非流动性因子分组单</w:t>
      </w:r>
      <w:r w:rsidRPr="0082515D">
        <w:rPr>
          <w:rFonts w:ascii="宋体" w:eastAsia="宋体" w:hAnsi="宋体" w:cs="宋体"/>
          <w:kern w:val="0"/>
          <w:sz w:val="24"/>
          <w14:ligatures w14:val="none"/>
        </w:rPr>
        <w:lastRenderedPageBreak/>
        <w:t>调性相对较好，多头组合显著跑赢基准，但近两年相对净值出现回撤；而换手率因子的有效性更多由空头端贡献，即：高换手率组合长期将跑输基准。</w:t>
      </w:r>
    </w:p>
    <w:p w14:paraId="782BBBFA" w14:textId="77777777" w:rsidR="0082515D" w:rsidRPr="0082515D" w:rsidRDefault="0082515D" w:rsidP="0082515D">
      <w:pPr>
        <w:widowControl/>
        <w:jc w:val="left"/>
        <w:rPr>
          <w:rFonts w:ascii="宋体" w:eastAsia="宋体" w:hAnsi="宋体" w:cs="宋体"/>
          <w:kern w:val="0"/>
          <w:sz w:val="24"/>
          <w14:ligatures w14:val="none"/>
        </w:rPr>
      </w:pPr>
    </w:p>
    <w:p w14:paraId="40D74BC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图表34：沪深300范围内表现较好的流动性因子多头组合相对净值</w:t>
      </w:r>
    </w:p>
    <w:p w14:paraId="1E83B331" w14:textId="0AE30E7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"https://mmbiz.qpic.cn/mmbiz_png/41FzlIA3BAWJblpfs7z25pCeTTJegtmByJp0O9mzCmLDTFHnOya527NIiakayWBvMD3jTTBzd6FCXytOReHsAnQ/640?wx_fmt=png&amp;tp=wxpic&amp;wxfrom=5&amp;wx_lazy=1#imgIndex=33"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FF251D6" wp14:editId="7B58708F">
            <wp:extent cx="5274310" cy="3037205"/>
            <wp:effectExtent l="0" t="0" r="0" b="0"/>
            <wp:docPr id="1651216881" name="图片 7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图片"/>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0372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D7E2FB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注：1）统计时间为2010-01-01至2022-06-30；2）相对净值的比较基准为沪深300等权指数000984.CSI</w:t>
      </w:r>
    </w:p>
    <w:p w14:paraId="2CF9ACA4" w14:textId="77777777" w:rsidR="0082515D" w:rsidRPr="0082515D" w:rsidRDefault="0082515D" w:rsidP="0082515D">
      <w:pPr>
        <w:widowControl/>
        <w:jc w:val="left"/>
        <w:rPr>
          <w:rFonts w:ascii="宋体" w:eastAsia="宋体" w:hAnsi="宋体" w:cs="宋体"/>
          <w:kern w:val="0"/>
          <w:sz w:val="24"/>
          <w14:ligatures w14:val="none"/>
        </w:rPr>
      </w:pPr>
    </w:p>
    <w:p w14:paraId="0160E0A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图表35：沪深300范围内表现较好的流动性因子分组年化超额收益统计</w:t>
      </w:r>
    </w:p>
    <w:p w14:paraId="7C972EAC" w14:textId="531E1F9C"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"https://mmbiz.qpic.cn/mmbiz_png/41FzlIA3BAWJblpfs7z25pCeTTJegtmB910mT9iaz7XUSPy0xEsb9sd27Zole543oUibWQbB6GUlJ9hoibWQn70bQ/640?wx_fmt=png&amp;tp=wxpic&amp;wxfrom=5&amp;wx_lazy=1#imgIndex=34"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E3A628C" wp14:editId="0D4CB73C">
            <wp:extent cx="5273675" cy="3075940"/>
            <wp:effectExtent l="0" t="0" r="0" b="0"/>
            <wp:docPr id="312939561" name="图片 7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图片"/>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3675" cy="307594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EE66BA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注：1）统计时间为2010-01-01至2022-06-30；2）超额收益的比较基准为沪</w:t>
      </w:r>
      <w:r w:rsidRPr="0082515D">
        <w:rPr>
          <w:rFonts w:ascii="宋体" w:eastAsia="宋体" w:hAnsi="宋体" w:cs="宋体"/>
          <w:kern w:val="0"/>
          <w:sz w:val="24"/>
          <w14:ligatures w14:val="none"/>
        </w:rPr>
        <w:lastRenderedPageBreak/>
        <w:t>深300等权指数000984.CSI；3）Group1为因子值最小一组，Group10为因子值最大一组</w:t>
      </w:r>
    </w:p>
    <w:p w14:paraId="78BDC681" w14:textId="77777777" w:rsidR="0082515D" w:rsidRPr="0082515D" w:rsidRDefault="0082515D" w:rsidP="0082515D">
      <w:pPr>
        <w:widowControl/>
        <w:jc w:val="left"/>
        <w:rPr>
          <w:rFonts w:ascii="宋体" w:eastAsia="宋体" w:hAnsi="宋体" w:cs="宋体"/>
          <w:kern w:val="0"/>
          <w:sz w:val="24"/>
          <w14:ligatures w14:val="none"/>
        </w:rPr>
      </w:pPr>
    </w:p>
    <w:p w14:paraId="237529F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中证500范围内，liq_turn_std_6M因子分组单调性较好。</w:t>
      </w:r>
      <w:r w:rsidRPr="0082515D">
        <w:rPr>
          <w:rFonts w:ascii="宋体" w:eastAsia="宋体" w:hAnsi="宋体" w:cs="宋体"/>
          <w:kern w:val="0"/>
          <w:sz w:val="23"/>
          <w:szCs w:val="23"/>
          <w14:ligatures w14:val="none"/>
        </w:rPr>
        <w:t>如下图所示，liq_turn_avg_6M因子单调性相对较好，多头组合显著跑赢基准，空头组合显著跑输基准；而最短路径因子和成交波动比因子的有效性则更多来源于空头组合的贡献。</w:t>
      </w:r>
    </w:p>
    <w:p w14:paraId="60D7C02C" w14:textId="77777777" w:rsidR="0082515D" w:rsidRPr="0082515D" w:rsidRDefault="0082515D" w:rsidP="0082515D">
      <w:pPr>
        <w:widowControl/>
        <w:jc w:val="left"/>
        <w:rPr>
          <w:rFonts w:ascii="宋体" w:eastAsia="宋体" w:hAnsi="宋体" w:cs="宋体"/>
          <w:kern w:val="0"/>
          <w:sz w:val="24"/>
          <w14:ligatures w14:val="none"/>
        </w:rPr>
      </w:pPr>
    </w:p>
    <w:p w14:paraId="4FF430D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图表36：中证500范围内表现较好的流动性因子多头组合相对净值</w:t>
      </w:r>
    </w:p>
    <w:p w14:paraId="6602DF01" w14:textId="7E3F249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"https://mmbiz.qpic.cn/mmbiz_png/41FzlIA3BAWJblpfs7z25pCeTTJegtmBUqPrbndiaTHlAYKYWoghgTlQV1p3xLNMUm1TuOfZtRxpbXClGwIf77g/640?wx_fmt=png&amp;tp=wxpic&amp;wxfrom=5&amp;wx_lazy=1#imgIndex=35"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0E36C99" wp14:editId="31AE13EC">
            <wp:extent cx="5274310" cy="3063240"/>
            <wp:effectExtent l="0" t="0" r="0" b="0"/>
            <wp:docPr id="728827411" name="图片 6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图片"/>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06324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73211F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注：1）统计时间为2010-01-01至2022-06-30；2）相对净值的比较基准为中证500等权指数000982.SH</w:t>
      </w:r>
    </w:p>
    <w:p w14:paraId="76E7FA15" w14:textId="77777777" w:rsidR="0082515D" w:rsidRPr="0082515D" w:rsidRDefault="0082515D" w:rsidP="0082515D">
      <w:pPr>
        <w:widowControl/>
        <w:jc w:val="left"/>
        <w:rPr>
          <w:rFonts w:ascii="宋体" w:eastAsia="宋体" w:hAnsi="宋体" w:cs="宋体"/>
          <w:kern w:val="0"/>
          <w:sz w:val="24"/>
          <w14:ligatures w14:val="none"/>
        </w:rPr>
      </w:pPr>
    </w:p>
    <w:p w14:paraId="3C71F12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图表37：中证500范围内表现较好的流动性因子分组年化超额收益统计</w:t>
      </w:r>
    </w:p>
    <w:p w14:paraId="7A3DA38F" w14:textId="1347006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"https://mmbiz.qpic.cn/mmbiz_png/41FzlIA3BAWJblpfs7z25pCeTTJegtmBMcy0h3TDDOnLfibbVoWbAyuey16PQuqUCLeWC4mMVpotuKFEvYZCHdw/640?wx_fmt=png&amp;tp=wxpic&amp;wxfrom=5&amp;wx_lazy=1#imgIndex=36"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FCA1E53" wp14:editId="35EE5531">
            <wp:extent cx="5274310" cy="3089275"/>
            <wp:effectExtent l="0" t="0" r="0" b="0"/>
            <wp:docPr id="1846766115" name="图片 6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图片"/>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0892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9B893D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注：1）统计时间为2010-01-01至2022-06-30；2）超额收益的比较基准为中证500等权指数000982.SH；3）Group1为因子值最小一组，Group10为因子值最大一组</w:t>
      </w:r>
    </w:p>
    <w:p w14:paraId="290C98B7" w14:textId="77777777" w:rsidR="0082515D" w:rsidRPr="0082515D" w:rsidRDefault="0082515D" w:rsidP="0082515D">
      <w:pPr>
        <w:widowControl/>
        <w:jc w:val="left"/>
        <w:rPr>
          <w:rFonts w:ascii="宋体" w:eastAsia="宋体" w:hAnsi="宋体" w:cs="宋体"/>
          <w:kern w:val="0"/>
          <w:sz w:val="24"/>
          <w14:ligatures w14:val="none"/>
        </w:rPr>
      </w:pPr>
    </w:p>
    <w:p w14:paraId="634B76C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中证1000范围内，liq_turn_std_6M分组单调性较好，多头组合显著跑赢基准，超额收益相对稳定。</w:t>
      </w:r>
      <w:r w:rsidRPr="0082515D">
        <w:rPr>
          <w:rFonts w:ascii="宋体" w:eastAsia="宋体" w:hAnsi="宋体" w:cs="宋体"/>
          <w:kern w:val="0"/>
          <w:sz w:val="23"/>
          <w:szCs w:val="23"/>
          <w14:ligatures w14:val="none"/>
        </w:rPr>
        <w:t>价格弹性类因子在中证1000范围内的有效性更多来源于空头的贡献，多头组合区分度相对较低。</w:t>
      </w:r>
    </w:p>
    <w:p w14:paraId="61178E85" w14:textId="77777777" w:rsidR="0082515D" w:rsidRPr="0082515D" w:rsidRDefault="0082515D" w:rsidP="0082515D">
      <w:pPr>
        <w:widowControl/>
        <w:jc w:val="left"/>
        <w:rPr>
          <w:rFonts w:ascii="宋体" w:eastAsia="宋体" w:hAnsi="宋体" w:cs="宋体"/>
          <w:kern w:val="0"/>
          <w:sz w:val="24"/>
          <w14:ligatures w14:val="none"/>
        </w:rPr>
      </w:pPr>
    </w:p>
    <w:p w14:paraId="5FC37E4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图表38：中证1000范围内表现较好的流动性因子多头组合相对净值</w:t>
      </w:r>
    </w:p>
    <w:p w14:paraId="69D11EB8" w14:textId="5CF79B08"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"https://mmbiz.qpic.cn/mmbiz_png/41FzlIA3BAWJblpfs7z25pCeTTJegtmBUwZnAlt4ty731xsic9ekDBSicicgouyJFQhPic8yCZEaiauDEeXmoxWQ7pQ/640?wx_fmt=png&amp;tp=wxpic&amp;wxfrom=5&amp;wx_lazy=1#imgIndex=37"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7FA097A" wp14:editId="307D9631">
            <wp:extent cx="5274310" cy="3021330"/>
            <wp:effectExtent l="0" t="0" r="0" b="1270"/>
            <wp:docPr id="2144381950" name="图片 6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图片"/>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02133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694756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w:t>
      </w:r>
      <w:r w:rsidRPr="0082515D">
        <w:rPr>
          <w:rFonts w:ascii="宋体" w:eastAsia="宋体" w:hAnsi="宋体" w:cs="宋体"/>
          <w:kern w:val="0"/>
          <w:sz w:val="24"/>
          <w14:ligatures w14:val="none"/>
        </w:rPr>
        <w:br/>
        <w:t>注：1）统计时间为2014-11-01至2022-06-30；2）相对净值的比较基准为中证1000等权指数000852.SH</w:t>
      </w:r>
    </w:p>
    <w:p w14:paraId="5867B95E" w14:textId="77777777" w:rsidR="0082515D" w:rsidRPr="0082515D" w:rsidRDefault="0082515D" w:rsidP="0082515D">
      <w:pPr>
        <w:widowControl/>
        <w:jc w:val="left"/>
        <w:rPr>
          <w:rFonts w:ascii="宋体" w:eastAsia="宋体" w:hAnsi="宋体" w:cs="宋体"/>
          <w:kern w:val="0"/>
          <w:sz w:val="24"/>
          <w14:ligatures w14:val="none"/>
        </w:rPr>
      </w:pPr>
    </w:p>
    <w:p w14:paraId="1E3F2EA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图表39：中证1000范围内表现较好的流动性因子分组年化超额收益统计</w:t>
      </w:r>
    </w:p>
    <w:p w14:paraId="78ED9EE5" w14:textId="000B65C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"https://mmbiz.qpic.cn/mmbiz_png/41FzlIA3BAWJblpfs7z25pCeTTJegtmBeVGGykoRDocLYC3fLvqQibaH0JgYCs0YibiaDhH6VfwTgAuL3vzVcQyiaw/640?wx_fmt=png&amp;tp=wxpic&amp;wxfrom=5&amp;wx_lazy=1#imgIndex=38"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E4A776C" wp14:editId="3B928BD6">
            <wp:extent cx="5274310" cy="3094990"/>
            <wp:effectExtent l="0" t="0" r="0" b="3810"/>
            <wp:docPr id="46529695" name="图片 6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图片"/>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0949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EF5BC6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r w:rsidRPr="0082515D">
        <w:rPr>
          <w:rFonts w:ascii="宋体" w:eastAsia="宋体" w:hAnsi="宋体" w:cs="宋体"/>
          <w:kern w:val="0"/>
          <w:sz w:val="24"/>
          <w14:ligatures w14:val="none"/>
        </w:rPr>
        <w:br/>
        <w:t>注：1）统计时间为2014-11-01至2022-06-30；2）超额收益的比较基准为中证1000指数000852.SH；3）Group1为因子值最小一组，Group10为因子值最大一组</w:t>
      </w:r>
    </w:p>
    <w:p w14:paraId="444A06B3" w14:textId="77777777" w:rsidR="0082515D" w:rsidRPr="0082515D" w:rsidRDefault="0082515D" w:rsidP="0082515D">
      <w:pPr>
        <w:widowControl/>
        <w:jc w:val="left"/>
        <w:rPr>
          <w:rFonts w:ascii="宋体" w:eastAsia="宋体" w:hAnsi="宋体" w:cs="宋体"/>
          <w:kern w:val="0"/>
          <w:sz w:val="24"/>
          <w14:ligatures w14:val="none"/>
        </w:rPr>
      </w:pPr>
    </w:p>
    <w:p w14:paraId="66EFD2D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量价相关性</w:t>
      </w:r>
    </w:p>
    <w:p w14:paraId="1978B629" w14:textId="77777777" w:rsidR="0082515D" w:rsidRPr="0082515D" w:rsidRDefault="0082515D" w:rsidP="0082515D">
      <w:pPr>
        <w:widowControl/>
        <w:jc w:val="left"/>
        <w:rPr>
          <w:rFonts w:ascii="宋体" w:eastAsia="宋体" w:hAnsi="宋体" w:cs="宋体"/>
          <w:kern w:val="0"/>
          <w:sz w:val="24"/>
          <w14:ligatures w14:val="none"/>
        </w:rPr>
      </w:pPr>
    </w:p>
    <w:p w14:paraId="46F108E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量能领先因子具有正向预测能力</w:t>
      </w:r>
    </w:p>
    <w:p w14:paraId="27EE6C3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量价相关性因子刻画股票换手率与价格（或收益率）背离、同向程度。</w:t>
      </w:r>
      <w:r w:rsidRPr="0082515D">
        <w:rPr>
          <w:rFonts w:ascii="宋体" w:eastAsia="宋体" w:hAnsi="宋体" w:cs="宋体"/>
          <w:kern w:val="0"/>
          <w:sz w:val="24"/>
          <w14:ligatures w14:val="none"/>
        </w:rPr>
        <w:t>该类因子的有效性可从信息扩散理论的角度理解：信息扩散初期的特征应是量能领先于价格，此时量的变化主要由小部分理性交易者主导；而到信息扩散中期时，量价基本同步；到信息扩散末期时，更多成交可能来源于“羊群效应”的非理性行为。本节，我们计算了换手率与价格（及其一阶变化）的相关性因子，遍历了量能领先、价格领先以及量价同步三种情形，并对这些因子进行了有效性检验。</w:t>
      </w:r>
    </w:p>
    <w:p w14:paraId="00BB4B76" w14:textId="77777777" w:rsidR="0082515D" w:rsidRPr="0082515D" w:rsidRDefault="0082515D" w:rsidP="0082515D">
      <w:pPr>
        <w:widowControl/>
        <w:jc w:val="left"/>
        <w:rPr>
          <w:rFonts w:ascii="宋体" w:eastAsia="宋体" w:hAnsi="宋体" w:cs="宋体"/>
          <w:kern w:val="0"/>
          <w:sz w:val="24"/>
          <w14:ligatures w14:val="none"/>
        </w:rPr>
      </w:pPr>
    </w:p>
    <w:p w14:paraId="2C4AA58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图表40：量价相关性因子构建方式</w:t>
      </w:r>
    </w:p>
    <w:p w14:paraId="46BD7766" w14:textId="0B680F6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"https://mmbiz.qpic.cn/mmbiz_png/41FzlIA3BAWJblpfs7z25pCeTTJegtmBz58DAkzKg8DqwP8rMsWNlyT73uXazyOMaKpGBsa5uA6sxSAZYKkudw/640?wx_fmt=png&amp;tp=wxpic&amp;wxfrom=5&amp;wx_lazy=1#imgIndex=39"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9D42580" wp14:editId="5A47B142">
            <wp:extent cx="5274310" cy="1112520"/>
            <wp:effectExtent l="0" t="0" r="0" b="5080"/>
            <wp:docPr id="1369569492" name="图片 6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图片"/>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11125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D9A685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资料来源：中金公司研究部 </w:t>
      </w:r>
    </w:p>
    <w:p w14:paraId="57A1E9DC" w14:textId="77777777" w:rsidR="0082515D" w:rsidRPr="0082515D" w:rsidRDefault="0082515D" w:rsidP="0082515D">
      <w:pPr>
        <w:widowControl/>
        <w:jc w:val="left"/>
        <w:rPr>
          <w:rFonts w:ascii="宋体" w:eastAsia="宋体" w:hAnsi="宋体" w:cs="宋体"/>
          <w:kern w:val="0"/>
          <w:sz w:val="24"/>
          <w14:ligatures w14:val="none"/>
        </w:rPr>
      </w:pPr>
    </w:p>
    <w:p w14:paraId="79957A5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基于相关性统计，大致将量价相关性分布因子分为以下三类：价格相关因子、量能领先因子和量价同步因子。</w:t>
      </w:r>
    </w:p>
    <w:p w14:paraId="7683E24D" w14:textId="77777777" w:rsidR="0082515D" w:rsidRPr="0082515D" w:rsidRDefault="0082515D" w:rsidP="0082515D">
      <w:pPr>
        <w:widowControl/>
        <w:jc w:val="left"/>
        <w:rPr>
          <w:rFonts w:ascii="宋体" w:eastAsia="宋体" w:hAnsi="宋体" w:cs="宋体"/>
          <w:kern w:val="0"/>
          <w:sz w:val="24"/>
          <w14:ligatures w14:val="none"/>
        </w:rPr>
      </w:pPr>
    </w:p>
    <w:p w14:paraId="3C8D9DB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价格相关因子</w:t>
      </w:r>
      <w:r w:rsidRPr="0082515D">
        <w:rPr>
          <w:rFonts w:ascii="宋体" w:eastAsia="宋体" w:hAnsi="宋体" w:cs="宋体"/>
          <w:kern w:val="0"/>
          <w:sz w:val="23"/>
          <w:szCs w:val="23"/>
          <w14:ligatures w14:val="none"/>
        </w:rPr>
        <w:t>指的是换手率与价格的相关性因子，包括价格领先、价格滞后、量价同步三种情形。从相关性统计结果来看，三种情形下的价格相关因子之间的相关系数均较高。从因子有效性考虑，量价同步情形下，换手率与价格的相关性因子（corr_price_turn_1M）表现较好。全市场范围内，corr_price_turn_1M因子的IC均值为-6.1%，IC_IR为-1.00。</w:t>
      </w:r>
    </w:p>
    <w:p w14:paraId="1FE8EF38" w14:textId="77777777" w:rsidR="0082515D" w:rsidRPr="0082515D" w:rsidRDefault="0082515D" w:rsidP="0082515D">
      <w:pPr>
        <w:widowControl/>
        <w:jc w:val="left"/>
        <w:rPr>
          <w:rFonts w:ascii="宋体" w:eastAsia="宋体" w:hAnsi="宋体" w:cs="宋体"/>
          <w:kern w:val="0"/>
          <w:sz w:val="24"/>
          <w14:ligatures w14:val="none"/>
        </w:rPr>
      </w:pPr>
    </w:p>
    <w:p w14:paraId="462DFA7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量能领先因子</w:t>
      </w:r>
      <w:r w:rsidRPr="0082515D">
        <w:rPr>
          <w:rFonts w:ascii="宋体" w:eastAsia="宋体" w:hAnsi="宋体" w:cs="宋体"/>
          <w:kern w:val="0"/>
          <w:sz w:val="23"/>
          <w:szCs w:val="23"/>
          <w14:ligatures w14:val="none"/>
        </w:rPr>
        <w:t>是收益率与换手率（及其变动）的相关性因子，包括corr_ret_turn_post_1M和corr_ret_turnd_post_1M，量能领先因子较高时，应处于信息扩散的初期，对股价未来收益表现具有正向的预测能力。corr_ret_turn_post_1M因子在全市场、沪深300、中证1000范围内表现均较好，全市场范围内，IC均值为2.3%，IC_IR达0.52。</w:t>
      </w:r>
    </w:p>
    <w:p w14:paraId="6CEF10EE" w14:textId="77777777" w:rsidR="0082515D" w:rsidRPr="0082515D" w:rsidRDefault="0082515D" w:rsidP="0082515D">
      <w:pPr>
        <w:widowControl/>
        <w:jc w:val="left"/>
        <w:rPr>
          <w:rFonts w:ascii="宋体" w:eastAsia="宋体" w:hAnsi="宋体" w:cs="宋体"/>
          <w:kern w:val="0"/>
          <w:sz w:val="24"/>
          <w14:ligatures w14:val="none"/>
        </w:rPr>
      </w:pPr>
    </w:p>
    <w:p w14:paraId="2A6968E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量价同步因子</w:t>
      </w:r>
      <w:r w:rsidRPr="0082515D">
        <w:rPr>
          <w:rFonts w:ascii="宋体" w:eastAsia="宋体" w:hAnsi="宋体" w:cs="宋体"/>
          <w:kern w:val="0"/>
          <w:sz w:val="23"/>
          <w:szCs w:val="23"/>
          <w14:ligatures w14:val="none"/>
        </w:rPr>
        <w:t>亦为收益率与换手率（及其变动）的相关性因子，包括量价同步和收益率领先两种情形（由于两种情形的因子相关性较高，故而合并为一类）。量价同步因子较高时，按信息扩散理论理解，应处于信息扩散的后期，此时对股票未来的收益表现具有负向的预测效果。其中，corr_ret_turnd_1M因子在不同选股范围内表现均较为突出，全市场内IC均值达-6.1%，IC_IR为-1.07。</w:t>
      </w:r>
    </w:p>
    <w:p w14:paraId="28EA5C15" w14:textId="77777777" w:rsidR="0082515D" w:rsidRPr="0082515D" w:rsidRDefault="0082515D" w:rsidP="0082515D">
      <w:pPr>
        <w:widowControl/>
        <w:jc w:val="left"/>
        <w:rPr>
          <w:rFonts w:ascii="宋体" w:eastAsia="宋体" w:hAnsi="宋体" w:cs="宋体"/>
          <w:kern w:val="0"/>
          <w:sz w:val="24"/>
          <w14:ligatures w14:val="none"/>
        </w:rPr>
      </w:pPr>
    </w:p>
    <w:p w14:paraId="41DB564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综上所述，corr_ret_turnd_1M（量价同步因子）和corr_price_turn_1M（价格相关因子）总体表现较好，在不同选股范围内均具有较强的选股能力；同时，corr_ret_turn_post_1M（量能领先因子）在沪深300、中证1000范围内亦有不俗的表现，值得关注。</w:t>
      </w:r>
    </w:p>
    <w:p w14:paraId="168930DE" w14:textId="77777777" w:rsidR="0082515D" w:rsidRPr="0082515D" w:rsidRDefault="0082515D" w:rsidP="0082515D">
      <w:pPr>
        <w:widowControl/>
        <w:jc w:val="left"/>
        <w:rPr>
          <w:rFonts w:ascii="宋体" w:eastAsia="宋体" w:hAnsi="宋体" w:cs="宋体"/>
          <w:kern w:val="0"/>
          <w:sz w:val="24"/>
          <w14:ligatures w14:val="none"/>
        </w:rPr>
      </w:pPr>
    </w:p>
    <w:p w14:paraId="2824770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图表41：量价相关性因子在全市场范围内的有效性检验结果</w:t>
      </w:r>
    </w:p>
    <w:p w14:paraId="19F76B90" w14:textId="13EEB46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"https://mmbiz.qpic.cn/mmbiz_png/41FzlIA3BAWJblpfs7z25pCeTTJegtmBNHInenC3247w5HwqnszCPA6ATgWlBuqJ1L67oWUIdXOt6PbgCWGmxA/640?wx_fmt=png&amp;tp=wxpic&amp;wxfrom=5&amp;wx_lazy=1#imgIndex=40"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AAF9356" wp14:editId="2AA4EB96">
            <wp:extent cx="5274310" cy="1114425"/>
            <wp:effectExtent l="0" t="0" r="0" b="3175"/>
            <wp:docPr id="814143116" name="图片 6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图片"/>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111442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3E63E3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（注：统计时间为2010-01-01至2022-06-30；超额收益的比较基准为全市场等权指数）</w:t>
      </w:r>
    </w:p>
    <w:p w14:paraId="72EE9C93" w14:textId="77777777" w:rsidR="0082515D" w:rsidRPr="0082515D" w:rsidRDefault="0082515D" w:rsidP="0082515D">
      <w:pPr>
        <w:widowControl/>
        <w:jc w:val="left"/>
        <w:rPr>
          <w:rFonts w:ascii="宋体" w:eastAsia="宋体" w:hAnsi="宋体" w:cs="宋体"/>
          <w:kern w:val="0"/>
          <w:sz w:val="24"/>
          <w14:ligatures w14:val="none"/>
        </w:rPr>
      </w:pPr>
    </w:p>
    <w:p w14:paraId="46F99B4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图表42：全市场范围内量价相关性因子之间的相关性统计</w:t>
      </w:r>
    </w:p>
    <w:p w14:paraId="70C5DD02" w14:textId="201F22D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"https://mmbiz.qpic.cn/mmbiz_png/41FzlIA3BAWJblpfs7z25pCeTTJegtmBpSmNibVfjZXXynsnjx99icTffHPPMned46E2iauqNq4FpZ6FKTVd61SBw/640?wx_fmt=png&amp;tp=wxpic&amp;wxfrom=5&amp;wx_lazy=1#imgIndex=41"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CB44367" wp14:editId="620620A4">
            <wp:extent cx="5274310" cy="1346835"/>
            <wp:effectExtent l="0" t="0" r="0" b="0"/>
            <wp:docPr id="1375465524" name="图片 6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图片"/>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13468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1BC921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w:t>
      </w:r>
    </w:p>
    <w:p w14:paraId="6A3E03BA" w14:textId="77777777" w:rsidR="0082515D" w:rsidRPr="0082515D" w:rsidRDefault="0082515D" w:rsidP="0082515D">
      <w:pPr>
        <w:widowControl/>
        <w:jc w:val="left"/>
        <w:rPr>
          <w:rFonts w:ascii="宋体" w:eastAsia="宋体" w:hAnsi="宋体" w:cs="宋体"/>
          <w:kern w:val="0"/>
          <w:sz w:val="24"/>
          <w14:ligatures w14:val="none"/>
        </w:rPr>
      </w:pPr>
    </w:p>
    <w:p w14:paraId="6821E26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图表43：量价相关性因子在沪深300范围内的有效性检验结果</w:t>
      </w:r>
    </w:p>
    <w:p w14:paraId="76F6FEC6" w14:textId="5DB7FD5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"https://mmbiz.qpic.cn/mmbiz_png/41FzlIA3BAWJblpfs7z25pCeTTJegtmBEicEia6fAEwXqQCiaannNwHPiatkBwRhJlxB93IAs40GV4jSyBlkKTvELg/640?wx_fmt=png&amp;tp=wxpic&amp;wxfrom=5&amp;wx_lazy=1#imgIndex=42"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A8A953E" wp14:editId="4CF7E925">
            <wp:extent cx="5274310" cy="1119505"/>
            <wp:effectExtent l="0" t="0" r="0" b="0"/>
            <wp:docPr id="1455963380" name="图片 6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图片"/>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C98FA1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（注：统计时间为2010-01-01至2022-06-30；超额收益的比较基准为沪深300等权指数000984.CSI）</w:t>
      </w:r>
    </w:p>
    <w:p w14:paraId="13BE8665" w14:textId="77777777" w:rsidR="0082515D" w:rsidRPr="0082515D" w:rsidRDefault="0082515D" w:rsidP="0082515D">
      <w:pPr>
        <w:widowControl/>
        <w:jc w:val="left"/>
        <w:rPr>
          <w:rFonts w:ascii="宋体" w:eastAsia="宋体" w:hAnsi="宋体" w:cs="宋体"/>
          <w:kern w:val="0"/>
          <w:sz w:val="24"/>
          <w14:ligatures w14:val="none"/>
        </w:rPr>
      </w:pPr>
    </w:p>
    <w:p w14:paraId="0F367BE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图表44：量价相关性因子在中证500范围内的有效性检验结果</w:t>
      </w:r>
    </w:p>
    <w:p w14:paraId="383D0585" w14:textId="268AB5B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"https://mmbiz.qpic.cn/mmbiz_png/41FzlIA3BAWJblpfs7z25pCeTTJegtmBjso5mQewPu4WichzKXQGDxMC4LTictxBBrNlnqPZTOuGGM79ibqKsZYpw/640?wx_fmt=png&amp;tp=wxpic&amp;wxfrom=5&amp;wx_lazy=1#imgIndex=43"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18C48A9" wp14:editId="1E5B103D">
            <wp:extent cx="5274310" cy="1132205"/>
            <wp:effectExtent l="0" t="0" r="0" b="0"/>
            <wp:docPr id="348877845" name="图片 6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图片"/>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11322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80991A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（注：统计时间为2010-01-01至2022-06-30；超额收益的比较基准为中证500等权指数000982.SH）</w:t>
      </w:r>
    </w:p>
    <w:p w14:paraId="4225F223" w14:textId="77777777" w:rsidR="0082515D" w:rsidRPr="0082515D" w:rsidRDefault="0082515D" w:rsidP="0082515D">
      <w:pPr>
        <w:widowControl/>
        <w:jc w:val="left"/>
        <w:rPr>
          <w:rFonts w:ascii="宋体" w:eastAsia="宋体" w:hAnsi="宋体" w:cs="宋体"/>
          <w:kern w:val="0"/>
          <w:sz w:val="24"/>
          <w14:ligatures w14:val="none"/>
        </w:rPr>
      </w:pPr>
    </w:p>
    <w:p w14:paraId="44C6F83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图表45：量价相关性因子在中证1000范围内的有效性检验结果</w:t>
      </w:r>
    </w:p>
    <w:p w14:paraId="202D251B" w14:textId="275F4ED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"https://mmbiz.qpic.cn/mmbiz_png/41FzlIA3BAWJblpfs7z25pCeTTJegtmBRhEQbVjcFesbtxiaPibianHibWvpUtY34pRyzGF505kZtjqFVr4lwkMibeQ/640?wx_fmt=png&amp;tp=wxpic&amp;wxfrom=5&amp;wx_lazy=1#imgIndex=44"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DCC4CC4" wp14:editId="4D85F6F1">
            <wp:extent cx="5274310" cy="1099820"/>
            <wp:effectExtent l="0" t="0" r="0" b="5080"/>
            <wp:docPr id="943850221" name="图片 6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图片"/>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10998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EF54F7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23F5FC65" w14:textId="77777777" w:rsidR="0082515D" w:rsidRPr="0082515D" w:rsidRDefault="0082515D" w:rsidP="0082515D">
      <w:pPr>
        <w:widowControl/>
        <w:jc w:val="left"/>
        <w:rPr>
          <w:rFonts w:ascii="宋体" w:eastAsia="宋体" w:hAnsi="宋体" w:cs="宋体"/>
          <w:kern w:val="0"/>
          <w:sz w:val="24"/>
          <w14:ligatures w14:val="none"/>
        </w:rPr>
      </w:pPr>
    </w:p>
    <w:p w14:paraId="2EE06DB5" w14:textId="77777777" w:rsidR="0082515D" w:rsidRPr="0082515D" w:rsidRDefault="0082515D" w:rsidP="0082515D">
      <w:pPr>
        <w:widowControl/>
        <w:jc w:val="left"/>
        <w:rPr>
          <w:rFonts w:ascii="宋体" w:eastAsia="宋体" w:hAnsi="宋体" w:cs="宋体"/>
          <w:kern w:val="0"/>
          <w:sz w:val="24"/>
          <w14:ligatures w14:val="none"/>
        </w:rPr>
      </w:pPr>
    </w:p>
    <w:p w14:paraId="72DD896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corr_price_turn_1M因子在沪深300中多头收益显著且单调性良好</w:t>
      </w:r>
    </w:p>
    <w:p w14:paraId="37EC12C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沪深300范围内，corr_price_turn_1M和corr_ret_turnd_1M因子分组表现较好。</w:t>
      </w:r>
      <w:r w:rsidRPr="0082515D">
        <w:rPr>
          <w:rFonts w:ascii="宋体" w:eastAsia="宋体" w:hAnsi="宋体" w:cs="宋体"/>
          <w:kern w:val="0"/>
          <w:sz w:val="24"/>
          <w14:ligatures w14:val="none"/>
        </w:rPr>
        <w:t>如下图所示，二者多头组合显著跑赢基准，空头组合则显著跑输基准，</w:t>
      </w:r>
      <w:r w:rsidRPr="0082515D">
        <w:rPr>
          <w:rFonts w:ascii="宋体" w:eastAsia="宋体" w:hAnsi="宋体" w:cs="宋体"/>
          <w:kern w:val="0"/>
          <w:sz w:val="24"/>
          <w14:ligatures w14:val="none"/>
        </w:rPr>
        <w:lastRenderedPageBreak/>
        <w:t>单调性良好；corr_price_turn_1M因子的多头收益较显著；corr_ret_turn_post_1M因子的多头亦显著跑赢基准，但这三个因子的多头相对净值均在2021上半年间出现了阶段性回撤，须警惕该类因子阶段性失效的风险。</w:t>
      </w:r>
    </w:p>
    <w:p w14:paraId="7699FDBD" w14:textId="77777777" w:rsidR="0082515D" w:rsidRPr="0082515D" w:rsidRDefault="0082515D" w:rsidP="0082515D">
      <w:pPr>
        <w:widowControl/>
        <w:jc w:val="left"/>
        <w:rPr>
          <w:rFonts w:ascii="宋体" w:eastAsia="宋体" w:hAnsi="宋体" w:cs="宋体"/>
          <w:kern w:val="0"/>
          <w:sz w:val="24"/>
          <w14:ligatures w14:val="none"/>
        </w:rPr>
      </w:pPr>
    </w:p>
    <w:p w14:paraId="0CA82F8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图表46：沪深300范围内表现较好的量价相关性因子多头组合相对净值</w:t>
      </w:r>
    </w:p>
    <w:p w14:paraId="2B33144C" w14:textId="1EBA538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"https://mmbiz.qpic.cn/mmbiz_png/41FzlIA3BAWJblpfs7z25pCeTTJegtmBCia3v8LxHT4opib2dEcOTYXPjgXOxHBNThnqwM5FVZTppy7jtET1dFrA/640?wx_fmt=png&amp;tp=wxpic&amp;wxfrom=5&amp;wx_lazy=1#imgIndex=45"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1A9DF15" wp14:editId="74132D36">
            <wp:extent cx="5274310" cy="2582545"/>
            <wp:effectExtent l="0" t="0" r="0" b="0"/>
            <wp:docPr id="851256224" name="图片 5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图片"/>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58254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19E766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17325D7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注：1）统计时间为2010-01-01至2022-06-30；2）相对净值的比较基准为沪深300等权指数000984.CSI</w:t>
      </w:r>
    </w:p>
    <w:p w14:paraId="0238493E" w14:textId="77777777" w:rsidR="0082515D" w:rsidRPr="0082515D" w:rsidRDefault="0082515D" w:rsidP="0082515D">
      <w:pPr>
        <w:widowControl/>
        <w:jc w:val="left"/>
        <w:rPr>
          <w:rFonts w:ascii="宋体" w:eastAsia="宋体" w:hAnsi="宋体" w:cs="宋体"/>
          <w:kern w:val="0"/>
          <w:sz w:val="24"/>
          <w14:ligatures w14:val="none"/>
        </w:rPr>
      </w:pPr>
    </w:p>
    <w:p w14:paraId="445E8D0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图表47：沪深300范围内表现较好的量价相关性因子分组年化超额收益统计</w:t>
      </w:r>
    </w:p>
    <w:p w14:paraId="7A559757" w14:textId="3C14059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"https://mmbiz.qpic.cn/mmbiz_png/41FzlIA3BAWJblpfs7z25pCeTTJegtmBE6nfm2uRhOKeX5J0YtAaL9N4l03aDiatJPVnfculFpwhj2CfYoccCaA/640?wx_fmt=png&amp;tp=wxpic&amp;wxfrom=5&amp;wx_lazy=1#imgIndex=46"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CE00756" wp14:editId="3610C2F5">
            <wp:extent cx="5255260" cy="2632075"/>
            <wp:effectExtent l="0" t="0" r="2540" b="0"/>
            <wp:docPr id="1881722648" name="图片 5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图片"/>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55260" cy="26320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09BEC3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38C23E1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注：1）统计时间为2010-01-01至2022-06-30；2）超额收益的比较基准为沪深300等权指数000984.CSI；3）Group1为因子值最小一组，Group10为因子值最大一组</w:t>
      </w:r>
    </w:p>
    <w:p w14:paraId="0ED3F995" w14:textId="77777777" w:rsidR="0082515D" w:rsidRPr="0082515D" w:rsidRDefault="0082515D" w:rsidP="0082515D">
      <w:pPr>
        <w:widowControl/>
        <w:jc w:val="left"/>
        <w:rPr>
          <w:rFonts w:ascii="宋体" w:eastAsia="宋体" w:hAnsi="宋体" w:cs="宋体"/>
          <w:kern w:val="0"/>
          <w:sz w:val="24"/>
          <w14:ligatures w14:val="none"/>
        </w:rPr>
      </w:pPr>
    </w:p>
    <w:p w14:paraId="751A6FB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中证500范围内，corr_price_turn_1M、corr_ret_turn_prior_1M和corr_ret_turnd_1M因子近年多头表现欠佳。</w:t>
      </w:r>
      <w:r w:rsidRPr="0082515D">
        <w:rPr>
          <w:rFonts w:ascii="宋体" w:eastAsia="宋体" w:hAnsi="宋体" w:cs="宋体"/>
          <w:kern w:val="0"/>
          <w:sz w:val="24"/>
          <w14:ligatures w14:val="none"/>
        </w:rPr>
        <w:t>3个因子的空头组合显著跑输基准，但多头组合表现欠佳，单调性较差，整体呈现右偏的倒U型。corr_price_turn_1M因子多头相对净值自2014年8月起有明显回撤。</w:t>
      </w:r>
    </w:p>
    <w:p w14:paraId="123CAE3A" w14:textId="77777777" w:rsidR="0082515D" w:rsidRPr="0082515D" w:rsidRDefault="0082515D" w:rsidP="0082515D">
      <w:pPr>
        <w:widowControl/>
        <w:jc w:val="left"/>
        <w:rPr>
          <w:rFonts w:ascii="宋体" w:eastAsia="宋体" w:hAnsi="宋体" w:cs="宋体"/>
          <w:kern w:val="0"/>
          <w:sz w:val="24"/>
          <w14:ligatures w14:val="none"/>
        </w:rPr>
      </w:pPr>
    </w:p>
    <w:p w14:paraId="3CF4AC6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图表48：中证500范围内表现较好的量价相关性因子多头组合相对净值</w:t>
      </w:r>
    </w:p>
    <w:p w14:paraId="1185DFC1" w14:textId="6ACDE2F8"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"https://mmbiz.qpic.cn/mmbiz_png/41FzlIA3BAWJblpfs7z25pCeTTJegtmBvb8fs6lsDun6RDyGBfTMybhsvNUaUfmsdcX1fjnsBjGvFLqGHgWuaQ/640?wx_fmt=png&amp;tp=wxpic&amp;wxfrom=5&amp;wx_lazy=1#imgIndex=47"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9865EDC" wp14:editId="7CEB52A1">
            <wp:extent cx="5274310" cy="2555875"/>
            <wp:effectExtent l="0" t="0" r="0" b="0"/>
            <wp:docPr id="1430491264" name="图片 5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图片"/>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25558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7E5B2C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208309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注：1）统计时间为2010-01-01至2022-06-30；2）相对净值的比较基准为中证500等权指数000982.SH</w:t>
      </w:r>
    </w:p>
    <w:p w14:paraId="2F3D08D1" w14:textId="77777777" w:rsidR="0082515D" w:rsidRPr="0082515D" w:rsidRDefault="0082515D" w:rsidP="0082515D">
      <w:pPr>
        <w:widowControl/>
        <w:jc w:val="left"/>
        <w:rPr>
          <w:rFonts w:ascii="宋体" w:eastAsia="宋体" w:hAnsi="宋体" w:cs="宋体"/>
          <w:kern w:val="0"/>
          <w:sz w:val="24"/>
          <w14:ligatures w14:val="none"/>
        </w:rPr>
      </w:pPr>
    </w:p>
    <w:p w14:paraId="53880C5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图表49：中证500范围内表现较好的量价相关性因子分组年化超额收益统计</w:t>
      </w:r>
    </w:p>
    <w:p w14:paraId="254E84AE" w14:textId="3D1CE7C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"https://mmbiz.qpic.cn/mmbiz_png/41FzlIA3BAWJblpfs7z25pCeTTJegtmBibUBWIg7Age8xMia3vd5ozyO4ia9SUV72ib1MRicsoMib8uLO0lcibODYDT6Q/640?wx_fmt=png&amp;tp=wxpic&amp;wxfrom=5&amp;wx_lazy=1#imgIndex=48"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2F1F7FC" wp14:editId="03610C2E">
            <wp:extent cx="5274310" cy="2600325"/>
            <wp:effectExtent l="0" t="0" r="0" b="3175"/>
            <wp:docPr id="948154229" name="图片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图片"/>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260032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044D29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7B4FBA5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注：1）统计时间为2010-01-01至2022-06-30；2）超额收益的比较基准为中证500等权指数000982.SH；3）Group1为因子值最小一组，Group10为因子值最大一组</w:t>
      </w:r>
    </w:p>
    <w:p w14:paraId="3CAD042F" w14:textId="77777777" w:rsidR="0082515D" w:rsidRPr="0082515D" w:rsidRDefault="0082515D" w:rsidP="0082515D">
      <w:pPr>
        <w:widowControl/>
        <w:jc w:val="left"/>
        <w:rPr>
          <w:rFonts w:ascii="宋体" w:eastAsia="宋体" w:hAnsi="宋体" w:cs="宋体"/>
          <w:kern w:val="0"/>
          <w:sz w:val="24"/>
          <w14:ligatures w14:val="none"/>
        </w:rPr>
      </w:pPr>
    </w:p>
    <w:p w14:paraId="548651B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中证1000范围内，corr_price_turn_1M分组收益单调性相对较好。</w:t>
      </w:r>
      <w:r w:rsidRPr="0082515D">
        <w:rPr>
          <w:rFonts w:ascii="宋体" w:eastAsia="宋体" w:hAnsi="宋体" w:cs="宋体"/>
          <w:kern w:val="0"/>
          <w:sz w:val="24"/>
          <w14:ligatures w14:val="none"/>
        </w:rPr>
        <w:t>corr_price_turn_1M、corr_ret_turn_prior_1M和corr_ret_turnd_1M因子空头组合均显著跑输基准，多头组合亦可跑赢基准，但corr_ret_turn_prior_1M和corr_ret_turnd_1M因子分组单调性相对较差；而corr_ret_turn_post_1M因子则是多头组合相对较好，空头组合表现一般。</w:t>
      </w:r>
    </w:p>
    <w:p w14:paraId="3FF9E718" w14:textId="77777777" w:rsidR="0082515D" w:rsidRPr="0082515D" w:rsidRDefault="0082515D" w:rsidP="0082515D">
      <w:pPr>
        <w:widowControl/>
        <w:jc w:val="left"/>
        <w:rPr>
          <w:rFonts w:ascii="宋体" w:eastAsia="宋体" w:hAnsi="宋体" w:cs="宋体"/>
          <w:kern w:val="0"/>
          <w:sz w:val="24"/>
          <w14:ligatures w14:val="none"/>
        </w:rPr>
      </w:pPr>
    </w:p>
    <w:p w14:paraId="7123691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图表50：中证1000范围内表现较好的量价相关性因子多头组合相对净值</w:t>
      </w:r>
    </w:p>
    <w:p w14:paraId="7683B4B4" w14:textId="3D5B7DDD"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"https://mmbiz.qpic.cn/mmbiz_png/41FzlIA3BAWJblpfs7z25pCeTTJegtmBGAGjxU6mDfLs3tlaCCNuEg8B91YsdNibK84sQCbSuH3WGnSfmv2ls4g/640?wx_fmt=png&amp;tp=wxpic&amp;wxfrom=5&amp;wx_lazy=1#imgIndex=49"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7C3651F" wp14:editId="37D68FE8">
            <wp:extent cx="5274310" cy="2619375"/>
            <wp:effectExtent l="0" t="0" r="0" b="0"/>
            <wp:docPr id="299321628" name="图片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图片"/>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26193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5B8485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79BB06B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注：1）统计时间为2014-11-01至2022-06-30；2）相对净值的比较基准为中证1000等权指数000852.SH</w:t>
      </w:r>
    </w:p>
    <w:p w14:paraId="16FCA825" w14:textId="77777777" w:rsidR="0082515D" w:rsidRPr="0082515D" w:rsidRDefault="0082515D" w:rsidP="0082515D">
      <w:pPr>
        <w:widowControl/>
        <w:jc w:val="left"/>
        <w:rPr>
          <w:rFonts w:ascii="宋体" w:eastAsia="宋体" w:hAnsi="宋体" w:cs="宋体"/>
          <w:kern w:val="0"/>
          <w:sz w:val="24"/>
          <w14:ligatures w14:val="none"/>
        </w:rPr>
      </w:pPr>
    </w:p>
    <w:p w14:paraId="75CB3FD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图表51：中证1000范围内表现较好的量价相关性因子分组年化超额收益统计</w:t>
      </w:r>
    </w:p>
    <w:p w14:paraId="115E4334" w14:textId="2B0AC8B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"https://mmbiz.qpic.cn/mmbiz_png/41FzlIA3BAWJblpfs7z25pCeTTJegtmBZia69mAvjibhsDeysoN9HWrK3HvicVtmYspyQYOLSl4WnVQJfPShLdjLA/640?wx_fmt=png&amp;tp=wxpic&amp;wxfrom=5&amp;wx_lazy=1#imgIndex=50"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E0B49A6" wp14:editId="44EF4A86">
            <wp:extent cx="5274310" cy="2554605"/>
            <wp:effectExtent l="0" t="0" r="0" b="0"/>
            <wp:docPr id="1880583263" name="图片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图片"/>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844D8A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3438C32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注：1）统计时间为2014-11-01至2022-06-30；2）超额收益的比较基准为中证1000指数000852.SH；3）Group1为因子值最小一组，Group10为因子值最大一组</w:t>
      </w:r>
    </w:p>
    <w:p w14:paraId="00A2ACDF" w14:textId="77777777" w:rsidR="0082515D" w:rsidRPr="0082515D" w:rsidRDefault="0082515D" w:rsidP="0082515D">
      <w:pPr>
        <w:widowControl/>
        <w:jc w:val="left"/>
        <w:rPr>
          <w:rFonts w:ascii="宋体" w:eastAsia="宋体" w:hAnsi="宋体" w:cs="宋体"/>
          <w:kern w:val="0"/>
          <w:sz w:val="24"/>
          <w14:ligatures w14:val="none"/>
        </w:rPr>
      </w:pPr>
    </w:p>
    <w:p w14:paraId="7BCE9F5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筹码分布</w:t>
      </w:r>
    </w:p>
    <w:p w14:paraId="40C456AD" w14:textId="77777777" w:rsidR="0082515D" w:rsidRPr="0082515D" w:rsidRDefault="0082515D" w:rsidP="0082515D">
      <w:pPr>
        <w:widowControl/>
        <w:jc w:val="left"/>
        <w:rPr>
          <w:rFonts w:ascii="宋体" w:eastAsia="宋体" w:hAnsi="宋体" w:cs="宋体"/>
          <w:kern w:val="0"/>
          <w:sz w:val="24"/>
          <w14:ligatures w14:val="none"/>
        </w:rPr>
      </w:pPr>
    </w:p>
    <w:p w14:paraId="473E106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筹码分布因子选股有效性一般</w:t>
      </w:r>
    </w:p>
    <w:p w14:paraId="3307117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筹码分布旨在刻画股票持有人的持仓成本分布情况，我们据此构建了筹码分布的均值、标准差、偏度、峰度等因子，以及不同盈亏水平的筹码占比因子，并检验了这些因子在不同选股范围内的有效性。</w:t>
      </w:r>
    </w:p>
    <w:p w14:paraId="3134B202" w14:textId="77777777" w:rsidR="0082515D" w:rsidRPr="0082515D" w:rsidRDefault="0082515D" w:rsidP="0082515D">
      <w:pPr>
        <w:widowControl/>
        <w:jc w:val="left"/>
        <w:rPr>
          <w:rFonts w:ascii="宋体" w:eastAsia="宋体" w:hAnsi="宋体" w:cs="宋体"/>
          <w:kern w:val="0"/>
          <w:sz w:val="24"/>
          <w14:ligatures w14:val="none"/>
        </w:rPr>
      </w:pPr>
    </w:p>
    <w:p w14:paraId="4D9DB2A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图表52：筹码分布因子构建方式</w:t>
      </w:r>
    </w:p>
    <w:p w14:paraId="35DC2FF3" w14:textId="2679FCBC"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"https://mmbiz.qpic.cn/mmbiz_png/41FzlIA3BAWJblpfs7z25pCeTTJegtmBRiasNo0OQOc0MqfuPSu1qZFFUUhaekic4Qib4TnZ4ib4bbKbl1ELcjb05A/640?wx_fmt=png&amp;tp=wxpic&amp;wxfrom=5&amp;wx_lazy=1#imgIndex=51"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2155B05" wp14:editId="7517A09F">
            <wp:extent cx="5274310" cy="1511300"/>
            <wp:effectExtent l="0" t="0" r="0" b="0"/>
            <wp:docPr id="153149784" name="图片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图片"/>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151130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B28515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 </w:t>
      </w:r>
    </w:p>
    <w:p w14:paraId="34C59588" w14:textId="77777777" w:rsidR="0082515D" w:rsidRPr="0082515D" w:rsidRDefault="0082515D" w:rsidP="0082515D">
      <w:pPr>
        <w:widowControl/>
        <w:jc w:val="left"/>
        <w:rPr>
          <w:rFonts w:ascii="宋体" w:eastAsia="宋体" w:hAnsi="宋体" w:cs="宋体"/>
          <w:kern w:val="0"/>
          <w:sz w:val="24"/>
          <w14:ligatures w14:val="none"/>
        </w:rPr>
      </w:pPr>
    </w:p>
    <w:p w14:paraId="1B063FD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基于相关性统计，我们大致将筹码分布因子分为以下两类：筹码分布形状因子和筹码占比因子。</w:t>
      </w:r>
    </w:p>
    <w:p w14:paraId="59CC3F92" w14:textId="77777777" w:rsidR="0082515D" w:rsidRPr="0082515D" w:rsidRDefault="0082515D" w:rsidP="0082515D">
      <w:pPr>
        <w:widowControl/>
        <w:jc w:val="left"/>
        <w:rPr>
          <w:rFonts w:ascii="宋体" w:eastAsia="宋体" w:hAnsi="宋体" w:cs="宋体"/>
          <w:kern w:val="0"/>
          <w:sz w:val="24"/>
          <w14:ligatures w14:val="none"/>
        </w:rPr>
      </w:pPr>
    </w:p>
    <w:p w14:paraId="0BAFB8C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筹码分布形状因子</w:t>
      </w:r>
      <w:r w:rsidRPr="0082515D">
        <w:rPr>
          <w:rFonts w:ascii="宋体" w:eastAsia="宋体" w:hAnsi="宋体" w:cs="宋体"/>
          <w:kern w:val="0"/>
          <w:sz w:val="23"/>
          <w:szCs w:val="23"/>
          <w14:ligatures w14:val="none"/>
        </w:rPr>
        <w:t>包括描述分布的二到四阶标准矩相关因子，即标准差、偏度与峰度。值得注意的是，</w:t>
      </w:r>
      <w:proofErr w:type="spellStart"/>
      <w:r w:rsidRPr="0082515D">
        <w:rPr>
          <w:rFonts w:ascii="宋体" w:eastAsia="宋体" w:hAnsi="宋体" w:cs="宋体"/>
          <w:kern w:val="0"/>
          <w:sz w:val="23"/>
          <w:szCs w:val="23"/>
          <w14:ligatures w14:val="none"/>
        </w:rPr>
        <w:t>distribution_ret_avg</w:t>
      </w:r>
      <w:proofErr w:type="spellEnd"/>
      <w:r w:rsidRPr="0082515D">
        <w:rPr>
          <w:rFonts w:ascii="宋体" w:eastAsia="宋体" w:hAnsi="宋体" w:cs="宋体"/>
          <w:kern w:val="0"/>
          <w:sz w:val="23"/>
          <w:szCs w:val="23"/>
          <w14:ligatures w14:val="none"/>
        </w:rPr>
        <w:t>因子尽管是一阶矩，但由于其与分布占比因子的相关度更高，所以归类于筹码分布占比因子。筹码分布形状因子的有效性均逊于筹码分布占比因子。尽管宽基指数范围内多头超额收益表现尚可，但综合其预测稳定性来看，仍表现欠佳。</w:t>
      </w:r>
    </w:p>
    <w:p w14:paraId="6F5083FB" w14:textId="77777777" w:rsidR="0082515D" w:rsidRPr="0082515D" w:rsidRDefault="0082515D" w:rsidP="0082515D">
      <w:pPr>
        <w:widowControl/>
        <w:jc w:val="left"/>
        <w:rPr>
          <w:rFonts w:ascii="宋体" w:eastAsia="宋体" w:hAnsi="宋体" w:cs="宋体"/>
          <w:kern w:val="0"/>
          <w:sz w:val="24"/>
          <w14:ligatures w14:val="none"/>
        </w:rPr>
      </w:pPr>
    </w:p>
    <w:p w14:paraId="7EE41E4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筹码占比因子</w:t>
      </w:r>
      <w:r w:rsidRPr="0082515D">
        <w:rPr>
          <w:rFonts w:ascii="宋体" w:eastAsia="宋体" w:hAnsi="宋体" w:cs="宋体"/>
          <w:kern w:val="0"/>
          <w:sz w:val="23"/>
          <w:szCs w:val="23"/>
          <w14:ligatures w14:val="none"/>
        </w:rPr>
        <w:t>包括</w:t>
      </w:r>
      <w:proofErr w:type="spellStart"/>
      <w:r w:rsidRPr="0082515D">
        <w:rPr>
          <w:rFonts w:ascii="宋体" w:eastAsia="宋体" w:hAnsi="宋体" w:cs="宋体"/>
          <w:kern w:val="0"/>
          <w:sz w:val="23"/>
          <w:szCs w:val="23"/>
          <w14:ligatures w14:val="none"/>
        </w:rPr>
        <w:t>distribution_max_prob_ret</w:t>
      </w:r>
      <w:proofErr w:type="spellEnd"/>
      <w:r w:rsidRPr="0082515D">
        <w:rPr>
          <w:rFonts w:ascii="宋体" w:eastAsia="宋体" w:hAnsi="宋体" w:cs="宋体"/>
          <w:kern w:val="0"/>
          <w:sz w:val="23"/>
          <w:szCs w:val="23"/>
          <w14:ligatures w14:val="none"/>
        </w:rPr>
        <w:t>、</w:t>
      </w:r>
      <w:proofErr w:type="spellStart"/>
      <w:r w:rsidRPr="0082515D">
        <w:rPr>
          <w:rFonts w:ascii="宋体" w:eastAsia="宋体" w:hAnsi="宋体" w:cs="宋体"/>
          <w:kern w:val="0"/>
          <w:sz w:val="23"/>
          <w:szCs w:val="23"/>
          <w14:ligatures w14:val="none"/>
        </w:rPr>
        <w:t>distribution_ret_avg</w:t>
      </w:r>
      <w:proofErr w:type="spellEnd"/>
      <w:r w:rsidRPr="0082515D">
        <w:rPr>
          <w:rFonts w:ascii="宋体" w:eastAsia="宋体" w:hAnsi="宋体" w:cs="宋体"/>
          <w:kern w:val="0"/>
          <w:sz w:val="23"/>
          <w:szCs w:val="23"/>
          <w14:ligatures w14:val="none"/>
        </w:rPr>
        <w:t>以及不同盈亏水平的筹码占比因子。</w:t>
      </w:r>
      <w:r w:rsidRPr="0082515D">
        <w:rPr>
          <w:rFonts w:ascii="宋体" w:eastAsia="宋体" w:hAnsi="宋体" w:cs="宋体"/>
          <w:b/>
          <w:bCs/>
          <w:kern w:val="0"/>
          <w:sz w:val="23"/>
          <w:szCs w:val="23"/>
          <w14:ligatures w14:val="none"/>
        </w:rPr>
        <w:t>从因子的预测方向来看，更多表现为反转的含义，</w:t>
      </w:r>
      <w:r w:rsidRPr="0082515D">
        <w:rPr>
          <w:rFonts w:ascii="宋体" w:eastAsia="宋体" w:hAnsi="宋体" w:cs="宋体"/>
          <w:kern w:val="0"/>
          <w:sz w:val="23"/>
          <w:szCs w:val="23"/>
          <w14:ligatures w14:val="none"/>
        </w:rPr>
        <w:t>即：股票持有人平均收益越高（或盈利筹码占比越高），未来收益表现越弱；而亏损筹码占比越高，未来收益表现越强。从因子有效性角度来看，</w:t>
      </w:r>
      <w:proofErr w:type="spellStart"/>
      <w:r w:rsidRPr="0082515D">
        <w:rPr>
          <w:rFonts w:ascii="宋体" w:eastAsia="宋体" w:hAnsi="宋体" w:cs="宋体"/>
          <w:kern w:val="0"/>
          <w:sz w:val="23"/>
          <w:szCs w:val="23"/>
          <w14:ligatures w14:val="none"/>
        </w:rPr>
        <w:t>distribution_loss_l</w:t>
      </w:r>
      <w:proofErr w:type="spellEnd"/>
      <w:r w:rsidRPr="0082515D">
        <w:rPr>
          <w:rFonts w:ascii="宋体" w:eastAsia="宋体" w:hAnsi="宋体" w:cs="宋体"/>
          <w:kern w:val="0"/>
          <w:sz w:val="23"/>
          <w:szCs w:val="23"/>
          <w14:ligatures w14:val="none"/>
        </w:rPr>
        <w:t>和</w:t>
      </w:r>
      <w:proofErr w:type="spellStart"/>
      <w:r w:rsidRPr="0082515D">
        <w:rPr>
          <w:rFonts w:ascii="宋体" w:eastAsia="宋体" w:hAnsi="宋体" w:cs="宋体"/>
          <w:kern w:val="0"/>
          <w:sz w:val="23"/>
          <w:szCs w:val="23"/>
          <w14:ligatures w14:val="none"/>
        </w:rPr>
        <w:t>distribution_ret_avg</w:t>
      </w:r>
      <w:proofErr w:type="spellEnd"/>
      <w:r w:rsidRPr="0082515D">
        <w:rPr>
          <w:rFonts w:ascii="宋体" w:eastAsia="宋体" w:hAnsi="宋体" w:cs="宋体"/>
          <w:kern w:val="0"/>
          <w:sz w:val="23"/>
          <w:szCs w:val="23"/>
          <w14:ligatures w14:val="none"/>
        </w:rPr>
        <w:t>因子表现相对较好，但</w:t>
      </w:r>
      <w:r w:rsidRPr="0082515D">
        <w:rPr>
          <w:rFonts w:ascii="宋体" w:eastAsia="宋体" w:hAnsi="宋体" w:cs="宋体"/>
          <w:b/>
          <w:bCs/>
          <w:kern w:val="0"/>
          <w:sz w:val="23"/>
          <w:szCs w:val="23"/>
          <w14:ligatures w14:val="none"/>
        </w:rPr>
        <w:t>仅在全市场和中证1000范围内具有一定的收益预测能力和单调性。</w:t>
      </w:r>
    </w:p>
    <w:p w14:paraId="106A91CB" w14:textId="77777777" w:rsidR="0082515D" w:rsidRPr="0082515D" w:rsidRDefault="0082515D" w:rsidP="0082515D">
      <w:pPr>
        <w:widowControl/>
        <w:jc w:val="left"/>
        <w:rPr>
          <w:rFonts w:ascii="宋体" w:eastAsia="宋体" w:hAnsi="宋体" w:cs="宋体"/>
          <w:kern w:val="0"/>
          <w:sz w:val="24"/>
          <w14:ligatures w14:val="none"/>
        </w:rPr>
      </w:pPr>
    </w:p>
    <w:p w14:paraId="6367BFE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因此，筹码分布因子在沪深300和中证500范围内因子IC表现较弱，在全市场、中证1000范围内才具有一定的选股效果，IC_IR的绝对值大概可以达到0.4左右。</w:t>
      </w:r>
    </w:p>
    <w:p w14:paraId="1E3B0D97" w14:textId="77777777" w:rsidR="0082515D" w:rsidRPr="0082515D" w:rsidRDefault="0082515D" w:rsidP="0082515D">
      <w:pPr>
        <w:widowControl/>
        <w:jc w:val="left"/>
        <w:rPr>
          <w:rFonts w:ascii="宋体" w:eastAsia="宋体" w:hAnsi="宋体" w:cs="宋体"/>
          <w:kern w:val="0"/>
          <w:sz w:val="24"/>
          <w14:ligatures w14:val="none"/>
        </w:rPr>
      </w:pPr>
    </w:p>
    <w:p w14:paraId="5A85248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图表53：筹码分布因子在全市场范围内的有效性检验结果</w:t>
      </w:r>
    </w:p>
    <w:p w14:paraId="40D85F76" w14:textId="68AEA04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"https://mmbiz.qpic.cn/mmbiz_png/41FzlIA3BAWJblpfs7z25pCeTTJegtmBKeC6sVgFccqiaiaJTQHrBdXd0KMZza1AXN9oeURm4EiaQpTU8Xk83vxZA/640?wx_fmt=png&amp;tp=wxpic&amp;wxfrom=5&amp;wx_lazy=1#imgIndex=52"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8519014" wp14:editId="571556C5">
            <wp:extent cx="5274310" cy="1214120"/>
            <wp:effectExtent l="0" t="0" r="0" b="5080"/>
            <wp:docPr id="215745303" name="图片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图片"/>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12141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7D2FFB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w:t>
      </w:r>
    </w:p>
    <w:p w14:paraId="04A9051F" w14:textId="77777777" w:rsidR="0082515D" w:rsidRPr="0082515D" w:rsidRDefault="0082515D" w:rsidP="0082515D">
      <w:pPr>
        <w:widowControl/>
        <w:jc w:val="left"/>
        <w:rPr>
          <w:rFonts w:ascii="宋体" w:eastAsia="宋体" w:hAnsi="宋体" w:cs="宋体"/>
          <w:kern w:val="0"/>
          <w:sz w:val="24"/>
          <w14:ligatures w14:val="none"/>
        </w:rPr>
      </w:pPr>
    </w:p>
    <w:p w14:paraId="6336307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图表54：全市场范围内筹码分布因子之间的相关性统计</w:t>
      </w:r>
    </w:p>
    <w:p w14:paraId="30EEBDB2" w14:textId="3CA72F4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"https://mmbiz.qpic.cn/mmbiz_png/41FzlIA3BAWJblpfs7z25pCeTTJegtmBGcRsfdtAw1VJo2GQxgwjnvSiadhcZWMFeKEnMlHb8qTxqdfC922an5g/640?wx_fmt=png&amp;tp=wxpic&amp;wxfrom=5&amp;wx_lazy=1#imgIndex=53"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C11311F" wp14:editId="4AAF283B">
            <wp:extent cx="5274310" cy="1408430"/>
            <wp:effectExtent l="0" t="0" r="0" b="1270"/>
            <wp:docPr id="2077119977" name="图片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图片"/>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4310" cy="140843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1F0156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w:t>
      </w:r>
    </w:p>
    <w:p w14:paraId="0272E68B" w14:textId="77777777" w:rsidR="0082515D" w:rsidRPr="0082515D" w:rsidRDefault="0082515D" w:rsidP="0082515D">
      <w:pPr>
        <w:widowControl/>
        <w:jc w:val="left"/>
        <w:rPr>
          <w:rFonts w:ascii="宋体" w:eastAsia="宋体" w:hAnsi="宋体" w:cs="宋体"/>
          <w:kern w:val="0"/>
          <w:sz w:val="24"/>
          <w14:ligatures w14:val="none"/>
        </w:rPr>
      </w:pPr>
    </w:p>
    <w:p w14:paraId="0D03243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图表55：筹码分布因子在沪深300范围内的有效性检验结果</w:t>
      </w:r>
    </w:p>
    <w:p w14:paraId="4C90EA8F" w14:textId="78EA014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"https://mmbiz.qpic.cn/mmbiz_png/41FzlIA3BAWJblpfs7z25pCeTTJegtmBbnrwQvQgKPPGKn8ibhs5v63iaNUGRy1h0tJHTibwrlyBG5oSicJeBibUjCg/640?wx_fmt=png&amp;tp=wxpic&amp;wxfrom=5&amp;wx_lazy=1#imgIndex=54"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A9654A4" wp14:editId="132B22FD">
            <wp:extent cx="5274310" cy="1228090"/>
            <wp:effectExtent l="0" t="0" r="0" b="3810"/>
            <wp:docPr id="425092234" name="图片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图片"/>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12280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E83509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（注：统计时间为2010-01-01至2022-06-30；超额收益的比较基准为沪深300等权指数000984.CSI）</w:t>
      </w:r>
    </w:p>
    <w:p w14:paraId="3EB7D446" w14:textId="77777777" w:rsidR="0082515D" w:rsidRPr="0082515D" w:rsidRDefault="0082515D" w:rsidP="0082515D">
      <w:pPr>
        <w:widowControl/>
        <w:jc w:val="left"/>
        <w:rPr>
          <w:rFonts w:ascii="宋体" w:eastAsia="宋体" w:hAnsi="宋体" w:cs="宋体"/>
          <w:kern w:val="0"/>
          <w:sz w:val="24"/>
          <w14:ligatures w14:val="none"/>
        </w:rPr>
      </w:pPr>
    </w:p>
    <w:p w14:paraId="2D57616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图表57：筹码分布因子在中证1000范围内的有效性检验结果</w:t>
      </w:r>
    </w:p>
    <w:p w14:paraId="0C40ED23" w14:textId="154548BE"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"https://mmbiz.qpic.cn/mmbiz_png/41FzlIA3BAWJblpfs7z25pCeTTJegtmBWkTkicwk7hhmGF24PPz3Veibocslg7hJPLEDnPfoFTc5lFAF03g1CLEA/640?wx_fmt=png&amp;tp=wxpic&amp;wxfrom=5&amp;wx_lazy=1#imgIndex=55"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43A0461" wp14:editId="272D7098">
            <wp:extent cx="5274310" cy="1204595"/>
            <wp:effectExtent l="0" t="0" r="0" b="1905"/>
            <wp:docPr id="1556551273" name="图片 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图片"/>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12045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1D6121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7C809C92" w14:textId="77777777" w:rsidR="0082515D" w:rsidRPr="0082515D" w:rsidRDefault="0082515D" w:rsidP="0082515D">
      <w:pPr>
        <w:widowControl/>
        <w:jc w:val="left"/>
        <w:rPr>
          <w:rFonts w:ascii="宋体" w:eastAsia="宋体" w:hAnsi="宋体" w:cs="宋体"/>
          <w:kern w:val="0"/>
          <w:sz w:val="24"/>
          <w14:ligatures w14:val="none"/>
        </w:rPr>
      </w:pPr>
    </w:p>
    <w:p w14:paraId="6D039149" w14:textId="77777777" w:rsidR="0082515D" w:rsidRPr="0082515D" w:rsidRDefault="0082515D" w:rsidP="0082515D">
      <w:pPr>
        <w:widowControl/>
        <w:jc w:val="left"/>
        <w:rPr>
          <w:rFonts w:ascii="宋体" w:eastAsia="宋体" w:hAnsi="宋体" w:cs="宋体"/>
          <w:kern w:val="0"/>
          <w:sz w:val="24"/>
          <w14:ligatures w14:val="none"/>
        </w:rPr>
      </w:pPr>
    </w:p>
    <w:p w14:paraId="3CE98E4A"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4"/>
          <w14:ligatures w14:val="none"/>
        </w:rPr>
        <w:t>distribution_ret_std</w:t>
      </w:r>
      <w:proofErr w:type="spellEnd"/>
      <w:r w:rsidRPr="0082515D">
        <w:rPr>
          <w:rFonts w:ascii="宋体" w:eastAsia="宋体" w:hAnsi="宋体" w:cs="宋体"/>
          <w:b/>
          <w:bCs/>
          <w:kern w:val="0"/>
          <w:sz w:val="24"/>
          <w14:ligatures w14:val="none"/>
        </w:rPr>
        <w:t>因子多头组合在沪深300内具有一定的超额收益</w:t>
      </w:r>
    </w:p>
    <w:p w14:paraId="67046E9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w:t>
      </w:r>
      <w:proofErr w:type="spellStart"/>
      <w:r w:rsidRPr="0082515D">
        <w:rPr>
          <w:rFonts w:ascii="宋体" w:eastAsia="宋体" w:hAnsi="宋体" w:cs="宋体"/>
          <w:b/>
          <w:bCs/>
          <w:kern w:val="0"/>
          <w:sz w:val="24"/>
          <w14:ligatures w14:val="none"/>
        </w:rPr>
        <w:t>distribution_ret_std</w:t>
      </w:r>
      <w:proofErr w:type="spellEnd"/>
      <w:r w:rsidRPr="0082515D">
        <w:rPr>
          <w:rFonts w:ascii="宋体" w:eastAsia="宋体" w:hAnsi="宋体" w:cs="宋体"/>
          <w:b/>
          <w:bCs/>
          <w:kern w:val="0"/>
          <w:sz w:val="24"/>
          <w14:ligatures w14:val="none"/>
        </w:rPr>
        <w:t>因子分组单调性尚可。</w:t>
      </w:r>
      <w:r w:rsidRPr="0082515D">
        <w:rPr>
          <w:rFonts w:ascii="宋体" w:eastAsia="宋体" w:hAnsi="宋体" w:cs="宋体"/>
          <w:kern w:val="0"/>
          <w:sz w:val="24"/>
          <w14:ligatures w14:val="none"/>
        </w:rPr>
        <w:t>如下图所示，该因子多头组合显著跑赢基准，空头组合则跑输基准，因子有效性大多来源于多头组合。但结合IC_IR为0.17以及相对净值的走势来看，需</w:t>
      </w:r>
      <w:r w:rsidRPr="0082515D">
        <w:rPr>
          <w:rFonts w:ascii="宋体" w:eastAsia="宋体" w:hAnsi="宋体" w:cs="宋体"/>
          <w:b/>
          <w:bCs/>
          <w:kern w:val="0"/>
          <w:sz w:val="24"/>
          <w14:ligatures w14:val="none"/>
        </w:rPr>
        <w:t>注意该因子的多头贡献是阶段性而非长期稳定的。</w:t>
      </w:r>
    </w:p>
    <w:p w14:paraId="3013A286" w14:textId="77777777" w:rsidR="0082515D" w:rsidRPr="0082515D" w:rsidRDefault="0082515D" w:rsidP="0082515D">
      <w:pPr>
        <w:widowControl/>
        <w:jc w:val="left"/>
        <w:rPr>
          <w:rFonts w:ascii="宋体" w:eastAsia="宋体" w:hAnsi="宋体" w:cs="宋体"/>
          <w:kern w:val="0"/>
          <w:sz w:val="24"/>
          <w14:ligatures w14:val="none"/>
        </w:rPr>
      </w:pPr>
    </w:p>
    <w:p w14:paraId="7C4EB85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图表58：沪深300范围内表现较好的筹码分布因子多头组合相对净值</w:t>
      </w:r>
    </w:p>
    <w:p w14:paraId="730283EB" w14:textId="584D26E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"https://mmbiz.qpic.cn/mmbiz_png/41FzlIA3BAWJblpfs7z25pCeTTJegtmBC298owsMYBcMNZP04FIaK6fZ7j0lPbsVg2V8pwdSquict2fMLaFXT4A/640?wx_fmt=png&amp;tp=wxpic&amp;wxfrom=5&amp;wx_lazy=1#imgIndex=56"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0C6A6D3" wp14:editId="092129CC">
            <wp:extent cx="5274310" cy="2574290"/>
            <wp:effectExtent l="0" t="0" r="0" b="3810"/>
            <wp:docPr id="148972839" name="图片 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图片"/>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4310" cy="25742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28BD5E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099A627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注：1）统计时间为2010-01-01至2022-06-30；2）相对净值的比较基准为沪深300等权指数000984.CSI</w:t>
      </w:r>
    </w:p>
    <w:p w14:paraId="02C0AE74" w14:textId="77777777" w:rsidR="0082515D" w:rsidRPr="0082515D" w:rsidRDefault="0082515D" w:rsidP="0082515D">
      <w:pPr>
        <w:widowControl/>
        <w:jc w:val="left"/>
        <w:rPr>
          <w:rFonts w:ascii="宋体" w:eastAsia="宋体" w:hAnsi="宋体" w:cs="宋体"/>
          <w:kern w:val="0"/>
          <w:sz w:val="24"/>
          <w14:ligatures w14:val="none"/>
        </w:rPr>
      </w:pPr>
    </w:p>
    <w:p w14:paraId="34F13A3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图表59：沪深300范围内表现较好的筹码分布因子分组年化超额收益统计</w:t>
      </w:r>
    </w:p>
    <w:p w14:paraId="2553DC14" w14:textId="249EEAC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"https://mmbiz.qpic.cn/mmbiz_png/41FzlIA3BAWJblpfs7z25pCeTTJegtmBFSDgRArdl9LtdkWowJQCQKNY9dgcE4X4lT1Pl8XVpVY6uyOHxnYDYQ/640?wx_fmt=png&amp;tp=wxpic&amp;wxfrom=5&amp;wx_lazy=1#imgIndex=57"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FFABF3A" wp14:editId="00039605">
            <wp:extent cx="5274310" cy="2586355"/>
            <wp:effectExtent l="0" t="0" r="0" b="4445"/>
            <wp:docPr id="1888379105" name="图片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图片"/>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258635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D2EB24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237AEEF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注：1）统计时间为2010-01-01至2022-06-30；2）超额收益的比较基准为沪深300等权指数000984.CSI；3）Group1为因子值最小一组，Group10为因子值最大一组</w:t>
      </w:r>
    </w:p>
    <w:p w14:paraId="3E2D6B84" w14:textId="77777777" w:rsidR="0082515D" w:rsidRPr="0082515D" w:rsidRDefault="0082515D" w:rsidP="0082515D">
      <w:pPr>
        <w:widowControl/>
        <w:jc w:val="left"/>
        <w:rPr>
          <w:rFonts w:ascii="宋体" w:eastAsia="宋体" w:hAnsi="宋体" w:cs="宋体"/>
          <w:kern w:val="0"/>
          <w:sz w:val="24"/>
          <w14:ligatures w14:val="none"/>
        </w:rPr>
      </w:pPr>
    </w:p>
    <w:p w14:paraId="6F828A3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中证500范围内，</w:t>
      </w:r>
      <w:proofErr w:type="spellStart"/>
      <w:r w:rsidRPr="0082515D">
        <w:rPr>
          <w:rFonts w:ascii="宋体" w:eastAsia="宋体" w:hAnsi="宋体" w:cs="宋体"/>
          <w:b/>
          <w:bCs/>
          <w:kern w:val="0"/>
          <w:sz w:val="24"/>
          <w14:ligatures w14:val="none"/>
        </w:rPr>
        <w:t>distribution_loss_l</w:t>
      </w:r>
      <w:proofErr w:type="spellEnd"/>
      <w:r w:rsidRPr="0082515D">
        <w:rPr>
          <w:rFonts w:ascii="宋体" w:eastAsia="宋体" w:hAnsi="宋体" w:cs="宋体"/>
          <w:b/>
          <w:bCs/>
          <w:kern w:val="0"/>
          <w:sz w:val="24"/>
          <w14:ligatures w14:val="none"/>
        </w:rPr>
        <w:t>因子分组表现欠佳，且多头组合自2019年以来有所回撤。</w:t>
      </w:r>
      <w:r w:rsidRPr="0082515D">
        <w:rPr>
          <w:rFonts w:ascii="宋体" w:eastAsia="宋体" w:hAnsi="宋体" w:cs="宋体"/>
          <w:kern w:val="0"/>
          <w:sz w:val="24"/>
          <w14:ligatures w14:val="none"/>
        </w:rPr>
        <w:t>该因子的空头显著跑输基准，多头组合表现一般，且分组单调性不佳。</w:t>
      </w:r>
    </w:p>
    <w:p w14:paraId="7DFDED1F" w14:textId="77777777" w:rsidR="0082515D" w:rsidRPr="0082515D" w:rsidRDefault="0082515D" w:rsidP="0082515D">
      <w:pPr>
        <w:widowControl/>
        <w:jc w:val="left"/>
        <w:rPr>
          <w:rFonts w:ascii="宋体" w:eastAsia="宋体" w:hAnsi="宋体" w:cs="宋体"/>
          <w:kern w:val="0"/>
          <w:sz w:val="24"/>
          <w14:ligatures w14:val="none"/>
        </w:rPr>
      </w:pPr>
    </w:p>
    <w:p w14:paraId="117EA97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图表60：中证500范围内表现较好的筹码分布因子多头组合相对净值</w:t>
      </w:r>
    </w:p>
    <w:p w14:paraId="4338D130" w14:textId="7641EA0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"https://mmbiz.qpic.cn/mmbiz_png/41FzlIA3BAWJblpfs7z25pCeTTJegtmBCSh1gDHNE9L4OtzY9hWbicHUH8cbdRjcZx0quu92IzeXZHQA56BEUQQ/640?wx_fmt=png&amp;tp=wxpic&amp;wxfrom=5&amp;wx_lazy=1#imgIndex=58"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186CDFD" wp14:editId="5841FADE">
            <wp:extent cx="5274310" cy="2537460"/>
            <wp:effectExtent l="0" t="0" r="0" b="2540"/>
            <wp:docPr id="880766214" name="图片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图片"/>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25374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5BE01C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15579D0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注：1）统计时间为2010-01-01至2022-06-30；2）相对净值的比较基准为中证500等权指数000982.S</w:t>
      </w:r>
    </w:p>
    <w:p w14:paraId="5D306FCF" w14:textId="77777777" w:rsidR="0082515D" w:rsidRPr="0082515D" w:rsidRDefault="0082515D" w:rsidP="0082515D">
      <w:pPr>
        <w:widowControl/>
        <w:jc w:val="left"/>
        <w:rPr>
          <w:rFonts w:ascii="宋体" w:eastAsia="宋体" w:hAnsi="宋体" w:cs="宋体"/>
          <w:kern w:val="0"/>
          <w:sz w:val="24"/>
          <w14:ligatures w14:val="none"/>
        </w:rPr>
      </w:pPr>
    </w:p>
    <w:p w14:paraId="263E369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图表61：中证500范围内表现较好的筹码分布因子分组年化超额收益统计</w:t>
      </w:r>
    </w:p>
    <w:p w14:paraId="3BC1D36B" w14:textId="0D2AB36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"https://mmbiz.qpic.cn/mmbiz_png/41FzlIA3BAWJblpfs7z25pCeTTJegtmBA6nBHNRFDhzCoWe3QQag1bSWMTZ6gRYglsznlBZm2FaVUibRn9HSdrg/640?wx_fmt=png&amp;tp=wxpic&amp;wxfrom=5&amp;wx_lazy=1#imgIndex=59"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B994C68" wp14:editId="64FE5C60">
            <wp:extent cx="5246370" cy="2586355"/>
            <wp:effectExtent l="0" t="0" r="0" b="4445"/>
            <wp:docPr id="359665593" name="图片 4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图片"/>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46370" cy="258635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5D8740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BE9222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注：1）统计时间为2010-01-01至2022-06-30；2）超额收益的比较基准为中证500等权指数000982.SH；3）Group1为因子值最小一组，Group10为因子值最大一组</w:t>
      </w:r>
    </w:p>
    <w:p w14:paraId="29D0805F" w14:textId="77777777" w:rsidR="0082515D" w:rsidRPr="0082515D" w:rsidRDefault="0082515D" w:rsidP="0082515D">
      <w:pPr>
        <w:widowControl/>
        <w:jc w:val="left"/>
        <w:rPr>
          <w:rFonts w:ascii="宋体" w:eastAsia="宋体" w:hAnsi="宋体" w:cs="宋体"/>
          <w:kern w:val="0"/>
          <w:sz w:val="24"/>
          <w14:ligatures w14:val="none"/>
        </w:rPr>
      </w:pPr>
    </w:p>
    <w:p w14:paraId="3ED9918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中证1000范围内，</w:t>
      </w:r>
      <w:proofErr w:type="spellStart"/>
      <w:r w:rsidRPr="0082515D">
        <w:rPr>
          <w:rFonts w:ascii="宋体" w:eastAsia="宋体" w:hAnsi="宋体" w:cs="宋体"/>
          <w:b/>
          <w:bCs/>
          <w:kern w:val="0"/>
          <w:sz w:val="23"/>
          <w:szCs w:val="23"/>
          <w14:ligatures w14:val="none"/>
        </w:rPr>
        <w:t>distribution_ret_avg</w:t>
      </w:r>
      <w:proofErr w:type="spellEnd"/>
      <w:r w:rsidRPr="0082515D">
        <w:rPr>
          <w:rFonts w:ascii="宋体" w:eastAsia="宋体" w:hAnsi="宋体" w:cs="宋体"/>
          <w:b/>
          <w:bCs/>
          <w:kern w:val="0"/>
          <w:sz w:val="23"/>
          <w:szCs w:val="23"/>
          <w14:ligatures w14:val="none"/>
        </w:rPr>
        <w:t>因子分组表现较好。</w:t>
      </w:r>
      <w:proofErr w:type="spellStart"/>
      <w:r w:rsidRPr="0082515D">
        <w:rPr>
          <w:rFonts w:ascii="宋体" w:eastAsia="宋体" w:hAnsi="宋体" w:cs="宋体"/>
          <w:kern w:val="0"/>
          <w:sz w:val="23"/>
          <w:szCs w:val="23"/>
          <w14:ligatures w14:val="none"/>
        </w:rPr>
        <w:t>distribution_ret_avg</w:t>
      </w:r>
      <w:proofErr w:type="spellEnd"/>
      <w:r w:rsidRPr="0082515D">
        <w:rPr>
          <w:rFonts w:ascii="宋体" w:eastAsia="宋体" w:hAnsi="宋体" w:cs="宋体"/>
          <w:kern w:val="0"/>
          <w:sz w:val="23"/>
          <w:szCs w:val="23"/>
          <w14:ligatures w14:val="none"/>
        </w:rPr>
        <w:t>和</w:t>
      </w:r>
      <w:proofErr w:type="spellStart"/>
      <w:r w:rsidRPr="0082515D">
        <w:rPr>
          <w:rFonts w:ascii="宋体" w:eastAsia="宋体" w:hAnsi="宋体" w:cs="宋体"/>
          <w:kern w:val="0"/>
          <w:sz w:val="23"/>
          <w:szCs w:val="23"/>
          <w14:ligatures w14:val="none"/>
        </w:rPr>
        <w:t>distribution_loss_l</w:t>
      </w:r>
      <w:proofErr w:type="spellEnd"/>
      <w:r w:rsidRPr="0082515D">
        <w:rPr>
          <w:rFonts w:ascii="宋体" w:eastAsia="宋体" w:hAnsi="宋体" w:cs="宋体"/>
          <w:kern w:val="0"/>
          <w:sz w:val="23"/>
          <w:szCs w:val="23"/>
          <w14:ligatures w14:val="none"/>
        </w:rPr>
        <w:t>因子的空头均显著跑输基准，多头组合表现一般。自2019年以来，2个因子的多头净值均有不同程度的回撤。</w:t>
      </w:r>
    </w:p>
    <w:p w14:paraId="3BB1D4A5" w14:textId="77777777" w:rsidR="0082515D" w:rsidRPr="0082515D" w:rsidRDefault="0082515D" w:rsidP="0082515D">
      <w:pPr>
        <w:widowControl/>
        <w:jc w:val="left"/>
        <w:rPr>
          <w:rFonts w:ascii="宋体" w:eastAsia="宋体" w:hAnsi="宋体" w:cs="宋体"/>
          <w:kern w:val="0"/>
          <w:sz w:val="24"/>
          <w14:ligatures w14:val="none"/>
        </w:rPr>
      </w:pPr>
    </w:p>
    <w:p w14:paraId="3037928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图表62：中证1000范围内表现较好的筹码分布因子多头组合相对净值</w:t>
      </w:r>
    </w:p>
    <w:p w14:paraId="5EFD6E61" w14:textId="4D8D7B2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"https://mmbiz.qpic.cn/mmbiz_png/41FzlIA3BAWJblpfs7z25pCeTTJegtmBwAXcarP0zEscyb47X3uJ0nncUnlBSnkQcibRNfQJcvfT0VAoTyFviaag/640?wx_fmt=png&amp;tp=wxpic&amp;wxfrom=5&amp;wx_lazy=1#imgIndex=60"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3152865" wp14:editId="45439A91">
            <wp:extent cx="5274310" cy="2486660"/>
            <wp:effectExtent l="0" t="0" r="0" b="2540"/>
            <wp:docPr id="603339636" name="图片 4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图片"/>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24866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B806C8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48D1845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注：1）统计时间为2014-11-01至2022-06-30；2）相对净值的比较基准为中证1000等权指数000852.SH</w:t>
      </w:r>
    </w:p>
    <w:p w14:paraId="28CDCD27" w14:textId="77777777" w:rsidR="0082515D" w:rsidRPr="0082515D" w:rsidRDefault="0082515D" w:rsidP="0082515D">
      <w:pPr>
        <w:widowControl/>
        <w:jc w:val="left"/>
        <w:rPr>
          <w:rFonts w:ascii="宋体" w:eastAsia="宋体" w:hAnsi="宋体" w:cs="宋体"/>
          <w:kern w:val="0"/>
          <w:sz w:val="24"/>
          <w14:ligatures w14:val="none"/>
        </w:rPr>
      </w:pPr>
    </w:p>
    <w:p w14:paraId="7A440DB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图表63：中证1000范围内表现较好的筹码分布因子分组年化超额收益统计</w:t>
      </w:r>
    </w:p>
    <w:p w14:paraId="1FCECFF8" w14:textId="06F97A3A"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"https://mmbiz.qpic.cn/mmbiz_png/41FzlIA3BAWJblpfs7z25pCeTTJegtmBHORpu43DlGhr1YLviaZkYHvmENmyX6Nmfk0I8aGo8hkCaCOsRPFLtCA/640?wx_fmt=png&amp;tp=wxpic&amp;wxfrom=5&amp;wx_lazy=1#imgIndex=61"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DBB72C5" wp14:editId="73185172">
            <wp:extent cx="5274310" cy="2586990"/>
            <wp:effectExtent l="0" t="0" r="0" b="3810"/>
            <wp:docPr id="876761053" name="图片 4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图片"/>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25869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C0D104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7C36033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注：1）统计时间为2014-11-01至2022-06-30；2）超额收益的比较基准为中证1000指数000852.SH；3）Group1为因子值最小一组，Group10为因子值最大一组</w:t>
      </w:r>
    </w:p>
    <w:p w14:paraId="3F26B1F2" w14:textId="77777777" w:rsidR="0082515D" w:rsidRPr="0082515D" w:rsidRDefault="0082515D" w:rsidP="0082515D">
      <w:pPr>
        <w:widowControl/>
        <w:jc w:val="left"/>
        <w:rPr>
          <w:rFonts w:ascii="宋体" w:eastAsia="宋体" w:hAnsi="宋体" w:cs="宋体"/>
          <w:kern w:val="0"/>
          <w:sz w:val="24"/>
          <w14:ligatures w14:val="none"/>
        </w:rPr>
      </w:pPr>
    </w:p>
    <w:p w14:paraId="4A855DB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资金流向</w:t>
      </w:r>
    </w:p>
    <w:p w14:paraId="79691649" w14:textId="77777777" w:rsidR="0082515D" w:rsidRPr="0082515D" w:rsidRDefault="0082515D" w:rsidP="0082515D">
      <w:pPr>
        <w:widowControl/>
        <w:jc w:val="left"/>
        <w:rPr>
          <w:rFonts w:ascii="宋体" w:eastAsia="宋体" w:hAnsi="宋体" w:cs="宋体"/>
          <w:kern w:val="0"/>
          <w:sz w:val="24"/>
          <w14:ligatures w14:val="none"/>
        </w:rPr>
      </w:pPr>
    </w:p>
    <w:p w14:paraId="4F88E26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开盘资金流入和大单买入因子在全市场范围内有效性较为突出</w:t>
      </w:r>
    </w:p>
    <w:p w14:paraId="5163962A" w14:textId="77777777" w:rsidR="0082515D" w:rsidRPr="0082515D" w:rsidRDefault="0082515D" w:rsidP="0082515D">
      <w:pPr>
        <w:widowControl/>
        <w:jc w:val="left"/>
        <w:rPr>
          <w:rFonts w:ascii="宋体" w:eastAsia="宋体" w:hAnsi="宋体" w:cs="宋体"/>
          <w:kern w:val="0"/>
          <w:sz w:val="24"/>
          <w14:ligatures w14:val="none"/>
        </w:rPr>
      </w:pPr>
    </w:p>
    <w:p w14:paraId="74849AE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资金流因子反映了不同类型资金流向的信息，该类因子的</w:t>
      </w:r>
      <w:r w:rsidRPr="0082515D">
        <w:rPr>
          <w:rFonts w:ascii="宋体" w:eastAsia="宋体" w:hAnsi="宋体" w:cs="宋体"/>
          <w:b/>
          <w:bCs/>
          <w:kern w:val="0"/>
          <w:sz w:val="23"/>
          <w:szCs w:val="23"/>
          <w14:ligatures w14:val="none"/>
        </w:rPr>
        <w:t>核心思路是捕捉“聪明资金”的流向，采取跟随策略，以期获得基本面改善带来的超额收益。</w:t>
      </w:r>
      <w:r w:rsidRPr="0082515D">
        <w:rPr>
          <w:rFonts w:ascii="宋体" w:eastAsia="宋体" w:hAnsi="宋体" w:cs="宋体"/>
          <w:kern w:val="0"/>
          <w:sz w:val="23"/>
          <w:szCs w:val="23"/>
          <w14:ligatures w14:val="none"/>
        </w:rPr>
        <w:t>我们利用Wind所整理的日度资金流数据，构建了32个资金流因子，并进行有效性检验。</w:t>
      </w:r>
    </w:p>
    <w:p w14:paraId="1E3875DA" w14:textId="77777777" w:rsidR="0082515D" w:rsidRPr="0082515D" w:rsidRDefault="0082515D" w:rsidP="0082515D">
      <w:pPr>
        <w:widowControl/>
        <w:jc w:val="left"/>
        <w:rPr>
          <w:rFonts w:ascii="宋体" w:eastAsia="宋体" w:hAnsi="宋体" w:cs="宋体"/>
          <w:kern w:val="0"/>
          <w:sz w:val="24"/>
          <w14:ligatures w14:val="none"/>
        </w:rPr>
      </w:pPr>
    </w:p>
    <w:p w14:paraId="770DFA7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图表64：资金流因子构建方式</w:t>
      </w:r>
    </w:p>
    <w:p w14:paraId="6E4FACDB" w14:textId="15483FD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"https://mmbiz.qpic.cn/mmbiz_png/41FzlIA3BAWJblpfs7z25pCeTTJegtmBxmkpCoTulWDDic8KkmYSiaicr5u1KJqibzV9BhulXvyXhhDYSzZjYGPDbw/640?wx_fmt=png&amp;tp=wxpic&amp;wxfrom=5&amp;wx_lazy=1#imgIndex=62"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B2EE5BB" wp14:editId="4C2A7E9E">
            <wp:extent cx="5274310" cy="3197225"/>
            <wp:effectExtent l="0" t="0" r="0" b="3175"/>
            <wp:docPr id="1200184963" name="图片 4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图片"/>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319722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1A73BC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 </w:t>
      </w:r>
    </w:p>
    <w:p w14:paraId="07AD22A1" w14:textId="77777777" w:rsidR="0082515D" w:rsidRPr="0082515D" w:rsidRDefault="0082515D" w:rsidP="0082515D">
      <w:pPr>
        <w:widowControl/>
        <w:jc w:val="left"/>
        <w:rPr>
          <w:rFonts w:ascii="宋体" w:eastAsia="宋体" w:hAnsi="宋体" w:cs="宋体"/>
          <w:kern w:val="0"/>
          <w:sz w:val="24"/>
          <w14:ligatures w14:val="none"/>
        </w:rPr>
      </w:pPr>
    </w:p>
    <w:p w14:paraId="18162C1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我们基于相关性统计以及因子构建逻辑，大致将资金流因子分为以下两类：大小单资金流向因子、开盘/尾盘资金流向因子。</w:t>
      </w:r>
    </w:p>
    <w:p w14:paraId="25A65D24" w14:textId="77777777" w:rsidR="0082515D" w:rsidRPr="0082515D" w:rsidRDefault="0082515D" w:rsidP="0082515D">
      <w:pPr>
        <w:widowControl/>
        <w:jc w:val="left"/>
        <w:rPr>
          <w:rFonts w:ascii="宋体" w:eastAsia="宋体" w:hAnsi="宋体" w:cs="宋体"/>
          <w:kern w:val="0"/>
          <w:sz w:val="24"/>
          <w14:ligatures w14:val="none"/>
        </w:rPr>
      </w:pPr>
    </w:p>
    <w:p w14:paraId="7A4FE3B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color w:val="640000"/>
          <w:kern w:val="0"/>
          <w:sz w:val="23"/>
          <w:szCs w:val="23"/>
          <w14:ligatures w14:val="none"/>
        </w:rPr>
        <w:t> </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大小单资金流向因子</w:t>
      </w:r>
      <w:r w:rsidRPr="0082515D">
        <w:rPr>
          <w:rFonts w:ascii="宋体" w:eastAsia="宋体" w:hAnsi="宋体" w:cs="宋体"/>
          <w:kern w:val="0"/>
          <w:sz w:val="23"/>
          <w:szCs w:val="23"/>
          <w14:ligatures w14:val="none"/>
        </w:rPr>
        <w:t>指的是基于wind定义的超大单、大单、中单、小单所构建的资金流向因子，其中，超大单指的是单笔100万元以上的订单；大单指单笔20-100万元的订单；中单指的是4-20万元的订单；小单指的是4万元以下的订单。从订单总金额来看，绝大部分订单属于大单和小单，超大单和中单的数量都相对较少。从因子有效性角度来看，</w:t>
      </w:r>
      <w:r w:rsidRPr="0082515D">
        <w:rPr>
          <w:rFonts w:ascii="宋体" w:eastAsia="宋体" w:hAnsi="宋体" w:cs="宋体"/>
          <w:b/>
          <w:bCs/>
          <w:kern w:val="0"/>
          <w:sz w:val="23"/>
          <w:szCs w:val="23"/>
          <w14:ligatures w14:val="none"/>
        </w:rPr>
        <w:t>大单买入因子（</w:t>
      </w:r>
      <w:proofErr w:type="spellStart"/>
      <w:r w:rsidRPr="0082515D">
        <w:rPr>
          <w:rFonts w:ascii="宋体" w:eastAsia="宋体" w:hAnsi="宋体" w:cs="宋体"/>
          <w:b/>
          <w:bCs/>
          <w:kern w:val="0"/>
          <w:sz w:val="23"/>
          <w:szCs w:val="23"/>
          <w14:ligatures w14:val="none"/>
        </w:rPr>
        <w:t>buy_shift_dist_l</w:t>
      </w:r>
      <w:proofErr w:type="spellEnd"/>
      <w:r w:rsidRPr="0082515D">
        <w:rPr>
          <w:rFonts w:ascii="宋体" w:eastAsia="宋体" w:hAnsi="宋体" w:cs="宋体"/>
          <w:b/>
          <w:bCs/>
          <w:kern w:val="0"/>
          <w:sz w:val="23"/>
          <w:szCs w:val="23"/>
          <w14:ligatures w14:val="none"/>
        </w:rPr>
        <w:t>）具有正向预测能力，</w:t>
      </w:r>
      <w:r w:rsidRPr="0082515D">
        <w:rPr>
          <w:rFonts w:ascii="宋体" w:eastAsia="宋体" w:hAnsi="宋体" w:cs="宋体"/>
          <w:kern w:val="0"/>
          <w:sz w:val="23"/>
          <w:szCs w:val="23"/>
          <w14:ligatures w14:val="none"/>
        </w:rPr>
        <w:t>全市场IC_IR达0.78；</w:t>
      </w:r>
      <w:r w:rsidRPr="0082515D">
        <w:rPr>
          <w:rFonts w:ascii="宋体" w:eastAsia="宋体" w:hAnsi="宋体" w:cs="宋体"/>
          <w:b/>
          <w:bCs/>
          <w:kern w:val="0"/>
          <w:sz w:val="23"/>
          <w:szCs w:val="23"/>
          <w14:ligatures w14:val="none"/>
        </w:rPr>
        <w:t>小单主动买入因子（</w:t>
      </w:r>
      <w:proofErr w:type="spellStart"/>
      <w:r w:rsidRPr="0082515D">
        <w:rPr>
          <w:rFonts w:ascii="宋体" w:eastAsia="宋体" w:hAnsi="宋体" w:cs="宋体"/>
          <w:b/>
          <w:bCs/>
          <w:kern w:val="0"/>
          <w:sz w:val="23"/>
          <w:szCs w:val="23"/>
          <w14:ligatures w14:val="none"/>
        </w:rPr>
        <w:t>act_buy_shift_dist_s</w:t>
      </w:r>
      <w:proofErr w:type="spellEnd"/>
      <w:r w:rsidRPr="0082515D">
        <w:rPr>
          <w:rFonts w:ascii="宋体" w:eastAsia="宋体" w:hAnsi="宋体" w:cs="宋体"/>
          <w:b/>
          <w:bCs/>
          <w:kern w:val="0"/>
          <w:sz w:val="23"/>
          <w:szCs w:val="23"/>
          <w14:ligatures w14:val="none"/>
        </w:rPr>
        <w:t>）具有负向的预测效果</w:t>
      </w:r>
      <w:r w:rsidRPr="0082515D">
        <w:rPr>
          <w:rFonts w:ascii="宋体" w:eastAsia="宋体" w:hAnsi="宋体" w:cs="宋体"/>
          <w:kern w:val="0"/>
          <w:sz w:val="23"/>
          <w:szCs w:val="23"/>
          <w14:ligatures w14:val="none"/>
        </w:rPr>
        <w:t>，全市场IC_IR为-0.46。这一结果与直观理解相近，</w:t>
      </w:r>
      <w:r w:rsidRPr="0082515D">
        <w:rPr>
          <w:rFonts w:ascii="宋体" w:eastAsia="宋体" w:hAnsi="宋体" w:cs="宋体"/>
          <w:b/>
          <w:bCs/>
          <w:kern w:val="0"/>
          <w:sz w:val="23"/>
          <w:szCs w:val="23"/>
          <w14:ligatures w14:val="none"/>
        </w:rPr>
        <w:t>大单更多表征较为理性的机构观点，而小单则主要代表相对非理性的观点。</w:t>
      </w:r>
      <w:r w:rsidRPr="0082515D">
        <w:rPr>
          <w:rFonts w:ascii="宋体" w:eastAsia="宋体" w:hAnsi="宋体" w:cs="宋体"/>
          <w:kern w:val="0"/>
          <w:sz w:val="23"/>
          <w:szCs w:val="23"/>
          <w14:ligatures w14:val="none"/>
        </w:rPr>
        <w:t>但超大单买</w:t>
      </w:r>
      <w:r w:rsidRPr="0082515D">
        <w:rPr>
          <w:rFonts w:ascii="宋体" w:eastAsia="宋体" w:hAnsi="宋体" w:cs="宋体"/>
          <w:kern w:val="0"/>
          <w:sz w:val="23"/>
          <w:szCs w:val="23"/>
          <w14:ligatures w14:val="none"/>
        </w:rPr>
        <w:lastRenderedPageBreak/>
        <w:t>入因子（</w:t>
      </w:r>
      <w:proofErr w:type="spellStart"/>
      <w:r w:rsidRPr="0082515D">
        <w:rPr>
          <w:rFonts w:ascii="宋体" w:eastAsia="宋体" w:hAnsi="宋体" w:cs="宋体"/>
          <w:kern w:val="0"/>
          <w:sz w:val="23"/>
          <w:szCs w:val="23"/>
          <w14:ligatures w14:val="none"/>
        </w:rPr>
        <w:t>buy_shift_dist_xl</w:t>
      </w:r>
      <w:proofErr w:type="spellEnd"/>
      <w:r w:rsidRPr="0082515D">
        <w:rPr>
          <w:rFonts w:ascii="宋体" w:eastAsia="宋体" w:hAnsi="宋体" w:cs="宋体"/>
          <w:kern w:val="0"/>
          <w:sz w:val="23"/>
          <w:szCs w:val="23"/>
          <w14:ligatures w14:val="none"/>
        </w:rPr>
        <w:t>）方向则与直观理解存在差异，全市场范围内IC_IR为-0.58，表明超大单买入越多，未来收益表现越弱。</w:t>
      </w:r>
    </w:p>
    <w:p w14:paraId="65DEC292" w14:textId="77777777" w:rsidR="0082515D" w:rsidRPr="0082515D" w:rsidRDefault="0082515D" w:rsidP="0082515D">
      <w:pPr>
        <w:widowControl/>
        <w:jc w:val="left"/>
        <w:rPr>
          <w:rFonts w:ascii="宋体" w:eastAsia="宋体" w:hAnsi="宋体" w:cs="宋体"/>
          <w:kern w:val="0"/>
          <w:sz w:val="24"/>
          <w14:ligatures w14:val="none"/>
        </w:rPr>
      </w:pPr>
    </w:p>
    <w:p w14:paraId="2DDB453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kern w:val="0"/>
          <w:sz w:val="23"/>
          <w:szCs w:val="23"/>
          <w14:ligatures w14:val="none"/>
        </w:rPr>
        <w:t xml:space="preserve">  </w:t>
      </w:r>
      <w:r w:rsidRPr="0082515D">
        <w:rPr>
          <w:rFonts w:ascii="宋体" w:eastAsia="宋体" w:hAnsi="宋体" w:cs="宋体"/>
          <w:b/>
          <w:bCs/>
          <w:kern w:val="0"/>
          <w:sz w:val="23"/>
          <w:szCs w:val="23"/>
          <w14:ligatures w14:val="none"/>
        </w:rPr>
        <w:t>开盘/尾盘资金流向因子</w:t>
      </w:r>
      <w:r w:rsidRPr="0082515D">
        <w:rPr>
          <w:rFonts w:ascii="宋体" w:eastAsia="宋体" w:hAnsi="宋体" w:cs="宋体"/>
          <w:kern w:val="0"/>
          <w:sz w:val="23"/>
          <w:szCs w:val="23"/>
          <w14:ligatures w14:val="none"/>
        </w:rPr>
        <w:t>指的是上午10点前和下午14点30后的资金流向所构建的因子。从因子有效性角度来看，上午10点前的资金流向因子有效性优于下午14点30后的资金流向因子。尤其可关注开盘大单买入因子（</w:t>
      </w:r>
      <w:proofErr w:type="spellStart"/>
      <w:r w:rsidRPr="0082515D">
        <w:rPr>
          <w:rFonts w:ascii="宋体" w:eastAsia="宋体" w:hAnsi="宋体" w:cs="宋体"/>
          <w:kern w:val="0"/>
          <w:sz w:val="23"/>
          <w:szCs w:val="23"/>
          <w14:ligatures w14:val="none"/>
        </w:rPr>
        <w:t>inflow_shift_dist_open_l</w:t>
      </w:r>
      <w:proofErr w:type="spellEnd"/>
      <w:r w:rsidRPr="0082515D">
        <w:rPr>
          <w:rFonts w:ascii="宋体" w:eastAsia="宋体" w:hAnsi="宋体" w:cs="宋体"/>
          <w:kern w:val="0"/>
          <w:sz w:val="23"/>
          <w:szCs w:val="23"/>
          <w14:ligatures w14:val="none"/>
        </w:rPr>
        <w:t>），该因子在全市场、沪深300、中证500、中证1000范围内选股有效性均较强，分组单调性也较好。</w:t>
      </w:r>
    </w:p>
    <w:p w14:paraId="4FFB1137" w14:textId="77777777" w:rsidR="0082515D" w:rsidRPr="0082515D" w:rsidRDefault="0082515D" w:rsidP="0082515D">
      <w:pPr>
        <w:widowControl/>
        <w:jc w:val="left"/>
        <w:rPr>
          <w:rFonts w:ascii="宋体" w:eastAsia="宋体" w:hAnsi="宋体" w:cs="宋体"/>
          <w:kern w:val="0"/>
          <w:sz w:val="24"/>
          <w14:ligatures w14:val="none"/>
        </w:rPr>
      </w:pPr>
    </w:p>
    <w:p w14:paraId="6DD05AB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综上所述，我们认为开盘大单买入因子（</w:t>
      </w:r>
      <w:proofErr w:type="spellStart"/>
      <w:r w:rsidRPr="0082515D">
        <w:rPr>
          <w:rFonts w:ascii="宋体" w:eastAsia="宋体" w:hAnsi="宋体" w:cs="宋体"/>
          <w:b/>
          <w:bCs/>
          <w:kern w:val="0"/>
          <w:sz w:val="23"/>
          <w:szCs w:val="23"/>
          <w14:ligatures w14:val="none"/>
        </w:rPr>
        <w:t>inflow_shift_dist_open_l</w:t>
      </w:r>
      <w:proofErr w:type="spellEnd"/>
      <w:r w:rsidRPr="0082515D">
        <w:rPr>
          <w:rFonts w:ascii="宋体" w:eastAsia="宋体" w:hAnsi="宋体" w:cs="宋体"/>
          <w:b/>
          <w:bCs/>
          <w:kern w:val="0"/>
          <w:sz w:val="23"/>
          <w:szCs w:val="23"/>
          <w14:ligatures w14:val="none"/>
        </w:rPr>
        <w:t>）、大单买入因子（</w:t>
      </w:r>
      <w:proofErr w:type="spellStart"/>
      <w:r w:rsidRPr="0082515D">
        <w:rPr>
          <w:rFonts w:ascii="宋体" w:eastAsia="宋体" w:hAnsi="宋体" w:cs="宋体"/>
          <w:b/>
          <w:bCs/>
          <w:kern w:val="0"/>
          <w:sz w:val="23"/>
          <w:szCs w:val="23"/>
          <w14:ligatures w14:val="none"/>
        </w:rPr>
        <w:t>buy_shift_dist_l</w:t>
      </w:r>
      <w:proofErr w:type="spellEnd"/>
      <w:r w:rsidRPr="0082515D">
        <w:rPr>
          <w:rFonts w:ascii="宋体" w:eastAsia="宋体" w:hAnsi="宋体" w:cs="宋体"/>
          <w:b/>
          <w:bCs/>
          <w:kern w:val="0"/>
          <w:sz w:val="23"/>
          <w:szCs w:val="23"/>
          <w14:ligatures w14:val="none"/>
        </w:rPr>
        <w:t>）、小单主动买入因子（</w:t>
      </w:r>
      <w:proofErr w:type="spellStart"/>
      <w:r w:rsidRPr="0082515D">
        <w:rPr>
          <w:rFonts w:ascii="宋体" w:eastAsia="宋体" w:hAnsi="宋体" w:cs="宋体"/>
          <w:b/>
          <w:bCs/>
          <w:kern w:val="0"/>
          <w:sz w:val="23"/>
          <w:szCs w:val="23"/>
          <w14:ligatures w14:val="none"/>
        </w:rPr>
        <w:t>act_buy_shift_dist_s</w:t>
      </w:r>
      <w:proofErr w:type="spellEnd"/>
      <w:r w:rsidRPr="0082515D">
        <w:rPr>
          <w:rFonts w:ascii="宋体" w:eastAsia="宋体" w:hAnsi="宋体" w:cs="宋体"/>
          <w:b/>
          <w:bCs/>
          <w:kern w:val="0"/>
          <w:sz w:val="23"/>
          <w:szCs w:val="23"/>
          <w14:ligatures w14:val="none"/>
        </w:rPr>
        <w:t>）在大部分选股域表现均较好，值得关注。</w:t>
      </w:r>
    </w:p>
    <w:p w14:paraId="6D345832" w14:textId="77777777" w:rsidR="0082515D" w:rsidRPr="0082515D" w:rsidRDefault="0082515D" w:rsidP="0082515D">
      <w:pPr>
        <w:widowControl/>
        <w:jc w:val="left"/>
        <w:rPr>
          <w:rFonts w:ascii="宋体" w:eastAsia="宋体" w:hAnsi="宋体" w:cs="宋体"/>
          <w:kern w:val="0"/>
          <w:sz w:val="24"/>
          <w14:ligatures w14:val="none"/>
        </w:rPr>
      </w:pPr>
    </w:p>
    <w:p w14:paraId="0C2867D5" w14:textId="77777777" w:rsidR="0082515D" w:rsidRPr="0082515D" w:rsidRDefault="0082515D" w:rsidP="0082515D">
      <w:pPr>
        <w:widowControl/>
        <w:jc w:val="left"/>
        <w:rPr>
          <w:rFonts w:ascii="宋体" w:eastAsia="宋体" w:hAnsi="宋体" w:cs="宋体"/>
          <w:kern w:val="0"/>
          <w:sz w:val="24"/>
          <w14:ligatures w14:val="none"/>
        </w:rPr>
      </w:pPr>
    </w:p>
    <w:p w14:paraId="05241EF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图表65：资金流因子在全市场范围内的有效性检验结果</w:t>
      </w:r>
    </w:p>
    <w:p w14:paraId="55C583C2" w14:textId="30FE700C"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"https://mmbiz.qpic.cn/mmbiz_png/41FzlIA3BAWJblpfs7z25pCeTTJegtmBnq8wF2tpaPAibghFxv8flicLst6B2ssDxhhFwCGE5KvgdYIxgEEBG7dg/640?wx_fmt=png&amp;tp=wxpic&amp;wxfrom=5&amp;wx_lazy=1#imgIndex=63"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12FFBA4" wp14:editId="7C0A44CD">
            <wp:extent cx="5274310" cy="3327400"/>
            <wp:effectExtent l="0" t="0" r="0" b="0"/>
            <wp:docPr id="1446372263" name="图片 4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图片"/>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4310" cy="332740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55C9DF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（注：统计时间为2012-02-01至2022-06-30；超额收益的比较基准为全市场等权指数）</w:t>
      </w:r>
    </w:p>
    <w:p w14:paraId="1D25DE0F" w14:textId="77777777" w:rsidR="0082515D" w:rsidRPr="0082515D" w:rsidRDefault="0082515D" w:rsidP="0082515D">
      <w:pPr>
        <w:widowControl/>
        <w:jc w:val="left"/>
        <w:rPr>
          <w:rFonts w:ascii="宋体" w:eastAsia="宋体" w:hAnsi="宋体" w:cs="宋体"/>
          <w:kern w:val="0"/>
          <w:sz w:val="24"/>
          <w14:ligatures w14:val="none"/>
        </w:rPr>
      </w:pPr>
    </w:p>
    <w:p w14:paraId="50C4B58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图表66：全市场范围内表现相对较好的资金流因子之间的相关性统计</w:t>
      </w:r>
    </w:p>
    <w:p w14:paraId="25759C5E" w14:textId="764E32B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"https://mmbiz.qpic.cn/mmbiz_png/41FzlIA3BAWJblpfs7z25pCeTTJegtmBdFze2Ru12bBhBARrXupb2lG6QuYPA64WENqsicxuoHria2yR8kSRzWLg/640?wx_fmt=png&amp;tp=wxpic&amp;wxfrom=5&amp;wx_lazy=1#imgIndex=64"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8D5B212" wp14:editId="2A28B255">
            <wp:extent cx="5274310" cy="1328420"/>
            <wp:effectExtent l="0" t="0" r="0" b="5080"/>
            <wp:docPr id="84863974" name="图片 4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图片"/>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13284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BFC9A3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 （注：统计时间为2012-02-01至2022-06-30）</w:t>
      </w:r>
    </w:p>
    <w:p w14:paraId="14B40DB0" w14:textId="77777777" w:rsidR="0082515D" w:rsidRPr="0082515D" w:rsidRDefault="0082515D" w:rsidP="0082515D">
      <w:pPr>
        <w:widowControl/>
        <w:jc w:val="left"/>
        <w:rPr>
          <w:rFonts w:ascii="宋体" w:eastAsia="宋体" w:hAnsi="宋体" w:cs="宋体"/>
          <w:kern w:val="0"/>
          <w:sz w:val="24"/>
          <w14:ligatures w14:val="none"/>
        </w:rPr>
      </w:pPr>
    </w:p>
    <w:p w14:paraId="5A7DE22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图表67：资金流因子在沪深300范围内的有效性检验结果</w:t>
      </w:r>
    </w:p>
    <w:p w14:paraId="2A596AAD" w14:textId="091250B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"https://mmbiz.qpic.cn/mmbiz_png/41FzlIA3BAWJblpfs7z25pCeTTJegtmBH0iadRwOd3micex2uWC2WkibzodmKHMiczlGQ3qeIbsiaiaTuWiaGtoqibS1icA/640?wx_fmt=png&amp;tp=wxpic&amp;wxfrom=5&amp;wx_lazy=1#imgIndex=65"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91D412C" wp14:editId="3060B526">
            <wp:extent cx="5274310" cy="3305810"/>
            <wp:effectExtent l="0" t="0" r="0" b="0"/>
            <wp:docPr id="1230315055" name="图片 3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图片"/>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330581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35E426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（注：统计时间为2012-02-01至2022-06-30；超额收益的比较基准为沪深300等权指数000984.CSI）</w:t>
      </w:r>
    </w:p>
    <w:p w14:paraId="1225E47A" w14:textId="77777777" w:rsidR="0082515D" w:rsidRPr="0082515D" w:rsidRDefault="0082515D" w:rsidP="0082515D">
      <w:pPr>
        <w:widowControl/>
        <w:jc w:val="left"/>
        <w:rPr>
          <w:rFonts w:ascii="宋体" w:eastAsia="宋体" w:hAnsi="宋体" w:cs="宋体"/>
          <w:kern w:val="0"/>
          <w:sz w:val="24"/>
          <w14:ligatures w14:val="none"/>
        </w:rPr>
      </w:pPr>
    </w:p>
    <w:p w14:paraId="52BAD03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图表68：资金流因子在中证500范围内的有效性检验结果</w:t>
      </w:r>
    </w:p>
    <w:p w14:paraId="63D3D601" w14:textId="049B89C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"https://mmbiz.qpic.cn/mmbiz_png/41FzlIA3BAWJblpfs7z25pCeTTJegtmBwPf3B00pnkOUxfzjt1e7hT8gSrkwHJico5ScZJB4hu0NvKyf6ticFicUQ/640?wx_fmt=png&amp;tp=wxpic&amp;wxfrom=5&amp;wx_lazy=1#imgIndex=66"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259E64A" wp14:editId="05681287">
            <wp:extent cx="5274310" cy="3305810"/>
            <wp:effectExtent l="0" t="0" r="0" b="0"/>
            <wp:docPr id="186266740" name="图片 3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图片"/>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330581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0C5CB6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（注：统计时间为2012-02-01至2022-06-30；超额收益的比较基准为中证500等权指数000982.SH）</w:t>
      </w:r>
    </w:p>
    <w:p w14:paraId="4F188BCD" w14:textId="77777777" w:rsidR="0082515D" w:rsidRPr="0082515D" w:rsidRDefault="0082515D" w:rsidP="0082515D">
      <w:pPr>
        <w:widowControl/>
        <w:jc w:val="left"/>
        <w:rPr>
          <w:rFonts w:ascii="宋体" w:eastAsia="宋体" w:hAnsi="宋体" w:cs="宋体"/>
          <w:kern w:val="0"/>
          <w:sz w:val="24"/>
          <w14:ligatures w14:val="none"/>
        </w:rPr>
      </w:pPr>
    </w:p>
    <w:p w14:paraId="7BB8147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图表69：资金流因子在中证1000范围内的有效性检验结果</w:t>
      </w:r>
    </w:p>
    <w:p w14:paraId="5FF5B64D" w14:textId="1C896EB3"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"https://mmbiz.qpic.cn/mmbiz_png/41FzlIA3BAWJblpfs7z25pCeTTJegtmB6kLScYOibmyRGOyxKxBia0beYZFX8icUBjRicFPI6KoHcZpB3wmJM76jWQ/640?wx_fmt=png&amp;tp=wxpic&amp;wxfrom=5&amp;wx_lazy=1#imgIndex=67"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DE46C4B" wp14:editId="0D65FC36">
            <wp:extent cx="5274310" cy="3295015"/>
            <wp:effectExtent l="0" t="0" r="0" b="0"/>
            <wp:docPr id="541055716"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图片"/>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29501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05F941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1DC13AAE" w14:textId="77777777" w:rsidR="0082515D" w:rsidRPr="0082515D" w:rsidRDefault="0082515D" w:rsidP="0082515D">
      <w:pPr>
        <w:widowControl/>
        <w:jc w:val="left"/>
        <w:rPr>
          <w:rFonts w:ascii="宋体" w:eastAsia="宋体" w:hAnsi="宋体" w:cs="宋体"/>
          <w:kern w:val="0"/>
          <w:sz w:val="24"/>
          <w14:ligatures w14:val="none"/>
        </w:rPr>
      </w:pPr>
    </w:p>
    <w:p w14:paraId="18F4F683" w14:textId="77777777" w:rsidR="0082515D" w:rsidRPr="0082515D" w:rsidRDefault="0082515D" w:rsidP="0082515D">
      <w:pPr>
        <w:widowControl/>
        <w:jc w:val="left"/>
        <w:rPr>
          <w:rFonts w:ascii="宋体" w:eastAsia="宋体" w:hAnsi="宋体" w:cs="宋体"/>
          <w:kern w:val="0"/>
          <w:sz w:val="24"/>
          <w14:ligatures w14:val="none"/>
        </w:rPr>
      </w:pPr>
    </w:p>
    <w:p w14:paraId="08A1B624"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4"/>
          <w14:ligatures w14:val="none"/>
        </w:rPr>
        <w:t>buy_shift_dist_l</w:t>
      </w:r>
      <w:proofErr w:type="spellEnd"/>
      <w:r w:rsidRPr="0082515D">
        <w:rPr>
          <w:rFonts w:ascii="宋体" w:eastAsia="宋体" w:hAnsi="宋体" w:cs="宋体"/>
          <w:b/>
          <w:bCs/>
          <w:kern w:val="0"/>
          <w:sz w:val="24"/>
          <w14:ligatures w14:val="none"/>
        </w:rPr>
        <w:t>因子多头组合在各个宽基指数范围内均有显著超额收益</w:t>
      </w:r>
    </w:p>
    <w:p w14:paraId="3ED53F8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沪深300范围内，资金流因子多头组合长期可贡献超额收益，如：</w:t>
      </w:r>
      <w:proofErr w:type="spellStart"/>
      <w:r w:rsidRPr="0082515D">
        <w:rPr>
          <w:rFonts w:ascii="宋体" w:eastAsia="宋体" w:hAnsi="宋体" w:cs="宋体"/>
          <w:b/>
          <w:bCs/>
          <w:kern w:val="0"/>
          <w:sz w:val="24"/>
          <w14:ligatures w14:val="none"/>
        </w:rPr>
        <w:t>buy_shift_dist</w:t>
      </w:r>
      <w:proofErr w:type="spellEnd"/>
      <w:r w:rsidRPr="0082515D">
        <w:rPr>
          <w:rFonts w:ascii="宋体" w:eastAsia="宋体" w:hAnsi="宋体" w:cs="宋体"/>
          <w:b/>
          <w:bCs/>
          <w:kern w:val="0"/>
          <w:sz w:val="24"/>
          <w14:ligatures w14:val="none"/>
        </w:rPr>
        <w:t xml:space="preserve"> _l和</w:t>
      </w:r>
      <w:proofErr w:type="spellStart"/>
      <w:r w:rsidRPr="0082515D">
        <w:rPr>
          <w:rFonts w:ascii="宋体" w:eastAsia="宋体" w:hAnsi="宋体" w:cs="宋体"/>
          <w:b/>
          <w:bCs/>
          <w:kern w:val="0"/>
          <w:sz w:val="24"/>
          <w14:ligatures w14:val="none"/>
        </w:rPr>
        <w:t>inflow_rate_open_l</w:t>
      </w:r>
      <w:proofErr w:type="spellEnd"/>
      <w:r w:rsidRPr="0082515D">
        <w:rPr>
          <w:rFonts w:ascii="宋体" w:eastAsia="宋体" w:hAnsi="宋体" w:cs="宋体"/>
          <w:b/>
          <w:bCs/>
          <w:kern w:val="0"/>
          <w:sz w:val="24"/>
          <w14:ligatures w14:val="none"/>
        </w:rPr>
        <w:t>。</w:t>
      </w:r>
      <w:r w:rsidRPr="0082515D">
        <w:rPr>
          <w:rFonts w:ascii="宋体" w:eastAsia="宋体" w:hAnsi="宋体" w:cs="宋体"/>
          <w:kern w:val="0"/>
          <w:sz w:val="24"/>
          <w14:ligatures w14:val="none"/>
        </w:rPr>
        <w:t>但从多头组合相对净值表现来看，该类因子仍存在阶段性失效的可能，如2018-2019年，该因子相对净值基本跑平，无明显超额收益。</w:t>
      </w:r>
    </w:p>
    <w:p w14:paraId="15F3A7BE" w14:textId="77777777" w:rsidR="0082515D" w:rsidRPr="0082515D" w:rsidRDefault="0082515D" w:rsidP="0082515D">
      <w:pPr>
        <w:widowControl/>
        <w:jc w:val="left"/>
        <w:rPr>
          <w:rFonts w:ascii="宋体" w:eastAsia="宋体" w:hAnsi="宋体" w:cs="宋体"/>
          <w:kern w:val="0"/>
          <w:sz w:val="24"/>
          <w14:ligatures w14:val="none"/>
        </w:rPr>
      </w:pPr>
    </w:p>
    <w:p w14:paraId="3F76DB3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图表70：沪深300范围内表现较好的资金流因子多头组合相对净值</w:t>
      </w:r>
    </w:p>
    <w:p w14:paraId="4DC5D4B4" w14:textId="6DCB952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"https://mmbiz.qpic.cn/mmbiz_png/41FzlIA3BAWJblpfs7z25pCeTTJegtmBzWj7p4IXibGUCYF6mKNtxxhfGg0FP8EhqJqJPWJPnWQOUK0ib751hJAA/640?wx_fmt=png&amp;tp=wxpic&amp;wxfrom=5&amp;wx_lazy=1#imgIndex=68"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F1B30B1" wp14:editId="1C832267">
            <wp:extent cx="5274310" cy="2668905"/>
            <wp:effectExtent l="0" t="0" r="0" b="0"/>
            <wp:docPr id="531278981" name="图片 3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图片"/>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26689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97DEEE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 </w:t>
      </w:r>
    </w:p>
    <w:p w14:paraId="2F431B3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注：1）统计时间为2012-02-01至2022-06-30；2）相对净值的比较基准为沪深300等权指数000984.CSI</w:t>
      </w:r>
    </w:p>
    <w:p w14:paraId="3C78CEA6" w14:textId="77777777" w:rsidR="0082515D" w:rsidRPr="0082515D" w:rsidRDefault="0082515D" w:rsidP="0082515D">
      <w:pPr>
        <w:widowControl/>
        <w:jc w:val="left"/>
        <w:rPr>
          <w:rFonts w:ascii="宋体" w:eastAsia="宋体" w:hAnsi="宋体" w:cs="宋体"/>
          <w:kern w:val="0"/>
          <w:sz w:val="24"/>
          <w14:ligatures w14:val="none"/>
        </w:rPr>
      </w:pPr>
    </w:p>
    <w:p w14:paraId="019C87D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图表71：沪深300范围内表现较好的资金流因子分组年化超额收益统计</w:t>
      </w:r>
    </w:p>
    <w:p w14:paraId="6D139B77" w14:textId="6FE281E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"https://mmbiz.qpic.cn/mmbiz_png/41FzlIA3BAWJblpfs7z25pCeTTJegtmBgFBibkMzbB9UBEib85emlJVNynDTk1lpLP538QiarzXT9NranOKbzsbRA/640?wx_fmt=png&amp;tp=wxpic&amp;wxfrom=5&amp;wx_lazy=1#imgIndex=69"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127E007" wp14:editId="4FC912C9">
            <wp:extent cx="5273675" cy="2687955"/>
            <wp:effectExtent l="0" t="0" r="0" b="4445"/>
            <wp:docPr id="1814416495" name="图片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图片"/>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3675" cy="268795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2440211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4B41395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注：1）统计时间为2012-02-01至2022-06-30；2）超额收益的比较基准为沪深300等权指数000984.CSI；3）Group1为因子值最小一组，Group10为因子值最大一组</w:t>
      </w:r>
    </w:p>
    <w:p w14:paraId="20422A08" w14:textId="77777777" w:rsidR="0082515D" w:rsidRPr="0082515D" w:rsidRDefault="0082515D" w:rsidP="0082515D">
      <w:pPr>
        <w:widowControl/>
        <w:jc w:val="left"/>
        <w:rPr>
          <w:rFonts w:ascii="宋体" w:eastAsia="宋体" w:hAnsi="宋体" w:cs="宋体"/>
          <w:kern w:val="0"/>
          <w:sz w:val="24"/>
          <w14:ligatures w14:val="none"/>
        </w:rPr>
      </w:pPr>
    </w:p>
    <w:p w14:paraId="255343C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中证500范围内，</w:t>
      </w:r>
      <w:proofErr w:type="spellStart"/>
      <w:r w:rsidRPr="0082515D">
        <w:rPr>
          <w:rFonts w:ascii="宋体" w:eastAsia="宋体" w:hAnsi="宋体" w:cs="宋体"/>
          <w:b/>
          <w:bCs/>
          <w:kern w:val="0"/>
          <w:sz w:val="24"/>
          <w14:ligatures w14:val="none"/>
        </w:rPr>
        <w:t>buy_shift_dist_l</w:t>
      </w:r>
      <w:proofErr w:type="spellEnd"/>
      <w:r w:rsidRPr="0082515D">
        <w:rPr>
          <w:rFonts w:ascii="宋体" w:eastAsia="宋体" w:hAnsi="宋体" w:cs="宋体"/>
          <w:b/>
          <w:bCs/>
          <w:kern w:val="0"/>
          <w:sz w:val="24"/>
          <w14:ligatures w14:val="none"/>
        </w:rPr>
        <w:t>和</w:t>
      </w:r>
      <w:proofErr w:type="spellStart"/>
      <w:r w:rsidRPr="0082515D">
        <w:rPr>
          <w:rFonts w:ascii="宋体" w:eastAsia="宋体" w:hAnsi="宋体" w:cs="宋体"/>
          <w:b/>
          <w:bCs/>
          <w:kern w:val="0"/>
          <w:sz w:val="24"/>
          <w14:ligatures w14:val="none"/>
        </w:rPr>
        <w:t>inflow_shift_dist_open_l</w:t>
      </w:r>
      <w:proofErr w:type="spellEnd"/>
      <w:r w:rsidRPr="0082515D">
        <w:rPr>
          <w:rFonts w:ascii="宋体" w:eastAsia="宋体" w:hAnsi="宋体" w:cs="宋体"/>
          <w:b/>
          <w:bCs/>
          <w:kern w:val="0"/>
          <w:sz w:val="24"/>
          <w14:ligatures w14:val="none"/>
        </w:rPr>
        <w:t>因子的多头组合显著跑赢基准</w:t>
      </w:r>
      <w:r w:rsidRPr="0082515D">
        <w:rPr>
          <w:rFonts w:ascii="宋体" w:eastAsia="宋体" w:hAnsi="宋体" w:cs="宋体"/>
          <w:kern w:val="0"/>
          <w:sz w:val="24"/>
          <w14:ligatures w14:val="none"/>
        </w:rPr>
        <w:t>，具有较好的选股能力。而</w:t>
      </w:r>
      <w:proofErr w:type="spellStart"/>
      <w:r w:rsidRPr="0082515D">
        <w:rPr>
          <w:rFonts w:ascii="宋体" w:eastAsia="宋体" w:hAnsi="宋体" w:cs="宋体"/>
          <w:kern w:val="0"/>
          <w:sz w:val="24"/>
          <w14:ligatures w14:val="none"/>
        </w:rPr>
        <w:t>inflow_prop_open_l</w:t>
      </w:r>
      <w:proofErr w:type="spellEnd"/>
      <w:r w:rsidRPr="0082515D">
        <w:rPr>
          <w:rFonts w:ascii="宋体" w:eastAsia="宋体" w:hAnsi="宋体" w:cs="宋体"/>
          <w:kern w:val="0"/>
          <w:sz w:val="24"/>
          <w14:ligatures w14:val="none"/>
        </w:rPr>
        <w:t>和</w:t>
      </w:r>
      <w:proofErr w:type="spellStart"/>
      <w:r w:rsidRPr="0082515D">
        <w:rPr>
          <w:rFonts w:ascii="宋体" w:eastAsia="宋体" w:hAnsi="宋体" w:cs="宋体"/>
          <w:kern w:val="0"/>
          <w:sz w:val="24"/>
          <w14:ligatures w14:val="none"/>
        </w:rPr>
        <w:t>inflow_rate_open_l</w:t>
      </w:r>
      <w:proofErr w:type="spellEnd"/>
      <w:r w:rsidRPr="0082515D">
        <w:rPr>
          <w:rFonts w:ascii="宋体" w:eastAsia="宋体" w:hAnsi="宋体" w:cs="宋体"/>
          <w:kern w:val="0"/>
          <w:sz w:val="24"/>
          <w14:ligatures w14:val="none"/>
        </w:rPr>
        <w:t>因子则分组收益的单调性相对较差。</w:t>
      </w:r>
    </w:p>
    <w:p w14:paraId="065D19F2" w14:textId="77777777" w:rsidR="0082515D" w:rsidRPr="0082515D" w:rsidRDefault="0082515D" w:rsidP="0082515D">
      <w:pPr>
        <w:widowControl/>
        <w:jc w:val="left"/>
        <w:rPr>
          <w:rFonts w:ascii="宋体" w:eastAsia="宋体" w:hAnsi="宋体" w:cs="宋体"/>
          <w:kern w:val="0"/>
          <w:sz w:val="24"/>
          <w14:ligatures w14:val="none"/>
        </w:rPr>
      </w:pPr>
    </w:p>
    <w:p w14:paraId="3CB8FFC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图表72：中证500范围内表现较好的资金流因子多头组合相对净值</w:t>
      </w:r>
    </w:p>
    <w:p w14:paraId="203A3FBB" w14:textId="4FFD9B7C"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"https://mmbiz.qpic.cn/mmbiz_png/41FzlIA3BAWJblpfs7z25pCeTTJegtmBcia3cmPE2EgLruP4JLcanIHiblaXdU8jBia5fg7PicXSo7Mkbsib6Y9a4Jw/640?wx_fmt=png&amp;tp=wxpic&amp;wxfrom=5&amp;wx_lazy=1#imgIndex=70"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1CA2B55" wp14:editId="1D43E039">
            <wp:extent cx="5274310" cy="2691765"/>
            <wp:effectExtent l="0" t="0" r="0" b="635"/>
            <wp:docPr id="2062079460" name="图片 3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图片"/>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269176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5AB9DC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53CFF77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注：1）统计时间为2012-02-01至2022-06-30；2）相对净值的比较基准为中证500等权指数000982.SH</w:t>
      </w:r>
    </w:p>
    <w:p w14:paraId="6C565258" w14:textId="77777777" w:rsidR="0082515D" w:rsidRPr="0082515D" w:rsidRDefault="0082515D" w:rsidP="0082515D">
      <w:pPr>
        <w:widowControl/>
        <w:jc w:val="left"/>
        <w:rPr>
          <w:rFonts w:ascii="宋体" w:eastAsia="宋体" w:hAnsi="宋体" w:cs="宋体"/>
          <w:kern w:val="0"/>
          <w:sz w:val="24"/>
          <w14:ligatures w14:val="none"/>
        </w:rPr>
      </w:pPr>
    </w:p>
    <w:p w14:paraId="46A1F54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图表73：中证500范围内表现较好的资金流因子分组年化超额收益统计</w:t>
      </w:r>
    </w:p>
    <w:p w14:paraId="4E4C6410" w14:textId="1740669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"https://mmbiz.qpic.cn/mmbiz_png/41FzlIA3BAWJblpfs7z25pCeTTJegtmBWdLPzh2xicsQx4Jcqdu0MdhDibgdZQKZE20B5f8jOKMnqSRFAbvu7I6A/640?wx_fmt=png&amp;tp=wxpic&amp;wxfrom=5&amp;wx_lazy=1#imgIndex=71"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3ED3DF6" wp14:editId="198ED2F9">
            <wp:extent cx="5200015" cy="2715260"/>
            <wp:effectExtent l="0" t="0" r="0" b="2540"/>
            <wp:docPr id="55076736" name="图片 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图片"/>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00015" cy="27152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3A7928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EAD214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注：1）统计时间为2012-02-01至2022-06-30；2）超额收益的比较基准为中证500等权指数000982.SH；3）Group1为因子值最小一组，Group10为因子值最大一组</w:t>
      </w:r>
    </w:p>
    <w:p w14:paraId="42E291A3" w14:textId="77777777" w:rsidR="0082515D" w:rsidRPr="0082515D" w:rsidRDefault="0082515D" w:rsidP="0082515D">
      <w:pPr>
        <w:widowControl/>
        <w:jc w:val="left"/>
        <w:rPr>
          <w:rFonts w:ascii="宋体" w:eastAsia="宋体" w:hAnsi="宋体" w:cs="宋体"/>
          <w:kern w:val="0"/>
          <w:sz w:val="24"/>
          <w14:ligatures w14:val="none"/>
        </w:rPr>
      </w:pPr>
    </w:p>
    <w:p w14:paraId="08F9E2D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中证1000范围内，推荐关注</w:t>
      </w:r>
      <w:proofErr w:type="spellStart"/>
      <w:r w:rsidRPr="0082515D">
        <w:rPr>
          <w:rFonts w:ascii="宋体" w:eastAsia="宋体" w:hAnsi="宋体" w:cs="宋体"/>
          <w:b/>
          <w:bCs/>
          <w:kern w:val="0"/>
          <w:sz w:val="24"/>
          <w14:ligatures w14:val="none"/>
        </w:rPr>
        <w:t>inflow_shift_dist_open</w:t>
      </w:r>
      <w:proofErr w:type="spellEnd"/>
      <w:r w:rsidRPr="0082515D">
        <w:rPr>
          <w:rFonts w:ascii="宋体" w:eastAsia="宋体" w:hAnsi="宋体" w:cs="宋体"/>
          <w:b/>
          <w:bCs/>
          <w:kern w:val="0"/>
          <w:sz w:val="24"/>
          <w14:ligatures w14:val="none"/>
        </w:rPr>
        <w:t>因子。</w:t>
      </w:r>
      <w:r w:rsidRPr="0082515D">
        <w:rPr>
          <w:rFonts w:ascii="宋体" w:eastAsia="宋体" w:hAnsi="宋体" w:cs="宋体"/>
          <w:kern w:val="0"/>
          <w:sz w:val="24"/>
          <w14:ligatures w14:val="none"/>
        </w:rPr>
        <w:t>该因子分组单调性相对较好，多头组合显著跑赢基准，多头组合相对净值较为稳健。</w:t>
      </w:r>
    </w:p>
    <w:p w14:paraId="757F6C80" w14:textId="77777777" w:rsidR="0082515D" w:rsidRPr="0082515D" w:rsidRDefault="0082515D" w:rsidP="0082515D">
      <w:pPr>
        <w:widowControl/>
        <w:jc w:val="left"/>
        <w:rPr>
          <w:rFonts w:ascii="宋体" w:eastAsia="宋体" w:hAnsi="宋体" w:cs="宋体"/>
          <w:kern w:val="0"/>
          <w:sz w:val="24"/>
          <w14:ligatures w14:val="none"/>
        </w:rPr>
      </w:pPr>
    </w:p>
    <w:p w14:paraId="34725F0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图表74：中证1000范围内表现较好的资金流因子多头组合相对净值</w:t>
      </w:r>
    </w:p>
    <w:p w14:paraId="22B3E150" w14:textId="63E07AB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"https://mmbiz.qpic.cn/mmbiz_png/41FzlIA3BAWJblpfs7z25pCeTTJegtmByOLrZG5ia8gf4bCDvYqA3nzPNyq6z851AJ7ru48eHwuYTLIia4TCyTdA/640?wx_fmt=png&amp;tp=wxpic&amp;wxfrom=5&amp;wx_lazy=1#imgIndex=72"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F6ED74A" wp14:editId="5F5891DB">
            <wp:extent cx="5274310" cy="2668905"/>
            <wp:effectExtent l="0" t="0" r="0" b="0"/>
            <wp:docPr id="1320414589" name="图片 3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图片"/>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26689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9D7912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0DE77B6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注：1）统计时间为2014-11-01至2022-06-30；2）相对净值的比较基准为中证1000等权指数000852.SH</w:t>
      </w:r>
    </w:p>
    <w:p w14:paraId="0474EA4B" w14:textId="77777777" w:rsidR="0082515D" w:rsidRPr="0082515D" w:rsidRDefault="0082515D" w:rsidP="0082515D">
      <w:pPr>
        <w:widowControl/>
        <w:jc w:val="left"/>
        <w:rPr>
          <w:rFonts w:ascii="宋体" w:eastAsia="宋体" w:hAnsi="宋体" w:cs="宋体"/>
          <w:kern w:val="0"/>
          <w:sz w:val="24"/>
          <w14:ligatures w14:val="none"/>
        </w:rPr>
      </w:pPr>
    </w:p>
    <w:p w14:paraId="144CFF9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图表75：中证1000范围内表现较好的资金流因子分组年化超额收益统计</w:t>
      </w:r>
    </w:p>
    <w:p w14:paraId="68F6DEA2" w14:textId="48EA9FA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"https://mmbiz.qpic.cn/mmbiz_png/41FzlIA3BAWJblpfs7z25pCeTTJegtmBzva8uk3S0G0kduao2xricSZ8qUThpRFVbgKD5n8zoU7VeQUlgv9wPCg/640?wx_fmt=png&amp;tp=wxpic&amp;wxfrom=5&amp;wx_lazy=1#imgIndex=73"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A461251" wp14:editId="49E09CC2">
            <wp:extent cx="5246370" cy="2687955"/>
            <wp:effectExtent l="0" t="0" r="0" b="4445"/>
            <wp:docPr id="1754673285" name="图片 3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图片"/>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46370" cy="268795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1C7DA5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4B0F641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注：1）统计时间为2014-11-01至2022-06-30；2）超额收益的比较基准为中证1000指数000852.SH；3）Group1为因子值最小一组，Group10为因子值最大一组</w:t>
      </w:r>
    </w:p>
    <w:p w14:paraId="287F9A34" w14:textId="77777777" w:rsidR="0082515D" w:rsidRPr="0082515D" w:rsidRDefault="0082515D" w:rsidP="0082515D">
      <w:pPr>
        <w:widowControl/>
        <w:jc w:val="left"/>
        <w:rPr>
          <w:rFonts w:ascii="宋体" w:eastAsia="宋体" w:hAnsi="宋体" w:cs="宋体"/>
          <w:kern w:val="0"/>
          <w:sz w:val="24"/>
          <w14:ligatures w14:val="none"/>
        </w:rPr>
      </w:pPr>
    </w:p>
    <w:p w14:paraId="424B7A2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北向资金流</w:t>
      </w:r>
    </w:p>
    <w:p w14:paraId="649B26E0" w14:textId="77777777" w:rsidR="0082515D" w:rsidRPr="0082515D" w:rsidRDefault="0082515D" w:rsidP="0082515D">
      <w:pPr>
        <w:widowControl/>
        <w:jc w:val="left"/>
        <w:rPr>
          <w:rFonts w:ascii="宋体" w:eastAsia="宋体" w:hAnsi="宋体" w:cs="宋体"/>
          <w:kern w:val="0"/>
          <w:sz w:val="24"/>
          <w14:ligatures w14:val="none"/>
        </w:rPr>
      </w:pPr>
    </w:p>
    <w:p w14:paraId="2F2F5C5B"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4"/>
          <w14:ligatures w14:val="none"/>
        </w:rPr>
        <w:t>north_hold_prop</w:t>
      </w:r>
      <w:proofErr w:type="spellEnd"/>
      <w:r w:rsidRPr="0082515D">
        <w:rPr>
          <w:rFonts w:ascii="宋体" w:eastAsia="宋体" w:hAnsi="宋体" w:cs="宋体"/>
          <w:b/>
          <w:bCs/>
          <w:kern w:val="0"/>
          <w:sz w:val="24"/>
          <w14:ligatures w14:val="none"/>
        </w:rPr>
        <w:t>和</w:t>
      </w:r>
      <w:proofErr w:type="spellStart"/>
      <w:r w:rsidRPr="0082515D">
        <w:rPr>
          <w:rFonts w:ascii="宋体" w:eastAsia="宋体" w:hAnsi="宋体" w:cs="宋体"/>
          <w:b/>
          <w:bCs/>
          <w:kern w:val="0"/>
          <w:sz w:val="24"/>
          <w14:ligatures w14:val="none"/>
        </w:rPr>
        <w:t>north_hold_prefer_lt_chg</w:t>
      </w:r>
      <w:proofErr w:type="spellEnd"/>
      <w:r w:rsidRPr="0082515D">
        <w:rPr>
          <w:rFonts w:ascii="宋体" w:eastAsia="宋体" w:hAnsi="宋体" w:cs="宋体"/>
          <w:b/>
          <w:bCs/>
          <w:kern w:val="0"/>
          <w:sz w:val="24"/>
          <w14:ligatures w14:val="none"/>
        </w:rPr>
        <w:t>因子全市场有效性较好</w:t>
      </w:r>
    </w:p>
    <w:p w14:paraId="46F6E80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北向资金流因子主要刻画陆股通的持仓偏好情况，该类因子的有效性须建立在陆股通通道的投资者多为理性投资者的基础上，</w:t>
      </w:r>
      <w:r w:rsidRPr="0082515D">
        <w:rPr>
          <w:rFonts w:ascii="宋体" w:eastAsia="宋体" w:hAnsi="宋体" w:cs="宋体"/>
          <w:kern w:val="0"/>
          <w:sz w:val="24"/>
          <w14:ligatures w14:val="none"/>
        </w:rPr>
        <w:t>通过跟随“聪明资金”获取额外收益。我们利用陆股通持仓信息构建了9个北向资金流因子，并进行了有效性检验。</w:t>
      </w:r>
    </w:p>
    <w:p w14:paraId="092F12C8" w14:textId="77777777" w:rsidR="0082515D" w:rsidRPr="0082515D" w:rsidRDefault="0082515D" w:rsidP="0082515D">
      <w:pPr>
        <w:widowControl/>
        <w:jc w:val="left"/>
        <w:rPr>
          <w:rFonts w:ascii="宋体" w:eastAsia="宋体" w:hAnsi="宋体" w:cs="宋体"/>
          <w:kern w:val="0"/>
          <w:sz w:val="24"/>
          <w14:ligatures w14:val="none"/>
        </w:rPr>
      </w:pPr>
    </w:p>
    <w:p w14:paraId="6DF040C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图表76：北向资金流因子构建方式</w:t>
      </w:r>
    </w:p>
    <w:p w14:paraId="34F1B5A9" w14:textId="43CA053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"https://mmbiz.qpic.cn/mmbiz_png/41FzlIA3BAWJblpfs7z25pCeTTJegtmBUNTIYcyFic68kL2yT8tF268YDJw39UDHvwicXtsw2cP6sC4MdftwMlIA/640?wx_fmt=png&amp;tp=wxpic&amp;wxfrom=5&amp;wx_lazy=1#imgIndex=74"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D397E80" wp14:editId="3BE7B9A7">
            <wp:extent cx="5274310" cy="1122045"/>
            <wp:effectExtent l="0" t="0" r="0" b="0"/>
            <wp:docPr id="82110845" name="图片 3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图片"/>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74310" cy="112204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7D2E40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 </w:t>
      </w:r>
    </w:p>
    <w:p w14:paraId="3083570F" w14:textId="77777777" w:rsidR="0082515D" w:rsidRPr="0082515D" w:rsidRDefault="0082515D" w:rsidP="0082515D">
      <w:pPr>
        <w:widowControl/>
        <w:jc w:val="left"/>
        <w:rPr>
          <w:rFonts w:ascii="宋体" w:eastAsia="宋体" w:hAnsi="宋体" w:cs="宋体"/>
          <w:kern w:val="0"/>
          <w:sz w:val="24"/>
          <w14:ligatures w14:val="none"/>
        </w:rPr>
      </w:pPr>
    </w:p>
    <w:p w14:paraId="39AFA4DB"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3"/>
          <w:szCs w:val="23"/>
          <w14:ligatures w14:val="none"/>
        </w:rPr>
        <w:t>north_hold_prop</w:t>
      </w:r>
      <w:proofErr w:type="spellEnd"/>
      <w:r w:rsidRPr="0082515D">
        <w:rPr>
          <w:rFonts w:ascii="宋体" w:eastAsia="宋体" w:hAnsi="宋体" w:cs="宋体"/>
          <w:b/>
          <w:bCs/>
          <w:kern w:val="0"/>
          <w:sz w:val="23"/>
          <w:szCs w:val="23"/>
          <w14:ligatures w14:val="none"/>
        </w:rPr>
        <w:t>和</w:t>
      </w:r>
      <w:proofErr w:type="spellStart"/>
      <w:r w:rsidRPr="0082515D">
        <w:rPr>
          <w:rFonts w:ascii="宋体" w:eastAsia="宋体" w:hAnsi="宋体" w:cs="宋体"/>
          <w:b/>
          <w:bCs/>
          <w:kern w:val="0"/>
          <w:sz w:val="23"/>
          <w:szCs w:val="23"/>
          <w14:ligatures w14:val="none"/>
        </w:rPr>
        <w:t>north_hold_prefer_lt_chg</w:t>
      </w:r>
      <w:proofErr w:type="spellEnd"/>
      <w:r w:rsidRPr="0082515D">
        <w:rPr>
          <w:rFonts w:ascii="宋体" w:eastAsia="宋体" w:hAnsi="宋体" w:cs="宋体"/>
          <w:b/>
          <w:bCs/>
          <w:kern w:val="0"/>
          <w:sz w:val="23"/>
          <w:szCs w:val="23"/>
          <w14:ligatures w14:val="none"/>
        </w:rPr>
        <w:t>因子在全市场范围内表现较为优异。</w:t>
      </w:r>
      <w:r w:rsidRPr="0082515D">
        <w:rPr>
          <w:rFonts w:ascii="宋体" w:eastAsia="宋体" w:hAnsi="宋体" w:cs="宋体"/>
          <w:kern w:val="0"/>
          <w:sz w:val="23"/>
          <w:szCs w:val="23"/>
          <w14:ligatures w14:val="none"/>
        </w:rPr>
        <w:t>我们基于相关性统计，大致将北向资金流因子分为以下两类：持仓占比和持仓变化因子。</w:t>
      </w:r>
    </w:p>
    <w:p w14:paraId="22542733" w14:textId="77777777" w:rsidR="0082515D" w:rsidRPr="0082515D" w:rsidRDefault="0082515D" w:rsidP="0082515D">
      <w:pPr>
        <w:widowControl/>
        <w:jc w:val="left"/>
        <w:rPr>
          <w:rFonts w:ascii="宋体" w:eastAsia="宋体" w:hAnsi="宋体" w:cs="宋体"/>
          <w:kern w:val="0"/>
          <w:sz w:val="24"/>
          <w14:ligatures w14:val="none"/>
        </w:rPr>
      </w:pPr>
    </w:p>
    <w:p w14:paraId="1170878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持仓占比因子</w:t>
      </w:r>
      <w:r w:rsidRPr="0082515D">
        <w:rPr>
          <w:rFonts w:ascii="宋体" w:eastAsia="宋体" w:hAnsi="宋体" w:cs="宋体"/>
          <w:kern w:val="0"/>
          <w:sz w:val="23"/>
          <w:szCs w:val="23"/>
          <w14:ligatures w14:val="none"/>
        </w:rPr>
        <w:t>包括仅涉及静态比例的4个因子。</w:t>
      </w:r>
      <w:proofErr w:type="spellStart"/>
      <w:r w:rsidRPr="0082515D">
        <w:rPr>
          <w:rFonts w:ascii="宋体" w:eastAsia="宋体" w:hAnsi="宋体" w:cs="宋体"/>
          <w:kern w:val="0"/>
          <w:sz w:val="23"/>
          <w:szCs w:val="23"/>
          <w14:ligatures w14:val="none"/>
        </w:rPr>
        <w:t>north_hold_prop</w:t>
      </w:r>
      <w:proofErr w:type="spellEnd"/>
      <w:r w:rsidRPr="0082515D">
        <w:rPr>
          <w:rFonts w:ascii="宋体" w:eastAsia="宋体" w:hAnsi="宋体" w:cs="宋体"/>
          <w:kern w:val="0"/>
          <w:sz w:val="23"/>
          <w:szCs w:val="23"/>
          <w14:ligatures w14:val="none"/>
        </w:rPr>
        <w:t>因子在全选股域都表现较为突出，有效性和单调性优良，同时有不俗的选股能力；</w:t>
      </w:r>
      <w:proofErr w:type="spellStart"/>
      <w:r w:rsidRPr="0082515D">
        <w:rPr>
          <w:rFonts w:ascii="宋体" w:eastAsia="宋体" w:hAnsi="宋体" w:cs="宋体"/>
          <w:kern w:val="0"/>
          <w:sz w:val="23"/>
          <w:szCs w:val="23"/>
          <w14:ligatures w14:val="none"/>
        </w:rPr>
        <w:lastRenderedPageBreak/>
        <w:t>north_hold_prefer</w:t>
      </w:r>
      <w:proofErr w:type="spellEnd"/>
      <w:r w:rsidRPr="0082515D">
        <w:rPr>
          <w:rFonts w:ascii="宋体" w:eastAsia="宋体" w:hAnsi="宋体" w:cs="宋体"/>
          <w:kern w:val="0"/>
          <w:sz w:val="23"/>
          <w:szCs w:val="23"/>
          <w14:ligatures w14:val="none"/>
        </w:rPr>
        <w:t>因子在全市场、中证500和中证1000中也表现较好，虽然预测收益能力略逊</w:t>
      </w:r>
      <w:proofErr w:type="spellStart"/>
      <w:r w:rsidRPr="0082515D">
        <w:rPr>
          <w:rFonts w:ascii="宋体" w:eastAsia="宋体" w:hAnsi="宋体" w:cs="宋体"/>
          <w:kern w:val="0"/>
          <w:sz w:val="23"/>
          <w:szCs w:val="23"/>
          <w14:ligatures w14:val="none"/>
        </w:rPr>
        <w:t>north_hold_prop</w:t>
      </w:r>
      <w:proofErr w:type="spellEnd"/>
      <w:r w:rsidRPr="0082515D">
        <w:rPr>
          <w:rFonts w:ascii="宋体" w:eastAsia="宋体" w:hAnsi="宋体" w:cs="宋体"/>
          <w:kern w:val="0"/>
          <w:sz w:val="23"/>
          <w:szCs w:val="23"/>
          <w14:ligatures w14:val="none"/>
        </w:rPr>
        <w:t>因子，但是其有效性、单调性和预测能力均优于其他静态占比因子。全市场中，</w:t>
      </w:r>
      <w:proofErr w:type="spellStart"/>
      <w:r w:rsidRPr="0082515D">
        <w:rPr>
          <w:rFonts w:ascii="宋体" w:eastAsia="宋体" w:hAnsi="宋体" w:cs="宋体"/>
          <w:kern w:val="0"/>
          <w:sz w:val="23"/>
          <w:szCs w:val="23"/>
          <w14:ligatures w14:val="none"/>
        </w:rPr>
        <w:t>north_hold_prop</w:t>
      </w:r>
      <w:proofErr w:type="spellEnd"/>
      <w:r w:rsidRPr="0082515D">
        <w:rPr>
          <w:rFonts w:ascii="宋体" w:eastAsia="宋体" w:hAnsi="宋体" w:cs="宋体"/>
          <w:kern w:val="0"/>
          <w:sz w:val="23"/>
          <w:szCs w:val="23"/>
          <w14:ligatures w14:val="none"/>
        </w:rPr>
        <w:t>因子的IC均值为3.5%，IC_IR为0.60；</w:t>
      </w:r>
      <w:proofErr w:type="spellStart"/>
      <w:r w:rsidRPr="0082515D">
        <w:rPr>
          <w:rFonts w:ascii="宋体" w:eastAsia="宋体" w:hAnsi="宋体" w:cs="宋体"/>
          <w:kern w:val="0"/>
          <w:sz w:val="23"/>
          <w:szCs w:val="23"/>
          <w14:ligatures w14:val="none"/>
        </w:rPr>
        <w:t>north_hold_prefer</w:t>
      </w:r>
      <w:proofErr w:type="spellEnd"/>
      <w:r w:rsidRPr="0082515D">
        <w:rPr>
          <w:rFonts w:ascii="宋体" w:eastAsia="宋体" w:hAnsi="宋体" w:cs="宋体"/>
          <w:kern w:val="0"/>
          <w:sz w:val="23"/>
          <w:szCs w:val="23"/>
          <w14:ligatures w14:val="none"/>
        </w:rPr>
        <w:t>因子的IC均值为3.8%，IC_IR为0.69。</w:t>
      </w:r>
    </w:p>
    <w:p w14:paraId="250B0747" w14:textId="77777777" w:rsidR="0082515D" w:rsidRPr="0082515D" w:rsidRDefault="0082515D" w:rsidP="0082515D">
      <w:pPr>
        <w:widowControl/>
        <w:jc w:val="left"/>
        <w:rPr>
          <w:rFonts w:ascii="宋体" w:eastAsia="宋体" w:hAnsi="宋体" w:cs="宋体"/>
          <w:kern w:val="0"/>
          <w:sz w:val="24"/>
          <w14:ligatures w14:val="none"/>
        </w:rPr>
      </w:pPr>
    </w:p>
    <w:p w14:paraId="3322F71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持仓变化因子</w:t>
      </w:r>
      <w:r w:rsidRPr="0082515D">
        <w:rPr>
          <w:rFonts w:ascii="宋体" w:eastAsia="宋体" w:hAnsi="宋体" w:cs="宋体"/>
          <w:kern w:val="0"/>
          <w:sz w:val="23"/>
          <w:szCs w:val="23"/>
          <w14:ligatures w14:val="none"/>
        </w:rPr>
        <w:t>包括涉及短/长期变动或增持的5个因子。其中，</w:t>
      </w:r>
      <w:proofErr w:type="spellStart"/>
      <w:r w:rsidRPr="0082515D">
        <w:rPr>
          <w:rFonts w:ascii="宋体" w:eastAsia="宋体" w:hAnsi="宋体" w:cs="宋体"/>
          <w:kern w:val="0"/>
          <w:sz w:val="23"/>
          <w:szCs w:val="23"/>
          <w14:ligatures w14:val="none"/>
        </w:rPr>
        <w:t>north_hold_prefer_lt_chg</w:t>
      </w:r>
      <w:proofErr w:type="spellEnd"/>
      <w:r w:rsidRPr="0082515D">
        <w:rPr>
          <w:rFonts w:ascii="宋体" w:eastAsia="宋体" w:hAnsi="宋体" w:cs="宋体"/>
          <w:kern w:val="0"/>
          <w:sz w:val="23"/>
          <w:szCs w:val="23"/>
          <w14:ligatures w14:val="none"/>
        </w:rPr>
        <w:t>因子在全选股域都有着较优异的表现。相较于静态占比因子而言，</w:t>
      </w:r>
      <w:proofErr w:type="spellStart"/>
      <w:r w:rsidRPr="0082515D">
        <w:rPr>
          <w:rFonts w:ascii="宋体" w:eastAsia="宋体" w:hAnsi="宋体" w:cs="宋体"/>
          <w:kern w:val="0"/>
          <w:sz w:val="23"/>
          <w:szCs w:val="23"/>
          <w14:ligatures w14:val="none"/>
        </w:rPr>
        <w:t>north_hold_prefer_lt_chg</w:t>
      </w:r>
      <w:proofErr w:type="spellEnd"/>
      <w:r w:rsidRPr="0082515D">
        <w:rPr>
          <w:rFonts w:ascii="宋体" w:eastAsia="宋体" w:hAnsi="宋体" w:cs="宋体"/>
          <w:kern w:val="0"/>
          <w:sz w:val="23"/>
          <w:szCs w:val="23"/>
          <w14:ligatures w14:val="none"/>
        </w:rPr>
        <w:t>因子在各选股域中的单调性都略逊一筹，但选股能力在多数选股域中都更好。</w:t>
      </w:r>
      <w:proofErr w:type="spellStart"/>
      <w:r w:rsidRPr="0082515D">
        <w:rPr>
          <w:rFonts w:ascii="宋体" w:eastAsia="宋体" w:hAnsi="宋体" w:cs="宋体"/>
          <w:kern w:val="0"/>
          <w:sz w:val="23"/>
          <w:szCs w:val="23"/>
          <w14:ligatures w14:val="none"/>
        </w:rPr>
        <w:t>north_hold_prefer_st_chg</w:t>
      </w:r>
      <w:proofErr w:type="spellEnd"/>
      <w:r w:rsidRPr="0082515D">
        <w:rPr>
          <w:rFonts w:ascii="宋体" w:eastAsia="宋体" w:hAnsi="宋体" w:cs="宋体"/>
          <w:kern w:val="0"/>
          <w:sz w:val="23"/>
          <w:szCs w:val="23"/>
          <w14:ligatures w14:val="none"/>
        </w:rPr>
        <w:t>因子在沪深300范围内表现较为突出，有着优良的预测能力和较好的有效性，美中不足的是单调性略逊。全市场中，</w:t>
      </w:r>
      <w:proofErr w:type="spellStart"/>
      <w:r w:rsidRPr="0082515D">
        <w:rPr>
          <w:rFonts w:ascii="宋体" w:eastAsia="宋体" w:hAnsi="宋体" w:cs="宋体"/>
          <w:kern w:val="0"/>
          <w:sz w:val="23"/>
          <w:szCs w:val="23"/>
          <w14:ligatures w14:val="none"/>
        </w:rPr>
        <w:t>north_hold_prefer_lt_chg</w:t>
      </w:r>
      <w:proofErr w:type="spellEnd"/>
      <w:r w:rsidRPr="0082515D">
        <w:rPr>
          <w:rFonts w:ascii="宋体" w:eastAsia="宋体" w:hAnsi="宋体" w:cs="宋体"/>
          <w:kern w:val="0"/>
          <w:sz w:val="23"/>
          <w:szCs w:val="23"/>
          <w14:ligatures w14:val="none"/>
        </w:rPr>
        <w:t>因子的IC均值为2.3%，IC_IR为0.66；沪深300中，</w:t>
      </w:r>
      <w:proofErr w:type="spellStart"/>
      <w:r w:rsidRPr="0082515D">
        <w:rPr>
          <w:rFonts w:ascii="宋体" w:eastAsia="宋体" w:hAnsi="宋体" w:cs="宋体"/>
          <w:kern w:val="0"/>
          <w:sz w:val="23"/>
          <w:szCs w:val="23"/>
          <w14:ligatures w14:val="none"/>
        </w:rPr>
        <w:t>north_hold_prefer_st_chg</w:t>
      </w:r>
      <w:proofErr w:type="spellEnd"/>
      <w:r w:rsidRPr="0082515D">
        <w:rPr>
          <w:rFonts w:ascii="宋体" w:eastAsia="宋体" w:hAnsi="宋体" w:cs="宋体"/>
          <w:kern w:val="0"/>
          <w:sz w:val="23"/>
          <w:szCs w:val="23"/>
          <w14:ligatures w14:val="none"/>
        </w:rPr>
        <w:t>因子的IC均值为3.3%，IC_IR为0.44。</w:t>
      </w:r>
    </w:p>
    <w:p w14:paraId="5F6E5EC9" w14:textId="77777777" w:rsidR="0082515D" w:rsidRPr="0082515D" w:rsidRDefault="0082515D" w:rsidP="0082515D">
      <w:pPr>
        <w:widowControl/>
        <w:jc w:val="left"/>
        <w:rPr>
          <w:rFonts w:ascii="宋体" w:eastAsia="宋体" w:hAnsi="宋体" w:cs="宋体"/>
          <w:kern w:val="0"/>
          <w:sz w:val="24"/>
          <w14:ligatures w14:val="none"/>
        </w:rPr>
      </w:pPr>
    </w:p>
    <w:p w14:paraId="283723A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北向持仓占比因子单调性良好，北向持仓变化因子选股能力较强。</w:t>
      </w:r>
      <w:r w:rsidRPr="0082515D">
        <w:rPr>
          <w:rFonts w:ascii="宋体" w:eastAsia="宋体" w:hAnsi="宋体" w:cs="宋体"/>
          <w:kern w:val="0"/>
          <w:sz w:val="23"/>
          <w:szCs w:val="23"/>
          <w14:ligatures w14:val="none"/>
        </w:rPr>
        <w:t>在各选股域，动态变化因子的多头超额收益相对更高，说明其选股能力较强，但单调性要略逊于静态占比因子。</w:t>
      </w:r>
    </w:p>
    <w:p w14:paraId="665FA751" w14:textId="77777777" w:rsidR="0082515D" w:rsidRPr="0082515D" w:rsidRDefault="0082515D" w:rsidP="0082515D">
      <w:pPr>
        <w:widowControl/>
        <w:jc w:val="left"/>
        <w:rPr>
          <w:rFonts w:ascii="宋体" w:eastAsia="宋体" w:hAnsi="宋体" w:cs="宋体"/>
          <w:kern w:val="0"/>
          <w:sz w:val="24"/>
          <w14:ligatures w14:val="none"/>
        </w:rPr>
      </w:pPr>
    </w:p>
    <w:p w14:paraId="7EA2AC9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图表77：北向资金流因子在全市场范围内的有效性检验结果</w:t>
      </w:r>
    </w:p>
    <w:p w14:paraId="41C4C2E0" w14:textId="6DB086B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"https://mmbiz.qpic.cn/mmbiz_png/41FzlIA3BAWJblpfs7z25pCeTTJegtmBiazjro8ofQDOmE0VfYVsOAR4gGcNicibSibqtjo6XVdJoz5FicicUG1Skabw/640?wx_fmt=png&amp;tp=wxpic&amp;wxfrom=5&amp;wx_lazy=1#imgIndex=75"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1B6BC82" wp14:editId="6DE7B8FC">
            <wp:extent cx="5274310" cy="1106170"/>
            <wp:effectExtent l="0" t="0" r="0" b="0"/>
            <wp:docPr id="1707631114" name="图片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图片"/>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11061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474DBE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（注：统计时间为2016-07-01至2022-06-30；超额收益的比较基准为全市场等权指数）</w:t>
      </w:r>
    </w:p>
    <w:p w14:paraId="0225D0B1" w14:textId="77777777" w:rsidR="0082515D" w:rsidRPr="0082515D" w:rsidRDefault="0082515D" w:rsidP="0082515D">
      <w:pPr>
        <w:widowControl/>
        <w:jc w:val="left"/>
        <w:rPr>
          <w:rFonts w:ascii="宋体" w:eastAsia="宋体" w:hAnsi="宋体" w:cs="宋体"/>
          <w:kern w:val="0"/>
          <w:sz w:val="24"/>
          <w14:ligatures w14:val="none"/>
        </w:rPr>
      </w:pPr>
    </w:p>
    <w:p w14:paraId="7FC3D59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图表78：全市场范围内北向资金流因子之间的相关性统计</w:t>
      </w:r>
    </w:p>
    <w:p w14:paraId="16E6D489" w14:textId="5898020E"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"https://mmbiz.qpic.cn/mmbiz_png/41FzlIA3BAWJblpfs7z25pCeTTJegtmBQJluSI1ONPks0yDZWjubQ4q0uNto8jDTib2IRojGp1icZ2XzibdALoQ4g/640?wx_fmt=png&amp;tp=wxpic&amp;wxfrom=5&amp;wx_lazy=1#imgIndex=76"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A6A900F" wp14:editId="30CD8C9C">
            <wp:extent cx="5274310" cy="1471295"/>
            <wp:effectExtent l="0" t="0" r="0" b="1905"/>
            <wp:docPr id="1219784432" name="图片 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图片"/>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14712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07456C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（注：统计时间为2016-07-01至2022-06-30） </w:t>
      </w:r>
    </w:p>
    <w:p w14:paraId="7A31BCF2" w14:textId="77777777" w:rsidR="0082515D" w:rsidRPr="0082515D" w:rsidRDefault="0082515D" w:rsidP="0082515D">
      <w:pPr>
        <w:widowControl/>
        <w:jc w:val="left"/>
        <w:rPr>
          <w:rFonts w:ascii="宋体" w:eastAsia="宋体" w:hAnsi="宋体" w:cs="宋体"/>
          <w:kern w:val="0"/>
          <w:sz w:val="24"/>
          <w14:ligatures w14:val="none"/>
        </w:rPr>
      </w:pPr>
    </w:p>
    <w:p w14:paraId="612A9A0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图表79：北向资金流因子在沪深300范围内的有效性检验结果</w:t>
      </w:r>
    </w:p>
    <w:p w14:paraId="3A630F93" w14:textId="5A5A00A4"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"https://mmbiz.qpic.cn/mmbiz_png/41FzlIA3BAWJblpfs7z25pCeTTJegtmBiaqicicCoeeRR3ju7MDicKb1pQic0f45c7fuzeMnLwfMY9XsZMOhcDIZyvA/640?wx_fmt=png&amp;tp=wxpic&amp;wxfrom=5&amp;wx_lazy=1#imgIndex=77"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5255834" wp14:editId="6900AF82">
            <wp:extent cx="5274310" cy="1105535"/>
            <wp:effectExtent l="0" t="0" r="0" b="0"/>
            <wp:docPr id="1726379423" name="图片 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图片"/>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11055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55953D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（注：统计时间为2016-07-01至2022-06-30；超额收益的比较基准为沪深300等权指数000984.CSI）</w:t>
      </w:r>
    </w:p>
    <w:p w14:paraId="4EF340D7" w14:textId="77777777" w:rsidR="0082515D" w:rsidRPr="0082515D" w:rsidRDefault="0082515D" w:rsidP="0082515D">
      <w:pPr>
        <w:widowControl/>
        <w:jc w:val="left"/>
        <w:rPr>
          <w:rFonts w:ascii="宋体" w:eastAsia="宋体" w:hAnsi="宋体" w:cs="宋体"/>
          <w:kern w:val="0"/>
          <w:sz w:val="24"/>
          <w14:ligatures w14:val="none"/>
        </w:rPr>
      </w:pPr>
    </w:p>
    <w:p w14:paraId="650B661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图表80：北向资金流因子在中证500范围内的有效性检验结果</w:t>
      </w:r>
    </w:p>
    <w:p w14:paraId="0158BFCD" w14:textId="3A2D4C0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"https://mmbiz.qpic.cn/mmbiz_png/41FzlIA3BAWJblpfs7z25pCeTTJegtmBxg7bDrNNkn6CtW6N3ibrlf7kiaZTXFaDfGxE4b8EWibDRKXP7NvZdnqZQ/640?wx_fmt=png&amp;tp=wxpic&amp;wxfrom=5&amp;wx_lazy=1#imgIndex=78"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4B5AB0B" wp14:editId="5B8C8DEB">
            <wp:extent cx="5274310" cy="1123950"/>
            <wp:effectExtent l="0" t="0" r="0" b="6350"/>
            <wp:docPr id="938228498"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图片"/>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4C2D27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（注：统计时间为2016-07-01至2022-06-30；超额收益的比较基准为中证500等权指数000982.SH）</w:t>
      </w:r>
    </w:p>
    <w:p w14:paraId="01112BE0" w14:textId="77777777" w:rsidR="0082515D" w:rsidRPr="0082515D" w:rsidRDefault="0082515D" w:rsidP="0082515D">
      <w:pPr>
        <w:widowControl/>
        <w:jc w:val="left"/>
        <w:rPr>
          <w:rFonts w:ascii="宋体" w:eastAsia="宋体" w:hAnsi="宋体" w:cs="宋体"/>
          <w:kern w:val="0"/>
          <w:sz w:val="24"/>
          <w14:ligatures w14:val="none"/>
        </w:rPr>
      </w:pPr>
    </w:p>
    <w:p w14:paraId="0ACCECF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图表81：北向资金流因子在中证1000范围内的有效性检验结果</w:t>
      </w:r>
    </w:p>
    <w:p w14:paraId="72ACA416" w14:textId="70C92DF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"https://mmbiz.qpic.cn/mmbiz_png/41FzlIA3BAWJblpfs7z25pCeTTJegtmBnL1megrVoGQVTNA88mD5mTGgNc7Tgvic2c5ChGuQGF8cdO7lCKuskiaA/640?wx_fmt=png&amp;tp=wxpic&amp;wxfrom=5&amp;wx_lazy=1#imgIndex=79"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86F8AE8" wp14:editId="7FE78AEA">
            <wp:extent cx="5274310" cy="1102995"/>
            <wp:effectExtent l="0" t="0" r="0" b="1905"/>
            <wp:docPr id="1496026769"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图片"/>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11029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41FE73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（注：统计时间为2016-07-01至2022-06-30；超额收益的比较基准为中证1000指数000852.SH）</w:t>
      </w:r>
    </w:p>
    <w:p w14:paraId="36F573B5" w14:textId="77777777" w:rsidR="0082515D" w:rsidRPr="0082515D" w:rsidRDefault="0082515D" w:rsidP="0082515D">
      <w:pPr>
        <w:widowControl/>
        <w:jc w:val="left"/>
        <w:rPr>
          <w:rFonts w:ascii="宋体" w:eastAsia="宋体" w:hAnsi="宋体" w:cs="宋体"/>
          <w:kern w:val="0"/>
          <w:sz w:val="24"/>
          <w14:ligatures w14:val="none"/>
        </w:rPr>
      </w:pPr>
    </w:p>
    <w:p w14:paraId="0164BAFA" w14:textId="77777777" w:rsidR="0082515D" w:rsidRPr="0082515D" w:rsidRDefault="0082515D" w:rsidP="0082515D">
      <w:pPr>
        <w:widowControl/>
        <w:jc w:val="left"/>
        <w:rPr>
          <w:rFonts w:ascii="宋体" w:eastAsia="宋体" w:hAnsi="宋体" w:cs="宋体"/>
          <w:kern w:val="0"/>
          <w:sz w:val="24"/>
          <w14:ligatures w14:val="none"/>
        </w:rPr>
      </w:pPr>
    </w:p>
    <w:p w14:paraId="1065C29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北向持仓变化因子在小市值股票范围内可持续贡献超额收益</w:t>
      </w:r>
    </w:p>
    <w:p w14:paraId="2AE6F66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沪深300范围内，北向资金因子2020年以前多头组合表现较好，但2020年以来，超额收益波动较大。</w:t>
      </w:r>
      <w:proofErr w:type="spellStart"/>
      <w:r w:rsidRPr="0082515D">
        <w:rPr>
          <w:rFonts w:ascii="宋体" w:eastAsia="宋体" w:hAnsi="宋体" w:cs="宋体"/>
          <w:kern w:val="0"/>
          <w:sz w:val="24"/>
          <w14:ligatures w14:val="none"/>
        </w:rPr>
        <w:t>north_hold_prop</w:t>
      </w:r>
      <w:proofErr w:type="spellEnd"/>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north_hold_prefer_lt_chg</w:t>
      </w:r>
      <w:proofErr w:type="spellEnd"/>
      <w:r w:rsidRPr="0082515D">
        <w:rPr>
          <w:rFonts w:ascii="宋体" w:eastAsia="宋体" w:hAnsi="宋体" w:cs="宋体"/>
          <w:kern w:val="0"/>
          <w:sz w:val="24"/>
          <w14:ligatures w14:val="none"/>
        </w:rPr>
        <w:t>和</w:t>
      </w:r>
      <w:proofErr w:type="spellStart"/>
      <w:r w:rsidRPr="0082515D">
        <w:rPr>
          <w:rFonts w:ascii="宋体" w:eastAsia="宋体" w:hAnsi="宋体" w:cs="宋体"/>
          <w:kern w:val="0"/>
          <w:sz w:val="24"/>
          <w14:ligatures w14:val="none"/>
        </w:rPr>
        <w:t>north_hold_prefer_st_chg</w:t>
      </w:r>
      <w:proofErr w:type="spellEnd"/>
      <w:r w:rsidRPr="0082515D">
        <w:rPr>
          <w:rFonts w:ascii="宋体" w:eastAsia="宋体" w:hAnsi="宋体" w:cs="宋体"/>
          <w:kern w:val="0"/>
          <w:sz w:val="24"/>
          <w14:ligatures w14:val="none"/>
        </w:rPr>
        <w:t>因子多头组合均可跑赢基准，但多头超额收益均逊于因子值第二大的组合。从多头组合相对净值走势来看，近年来存在有效性有明显下滑。</w:t>
      </w:r>
    </w:p>
    <w:p w14:paraId="79884ADC" w14:textId="77777777" w:rsidR="0082515D" w:rsidRPr="0082515D" w:rsidRDefault="0082515D" w:rsidP="0082515D">
      <w:pPr>
        <w:widowControl/>
        <w:jc w:val="left"/>
        <w:rPr>
          <w:rFonts w:ascii="宋体" w:eastAsia="宋体" w:hAnsi="宋体" w:cs="宋体"/>
          <w:kern w:val="0"/>
          <w:sz w:val="24"/>
          <w14:ligatures w14:val="none"/>
        </w:rPr>
      </w:pPr>
    </w:p>
    <w:p w14:paraId="7CACD64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图表82：沪深300范围内表现较好的北向资金流因子多头组合相对净值</w:t>
      </w:r>
    </w:p>
    <w:p w14:paraId="0DA4C5FF" w14:textId="0B9E7D75"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"https://mmbiz.qpic.cn/mmbiz_png/41FzlIA3BAWJblpfs7z25pCeTTJegtmBboJiaDia9q4djMicawibsNsZgjZcnHQ3jd69eibAIicPNiau2kY6gUMLqYQyw/640?wx_fmt=png&amp;tp=wxpic&amp;wxfrom=5&amp;wx_lazy=1#imgIndex=80"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A30ABD1" wp14:editId="3D0BE009">
            <wp:extent cx="5274310" cy="2664460"/>
            <wp:effectExtent l="0" t="0" r="0" b="2540"/>
            <wp:docPr id="741639577" name="图片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图片"/>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26644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54C92A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65A2709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注：1）统计时间为2016-09-01至2022-06-30；2）相对净值的比较基准为沪深300等权指数000984.CSI</w:t>
      </w:r>
    </w:p>
    <w:p w14:paraId="23C68150" w14:textId="77777777" w:rsidR="0082515D" w:rsidRPr="0082515D" w:rsidRDefault="0082515D" w:rsidP="0082515D">
      <w:pPr>
        <w:widowControl/>
        <w:jc w:val="left"/>
        <w:rPr>
          <w:rFonts w:ascii="宋体" w:eastAsia="宋体" w:hAnsi="宋体" w:cs="宋体"/>
          <w:kern w:val="0"/>
          <w:sz w:val="24"/>
          <w14:ligatures w14:val="none"/>
        </w:rPr>
      </w:pPr>
    </w:p>
    <w:p w14:paraId="115BAAD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图表83：沪深300范围内表现较好的北向资金流因子分组年化超额收益统计</w:t>
      </w:r>
    </w:p>
    <w:p w14:paraId="04B5A63E" w14:textId="66902D1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"https://mmbiz.qpic.cn/mmbiz_png/41FzlIA3BAWJblpfs7z25pCeTTJegtmBlKIpTxXaNZAnH76s3pJsAvvIlFgJY2zG4vczWkBUtHq0YleudJCUibg/640?wx_fmt=png&amp;tp=wxpic&amp;wxfrom=5&amp;wx_lazy=1#imgIndex=81"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83C39FC" wp14:editId="191570AC">
            <wp:extent cx="5273675" cy="2715260"/>
            <wp:effectExtent l="0" t="0" r="0" b="2540"/>
            <wp:docPr id="2102717811"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图片"/>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3675" cy="27152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7B74B7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5DD74E9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注：1）统计时间为2016-07-01至2022-06-30；2）超额收益的比较基准为沪深300等权指数000984.CSI；3）Group1为因子值最小一组，Group10为因子值最大一组</w:t>
      </w:r>
    </w:p>
    <w:p w14:paraId="27EE53A4" w14:textId="77777777" w:rsidR="0082515D" w:rsidRPr="0082515D" w:rsidRDefault="0082515D" w:rsidP="0082515D">
      <w:pPr>
        <w:widowControl/>
        <w:jc w:val="left"/>
        <w:rPr>
          <w:rFonts w:ascii="宋体" w:eastAsia="宋体" w:hAnsi="宋体" w:cs="宋体"/>
          <w:kern w:val="0"/>
          <w:sz w:val="24"/>
          <w14:ligatures w14:val="none"/>
        </w:rPr>
      </w:pPr>
    </w:p>
    <w:p w14:paraId="7D0B862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中证500范围内，</w:t>
      </w:r>
      <w:proofErr w:type="spellStart"/>
      <w:r w:rsidRPr="0082515D">
        <w:rPr>
          <w:rFonts w:ascii="宋体" w:eastAsia="宋体" w:hAnsi="宋体" w:cs="宋体"/>
          <w:b/>
          <w:bCs/>
          <w:kern w:val="0"/>
          <w:sz w:val="24"/>
          <w14:ligatures w14:val="none"/>
        </w:rPr>
        <w:t>north_hold_prop_lt_chg</w:t>
      </w:r>
      <w:proofErr w:type="spellEnd"/>
      <w:r w:rsidRPr="0082515D">
        <w:rPr>
          <w:rFonts w:ascii="宋体" w:eastAsia="宋体" w:hAnsi="宋体" w:cs="宋体"/>
          <w:b/>
          <w:bCs/>
          <w:kern w:val="0"/>
          <w:sz w:val="24"/>
          <w14:ligatures w14:val="none"/>
        </w:rPr>
        <w:t>因子多头组合可持续跑赢基准。</w:t>
      </w:r>
      <w:r w:rsidRPr="0082515D">
        <w:rPr>
          <w:rFonts w:ascii="宋体" w:eastAsia="宋体" w:hAnsi="宋体" w:cs="宋体"/>
          <w:kern w:val="0"/>
          <w:sz w:val="24"/>
          <w14:ligatures w14:val="none"/>
        </w:rPr>
        <w:t>如下图所示，北向资金因子在中证500范围内的选股能力略优于沪深300范围，尤其是持仓变动因子，统计期内年化超额收益率可达10%。</w:t>
      </w:r>
    </w:p>
    <w:p w14:paraId="3E27771E" w14:textId="77777777" w:rsidR="0082515D" w:rsidRPr="0082515D" w:rsidRDefault="0082515D" w:rsidP="0082515D">
      <w:pPr>
        <w:widowControl/>
        <w:jc w:val="left"/>
        <w:rPr>
          <w:rFonts w:ascii="宋体" w:eastAsia="宋体" w:hAnsi="宋体" w:cs="宋体"/>
          <w:kern w:val="0"/>
          <w:sz w:val="24"/>
          <w14:ligatures w14:val="none"/>
        </w:rPr>
      </w:pPr>
    </w:p>
    <w:p w14:paraId="0B117CA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图表84：中证500范围内表现较好的北向资金流因子多头组合相对净值</w:t>
      </w:r>
    </w:p>
    <w:p w14:paraId="38E8332A" w14:textId="342E638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"https://mmbiz.qpic.cn/mmbiz_png/41FzlIA3BAWJblpfs7z25pCeTTJegtmB1axfwic8Jz9SHyYibRFicZZ69LS06ZhN06d2CHibj9iaSFnyzjVUsDIIY8A/640?wx_fmt=png&amp;tp=wxpic&amp;wxfrom=5&amp;wx_lazy=1#imgIndex=82"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9892FD9" wp14:editId="4A5EDC18">
            <wp:extent cx="5274310" cy="2664460"/>
            <wp:effectExtent l="0" t="0" r="0" b="2540"/>
            <wp:docPr id="1175719324" name="图片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图片"/>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26644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EFFAEF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71E747D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注：1）统计时间为2016-09-01至2022-06-30；2）相对净值的比较基准为中证500等权指数000982.SH</w:t>
      </w:r>
    </w:p>
    <w:p w14:paraId="50BBD959" w14:textId="77777777" w:rsidR="0082515D" w:rsidRPr="0082515D" w:rsidRDefault="0082515D" w:rsidP="0082515D">
      <w:pPr>
        <w:widowControl/>
        <w:jc w:val="left"/>
        <w:rPr>
          <w:rFonts w:ascii="宋体" w:eastAsia="宋体" w:hAnsi="宋体" w:cs="宋体"/>
          <w:kern w:val="0"/>
          <w:sz w:val="24"/>
          <w14:ligatures w14:val="none"/>
        </w:rPr>
      </w:pPr>
    </w:p>
    <w:p w14:paraId="518E07D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图表85：中证500范围内表现较好的北向资金流因子分组年化超额收益统计</w:t>
      </w:r>
    </w:p>
    <w:p w14:paraId="50D0B600" w14:textId="51F025A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"https://mmbiz.qpic.cn/mmbiz_png/41FzlIA3BAWJblpfs7z25pCeTTJegtmBNaM20cgns1Eib6VcUuvFLNibSFPvxHlN65d3YnbFHQPDu15rxoP2yAKA/640?wx_fmt=png&amp;tp=wxpic&amp;wxfrom=5&amp;wx_lazy=1#imgIndex=83"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EFD4D41" wp14:editId="5B1F1186">
            <wp:extent cx="5246370" cy="2733675"/>
            <wp:effectExtent l="0" t="0" r="0" b="0"/>
            <wp:docPr id="1420715115" name="图片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图片"/>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46370" cy="273367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71E2FC7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BFCFCC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注：1）统计时间为2016-07-01至2022-06-30；2）超额收益的比较基准为中证500等权指数000982.SH；3）Group1为因子值最小一组，Group10为因子值最大一组</w:t>
      </w:r>
    </w:p>
    <w:p w14:paraId="237984E8" w14:textId="77777777" w:rsidR="0082515D" w:rsidRPr="0082515D" w:rsidRDefault="0082515D" w:rsidP="0082515D">
      <w:pPr>
        <w:widowControl/>
        <w:jc w:val="left"/>
        <w:rPr>
          <w:rFonts w:ascii="宋体" w:eastAsia="宋体" w:hAnsi="宋体" w:cs="宋体"/>
          <w:kern w:val="0"/>
          <w:sz w:val="24"/>
          <w14:ligatures w14:val="none"/>
        </w:rPr>
      </w:pPr>
    </w:p>
    <w:p w14:paraId="07EC776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中证1000范围内，北向持仓占比因子多头组合收益表现总体较好，但从2021年以来的表现来看，北向持仓变动因子持续性更强。</w:t>
      </w:r>
      <w:proofErr w:type="spellStart"/>
      <w:r w:rsidRPr="0082515D">
        <w:rPr>
          <w:rFonts w:ascii="宋体" w:eastAsia="宋体" w:hAnsi="宋体" w:cs="宋体"/>
          <w:kern w:val="0"/>
          <w:sz w:val="24"/>
          <w14:ligatures w14:val="none"/>
        </w:rPr>
        <w:t>North_hold_prefer</w:t>
      </w:r>
      <w:proofErr w:type="spellEnd"/>
      <w:r w:rsidRPr="0082515D">
        <w:rPr>
          <w:rFonts w:ascii="宋体" w:eastAsia="宋体" w:hAnsi="宋体" w:cs="宋体"/>
          <w:kern w:val="0"/>
          <w:sz w:val="24"/>
          <w14:ligatures w14:val="none"/>
        </w:rPr>
        <w:t>、</w:t>
      </w:r>
      <w:proofErr w:type="spellStart"/>
      <w:r w:rsidRPr="0082515D">
        <w:rPr>
          <w:rFonts w:ascii="宋体" w:eastAsia="宋体" w:hAnsi="宋体" w:cs="宋体"/>
          <w:kern w:val="0"/>
          <w:sz w:val="24"/>
          <w14:ligatures w14:val="none"/>
        </w:rPr>
        <w:t>north_hold_prop</w:t>
      </w:r>
      <w:proofErr w:type="spellEnd"/>
      <w:r w:rsidRPr="0082515D">
        <w:rPr>
          <w:rFonts w:ascii="宋体" w:eastAsia="宋体" w:hAnsi="宋体" w:cs="宋体"/>
          <w:kern w:val="0"/>
          <w:sz w:val="24"/>
          <w14:ligatures w14:val="none"/>
        </w:rPr>
        <w:t>因子的多头组合年化超额收益率均较高，但2021年以来多头组合相对净值基本跑平；而</w:t>
      </w:r>
      <w:proofErr w:type="spellStart"/>
      <w:r w:rsidRPr="0082515D">
        <w:rPr>
          <w:rFonts w:ascii="宋体" w:eastAsia="宋体" w:hAnsi="宋体" w:cs="宋体"/>
          <w:kern w:val="0"/>
          <w:sz w:val="24"/>
          <w14:ligatures w14:val="none"/>
        </w:rPr>
        <w:t>north_hold_prefer_lt_chg</w:t>
      </w:r>
      <w:proofErr w:type="spellEnd"/>
      <w:r w:rsidRPr="0082515D">
        <w:rPr>
          <w:rFonts w:ascii="宋体" w:eastAsia="宋体" w:hAnsi="宋体" w:cs="宋体"/>
          <w:kern w:val="0"/>
          <w:sz w:val="24"/>
          <w14:ligatures w14:val="none"/>
        </w:rPr>
        <w:t>因子多头组合则在2021年后依然有持续的超额收益表现。</w:t>
      </w:r>
    </w:p>
    <w:p w14:paraId="15AC4F1B" w14:textId="77777777" w:rsidR="0082515D" w:rsidRPr="0082515D" w:rsidRDefault="0082515D" w:rsidP="0082515D">
      <w:pPr>
        <w:widowControl/>
        <w:jc w:val="left"/>
        <w:rPr>
          <w:rFonts w:ascii="宋体" w:eastAsia="宋体" w:hAnsi="宋体" w:cs="宋体"/>
          <w:kern w:val="0"/>
          <w:sz w:val="24"/>
          <w14:ligatures w14:val="none"/>
        </w:rPr>
      </w:pPr>
    </w:p>
    <w:p w14:paraId="0E637F40"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lastRenderedPageBreak/>
        <w:t>图表86：中证1000范围内表现较好的北向资金流因子多头组合相对净值</w:t>
      </w:r>
    </w:p>
    <w:p w14:paraId="1A1575D2" w14:textId="248F2022"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"https://mmbiz.qpic.cn/mmbiz_png/41FzlIA3BAWJblpfs7z25pCeTTJegtmBcfhRsO0hM3Xhxq63vRYdZMVfBI2l2wDMLJQa81VbJStr36odUglp5w/640?wx_fmt=png&amp;tp=wxpic&amp;wxfrom=5&amp;wx_lazy=1#imgIndex=84"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689A403" wp14:editId="49D2518B">
            <wp:extent cx="5274310" cy="2677795"/>
            <wp:effectExtent l="0" t="0" r="0" b="1905"/>
            <wp:docPr id="1687242692" name="图片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图片"/>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26777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455BC4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824B21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注：1）统计时间为2016-09-01至2022-06-30；2）相对净值的比较基准为中证1000等权指数000852.SH</w:t>
      </w:r>
    </w:p>
    <w:p w14:paraId="22D18622" w14:textId="77777777" w:rsidR="0082515D" w:rsidRPr="0082515D" w:rsidRDefault="0082515D" w:rsidP="0082515D">
      <w:pPr>
        <w:widowControl/>
        <w:jc w:val="left"/>
        <w:rPr>
          <w:rFonts w:ascii="宋体" w:eastAsia="宋体" w:hAnsi="宋体" w:cs="宋体"/>
          <w:kern w:val="0"/>
          <w:sz w:val="24"/>
          <w14:ligatures w14:val="none"/>
        </w:rPr>
      </w:pPr>
    </w:p>
    <w:p w14:paraId="5B13956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图表87：中证1000范围内表现较好的北向资金流因子分组年化超额收益统计</w:t>
      </w:r>
    </w:p>
    <w:p w14:paraId="19575C19" w14:textId="4D0A7EA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"https://mmbiz.qpic.cn/mmbiz_png/41FzlIA3BAWJblpfs7z25pCeTTJegtmBibJ4ouNFg1uKjD2HibLro3BZP4dAjRpYAyficdlhLHXHjknv5FIF37bhw/640?wx_fmt=png&amp;tp=wxpic&amp;wxfrom=5&amp;wx_lazy=1#imgIndex=85"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965C20E" wp14:editId="0EF7A1E5">
            <wp:extent cx="5274310" cy="2687320"/>
            <wp:effectExtent l="0" t="0" r="0" b="5080"/>
            <wp:docPr id="1668988905"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图片"/>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26873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4774F01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6C2B875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注：1）统计时间为2016-07-01至2022-06-30；2）超额收益的比较基准为中证1000指数000852.SH；3）Group1为因子值最小一组，Group10为因子值最大一组</w:t>
      </w:r>
    </w:p>
    <w:p w14:paraId="5CF4A891" w14:textId="77777777" w:rsidR="0082515D" w:rsidRPr="0082515D" w:rsidRDefault="0082515D" w:rsidP="0082515D">
      <w:pPr>
        <w:widowControl/>
        <w:jc w:val="left"/>
        <w:rPr>
          <w:rFonts w:ascii="宋体" w:eastAsia="宋体" w:hAnsi="宋体" w:cs="宋体"/>
          <w:kern w:val="0"/>
          <w:sz w:val="24"/>
          <w14:ligatures w14:val="none"/>
        </w:rPr>
      </w:pPr>
    </w:p>
    <w:p w14:paraId="30F39BE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融资融券</w:t>
      </w:r>
    </w:p>
    <w:p w14:paraId="0CB146AA" w14:textId="77777777" w:rsidR="0082515D" w:rsidRPr="0082515D" w:rsidRDefault="0082515D" w:rsidP="0082515D">
      <w:pPr>
        <w:widowControl/>
        <w:jc w:val="left"/>
        <w:rPr>
          <w:rFonts w:ascii="宋体" w:eastAsia="宋体" w:hAnsi="宋体" w:cs="宋体"/>
          <w:kern w:val="0"/>
          <w:sz w:val="24"/>
          <w14:ligatures w14:val="none"/>
        </w:rPr>
      </w:pPr>
    </w:p>
    <w:p w14:paraId="07F0956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融资融券因子有效性表现一般，单调性欠佳</w:t>
      </w:r>
    </w:p>
    <w:p w14:paraId="339FE88F" w14:textId="77777777" w:rsidR="0082515D" w:rsidRPr="0082515D" w:rsidRDefault="0082515D" w:rsidP="0082515D">
      <w:pPr>
        <w:widowControl/>
        <w:jc w:val="left"/>
        <w:rPr>
          <w:rFonts w:ascii="宋体" w:eastAsia="宋体" w:hAnsi="宋体" w:cs="宋体"/>
          <w:kern w:val="0"/>
          <w:sz w:val="24"/>
          <w14:ligatures w14:val="none"/>
        </w:rPr>
      </w:pPr>
    </w:p>
    <w:p w14:paraId="18A9778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lastRenderedPageBreak/>
        <w:t>融资融券因子反映融资融券市场交易活跃程度和资金流向。</w:t>
      </w:r>
      <w:r w:rsidRPr="0082515D">
        <w:rPr>
          <w:rFonts w:ascii="宋体" w:eastAsia="宋体" w:hAnsi="宋体" w:cs="宋体"/>
          <w:kern w:val="0"/>
          <w:sz w:val="23"/>
          <w:szCs w:val="23"/>
          <w14:ligatures w14:val="none"/>
        </w:rPr>
        <w:t>我们利用融资融券信息构建了12个融资融券类因子，并进行了有效性检验。</w:t>
      </w:r>
    </w:p>
    <w:p w14:paraId="385AB3F5" w14:textId="77777777" w:rsidR="0082515D" w:rsidRPr="0082515D" w:rsidRDefault="0082515D" w:rsidP="0082515D">
      <w:pPr>
        <w:widowControl/>
        <w:jc w:val="left"/>
        <w:rPr>
          <w:rFonts w:ascii="宋体" w:eastAsia="宋体" w:hAnsi="宋体" w:cs="宋体"/>
          <w:kern w:val="0"/>
          <w:sz w:val="24"/>
          <w14:ligatures w14:val="none"/>
        </w:rPr>
      </w:pPr>
    </w:p>
    <w:p w14:paraId="0AB68FE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图表88：融资融券类因子构建方式</w:t>
      </w:r>
    </w:p>
    <w:p w14:paraId="18BB58DA" w14:textId="0D715C3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"https://mmbiz.qpic.cn/mmbiz_png/41FzlIA3BAWJblpfs7z25pCeTTJegtmBdN2gibkt095sIN8vLlpaictRiczOo3C8NFe9rJRkicp28OT4Uw2gquib6vA/640?wx_fmt=png&amp;tp=wxpic&amp;wxfrom=5&amp;wx_lazy=1#imgIndex=86"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FD29169" wp14:editId="12C43D53">
            <wp:extent cx="5274310" cy="1288415"/>
            <wp:effectExtent l="0" t="0" r="0" b="0"/>
            <wp:docPr id="417571289"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图片"/>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128841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64C650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 </w:t>
      </w:r>
    </w:p>
    <w:p w14:paraId="1BCDBD54" w14:textId="77777777" w:rsidR="0082515D" w:rsidRPr="0082515D" w:rsidRDefault="0082515D" w:rsidP="0082515D">
      <w:pPr>
        <w:widowControl/>
        <w:jc w:val="left"/>
        <w:rPr>
          <w:rFonts w:ascii="宋体" w:eastAsia="宋体" w:hAnsi="宋体" w:cs="宋体"/>
          <w:kern w:val="0"/>
          <w:sz w:val="24"/>
          <w14:ligatures w14:val="none"/>
        </w:rPr>
      </w:pPr>
    </w:p>
    <w:p w14:paraId="3EE500EE" w14:textId="77777777" w:rsidR="0082515D" w:rsidRPr="0082515D" w:rsidRDefault="0082515D" w:rsidP="0082515D">
      <w:pPr>
        <w:widowControl/>
        <w:jc w:val="left"/>
        <w:rPr>
          <w:rFonts w:ascii="宋体" w:eastAsia="宋体" w:hAnsi="宋体" w:cs="宋体"/>
          <w:kern w:val="0"/>
          <w:sz w:val="24"/>
          <w14:ligatures w14:val="none"/>
        </w:rPr>
      </w:pPr>
      <w:proofErr w:type="spellStart"/>
      <w:r w:rsidRPr="0082515D">
        <w:rPr>
          <w:rFonts w:ascii="宋体" w:eastAsia="宋体" w:hAnsi="宋体" w:cs="宋体"/>
          <w:b/>
          <w:bCs/>
          <w:kern w:val="0"/>
          <w:sz w:val="23"/>
          <w:szCs w:val="23"/>
          <w14:ligatures w14:val="none"/>
        </w:rPr>
        <w:t>margin_money_bal_prop</w:t>
      </w:r>
      <w:proofErr w:type="spellEnd"/>
      <w:r w:rsidRPr="0082515D">
        <w:rPr>
          <w:rFonts w:ascii="宋体" w:eastAsia="宋体" w:hAnsi="宋体" w:cs="宋体"/>
          <w:b/>
          <w:bCs/>
          <w:kern w:val="0"/>
          <w:sz w:val="23"/>
          <w:szCs w:val="23"/>
          <w14:ligatures w14:val="none"/>
        </w:rPr>
        <w:t>和</w:t>
      </w:r>
      <w:proofErr w:type="spellStart"/>
      <w:r w:rsidRPr="0082515D">
        <w:rPr>
          <w:rFonts w:ascii="宋体" w:eastAsia="宋体" w:hAnsi="宋体" w:cs="宋体"/>
          <w:b/>
          <w:bCs/>
          <w:kern w:val="0"/>
          <w:sz w:val="23"/>
          <w:szCs w:val="23"/>
          <w14:ligatures w14:val="none"/>
        </w:rPr>
        <w:t>margin_sec_bal_growth</w:t>
      </w:r>
      <w:proofErr w:type="spellEnd"/>
      <w:r w:rsidRPr="0082515D">
        <w:rPr>
          <w:rFonts w:ascii="宋体" w:eastAsia="宋体" w:hAnsi="宋体" w:cs="宋体"/>
          <w:b/>
          <w:bCs/>
          <w:kern w:val="0"/>
          <w:sz w:val="23"/>
          <w:szCs w:val="23"/>
          <w14:ligatures w14:val="none"/>
        </w:rPr>
        <w:t>因子在中证500和中证1000中相较而言表现尚可。</w:t>
      </w:r>
      <w:r w:rsidRPr="0082515D">
        <w:rPr>
          <w:rFonts w:ascii="宋体" w:eastAsia="宋体" w:hAnsi="宋体" w:cs="宋体"/>
          <w:kern w:val="0"/>
          <w:sz w:val="23"/>
          <w:szCs w:val="23"/>
          <w14:ligatures w14:val="none"/>
        </w:rPr>
        <w:t>我们基于相关性统计，大致将融资融券因子分为以下两类：融资因子和融券因子。</w:t>
      </w:r>
    </w:p>
    <w:p w14:paraId="726173E3" w14:textId="77777777" w:rsidR="0082515D" w:rsidRPr="0082515D" w:rsidRDefault="0082515D" w:rsidP="0082515D">
      <w:pPr>
        <w:widowControl/>
        <w:jc w:val="left"/>
        <w:rPr>
          <w:rFonts w:ascii="宋体" w:eastAsia="宋体" w:hAnsi="宋体" w:cs="宋体"/>
          <w:kern w:val="0"/>
          <w:sz w:val="24"/>
          <w14:ligatures w14:val="none"/>
        </w:rPr>
      </w:pPr>
    </w:p>
    <w:p w14:paraId="1FA7CBF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融资因子</w:t>
      </w:r>
      <w:r w:rsidRPr="0082515D">
        <w:rPr>
          <w:rFonts w:ascii="宋体" w:eastAsia="宋体" w:hAnsi="宋体" w:cs="宋体"/>
          <w:kern w:val="0"/>
          <w:sz w:val="23"/>
          <w:szCs w:val="23"/>
          <w14:ligatures w14:val="none"/>
        </w:rPr>
        <w:t>包括所有与融资相关的6个因子。相较于其他融资融券因子而言，</w:t>
      </w:r>
      <w:proofErr w:type="spellStart"/>
      <w:r w:rsidRPr="0082515D">
        <w:rPr>
          <w:rFonts w:ascii="宋体" w:eastAsia="宋体" w:hAnsi="宋体" w:cs="宋体"/>
          <w:kern w:val="0"/>
          <w:sz w:val="23"/>
          <w:szCs w:val="23"/>
          <w14:ligatures w14:val="none"/>
        </w:rPr>
        <w:t>margin_money_bal_prop</w:t>
      </w:r>
      <w:proofErr w:type="spellEnd"/>
      <w:r w:rsidRPr="0082515D">
        <w:rPr>
          <w:rFonts w:ascii="宋体" w:eastAsia="宋体" w:hAnsi="宋体" w:cs="宋体"/>
          <w:kern w:val="0"/>
          <w:sz w:val="23"/>
          <w:szCs w:val="23"/>
          <w14:ligatures w14:val="none"/>
        </w:rPr>
        <w:t>因子在全选股域的单调性较好，且有着平衡的有效性和预测能力表现。其余融资因子的单调性较差，且在全市场范围中收益预测能力不佳。全市场中，</w:t>
      </w:r>
      <w:proofErr w:type="spellStart"/>
      <w:r w:rsidRPr="0082515D">
        <w:rPr>
          <w:rFonts w:ascii="宋体" w:eastAsia="宋体" w:hAnsi="宋体" w:cs="宋体"/>
          <w:kern w:val="0"/>
          <w:sz w:val="23"/>
          <w:szCs w:val="23"/>
          <w14:ligatures w14:val="none"/>
        </w:rPr>
        <w:t>margin_money_bal_prop</w:t>
      </w:r>
      <w:proofErr w:type="spellEnd"/>
      <w:r w:rsidRPr="0082515D">
        <w:rPr>
          <w:rFonts w:ascii="宋体" w:eastAsia="宋体" w:hAnsi="宋体" w:cs="宋体"/>
          <w:kern w:val="0"/>
          <w:sz w:val="23"/>
          <w:szCs w:val="23"/>
          <w14:ligatures w14:val="none"/>
        </w:rPr>
        <w:t>因子的IC均值为-2.7%，IC_IR为-0.37。</w:t>
      </w:r>
    </w:p>
    <w:p w14:paraId="0348B05B" w14:textId="77777777" w:rsidR="0082515D" w:rsidRPr="0082515D" w:rsidRDefault="0082515D" w:rsidP="0082515D">
      <w:pPr>
        <w:widowControl/>
        <w:jc w:val="left"/>
        <w:rPr>
          <w:rFonts w:ascii="宋体" w:eastAsia="宋体" w:hAnsi="宋体" w:cs="宋体"/>
          <w:kern w:val="0"/>
          <w:sz w:val="24"/>
          <w14:ligatures w14:val="none"/>
        </w:rPr>
      </w:pPr>
    </w:p>
    <w:p w14:paraId="16A23C9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融券因子</w:t>
      </w:r>
      <w:r w:rsidRPr="0082515D">
        <w:rPr>
          <w:rFonts w:ascii="宋体" w:eastAsia="宋体" w:hAnsi="宋体" w:cs="宋体"/>
          <w:kern w:val="0"/>
          <w:sz w:val="23"/>
          <w:szCs w:val="23"/>
          <w14:ligatures w14:val="none"/>
        </w:rPr>
        <w:t>包括所有与融券相关的6个因子。</w:t>
      </w:r>
      <w:proofErr w:type="spellStart"/>
      <w:r w:rsidRPr="0082515D">
        <w:rPr>
          <w:rFonts w:ascii="宋体" w:eastAsia="宋体" w:hAnsi="宋体" w:cs="宋体"/>
          <w:kern w:val="0"/>
          <w:sz w:val="23"/>
          <w:szCs w:val="23"/>
          <w14:ligatures w14:val="none"/>
        </w:rPr>
        <w:t>margin_sec_bal_growth</w:t>
      </w:r>
      <w:proofErr w:type="spellEnd"/>
      <w:r w:rsidRPr="0082515D">
        <w:rPr>
          <w:rFonts w:ascii="宋体" w:eastAsia="宋体" w:hAnsi="宋体" w:cs="宋体"/>
          <w:kern w:val="0"/>
          <w:sz w:val="23"/>
          <w:szCs w:val="23"/>
          <w14:ligatures w14:val="none"/>
        </w:rPr>
        <w:t>因子在中证500和中证1000范围内有着较好的收益预测能力，且有效性和单调性也优于其他融券因子。在沪深300中，</w:t>
      </w:r>
      <w:proofErr w:type="spellStart"/>
      <w:r w:rsidRPr="0082515D">
        <w:rPr>
          <w:rFonts w:ascii="宋体" w:eastAsia="宋体" w:hAnsi="宋体" w:cs="宋体"/>
          <w:kern w:val="0"/>
          <w:sz w:val="23"/>
          <w:szCs w:val="23"/>
          <w14:ligatures w14:val="none"/>
        </w:rPr>
        <w:t>net_margin_sell_sec_shift_dist</w:t>
      </w:r>
      <w:proofErr w:type="spellEnd"/>
      <w:r w:rsidRPr="0082515D">
        <w:rPr>
          <w:rFonts w:ascii="宋体" w:eastAsia="宋体" w:hAnsi="宋体" w:cs="宋体"/>
          <w:kern w:val="0"/>
          <w:sz w:val="23"/>
          <w:szCs w:val="23"/>
          <w14:ligatures w14:val="none"/>
        </w:rPr>
        <w:t>因子有着较好的选股能力，但值得注意的是其稳定性和单调性一般。相比融资因子，融券因子虽然有效性较弱，但是在大部分选股域中单调性较好。中证500中，</w:t>
      </w:r>
      <w:proofErr w:type="spellStart"/>
      <w:r w:rsidRPr="0082515D">
        <w:rPr>
          <w:rFonts w:ascii="宋体" w:eastAsia="宋体" w:hAnsi="宋体" w:cs="宋体"/>
          <w:kern w:val="0"/>
          <w:sz w:val="23"/>
          <w:szCs w:val="23"/>
          <w14:ligatures w14:val="none"/>
        </w:rPr>
        <w:t>margin_sec_bal_growth</w:t>
      </w:r>
      <w:proofErr w:type="spellEnd"/>
      <w:r w:rsidRPr="0082515D">
        <w:rPr>
          <w:rFonts w:ascii="宋体" w:eastAsia="宋体" w:hAnsi="宋体" w:cs="宋体"/>
          <w:kern w:val="0"/>
          <w:sz w:val="23"/>
          <w:szCs w:val="23"/>
          <w14:ligatures w14:val="none"/>
        </w:rPr>
        <w:t>因子的IC均值为-1.8%，IC_IR为-0.27；沪深300中，</w:t>
      </w:r>
      <w:proofErr w:type="spellStart"/>
      <w:r w:rsidRPr="0082515D">
        <w:rPr>
          <w:rFonts w:ascii="宋体" w:eastAsia="宋体" w:hAnsi="宋体" w:cs="宋体"/>
          <w:kern w:val="0"/>
          <w:sz w:val="23"/>
          <w:szCs w:val="23"/>
          <w14:ligatures w14:val="none"/>
        </w:rPr>
        <w:t>net_margin_sell_sec_shift_dist</w:t>
      </w:r>
      <w:proofErr w:type="spellEnd"/>
      <w:r w:rsidRPr="0082515D">
        <w:rPr>
          <w:rFonts w:ascii="宋体" w:eastAsia="宋体" w:hAnsi="宋体" w:cs="宋体"/>
          <w:kern w:val="0"/>
          <w:sz w:val="23"/>
          <w:szCs w:val="23"/>
          <w14:ligatures w14:val="none"/>
        </w:rPr>
        <w:t>因子的IC均值为-1.5%，IC_IR为-0.18。</w:t>
      </w:r>
    </w:p>
    <w:p w14:paraId="68FA78A4" w14:textId="77777777" w:rsidR="0082515D" w:rsidRPr="0082515D" w:rsidRDefault="0082515D" w:rsidP="0082515D">
      <w:pPr>
        <w:widowControl/>
        <w:jc w:val="left"/>
        <w:rPr>
          <w:rFonts w:ascii="宋体" w:eastAsia="宋体" w:hAnsi="宋体" w:cs="宋体"/>
          <w:kern w:val="0"/>
          <w:sz w:val="24"/>
          <w14:ligatures w14:val="none"/>
        </w:rPr>
      </w:pPr>
    </w:p>
    <w:p w14:paraId="6BF326F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3"/>
          <w:szCs w:val="23"/>
          <w14:ligatures w14:val="none"/>
        </w:rPr>
        <w:t>总体而言，融资融券因子在全市场范围单调性欠佳，且有效性一般。</w:t>
      </w:r>
      <w:r w:rsidRPr="0082515D">
        <w:rPr>
          <w:rFonts w:ascii="宋体" w:eastAsia="宋体" w:hAnsi="宋体" w:cs="宋体"/>
          <w:kern w:val="0"/>
          <w:sz w:val="23"/>
          <w:szCs w:val="23"/>
          <w14:ligatures w14:val="none"/>
        </w:rPr>
        <w:t>只有少数融资融券因子在全选股域表现出一定的分组单调性，大多数融资融券因子在沪深300、中证500和中证1000的IC_IR表现都较为一般。</w:t>
      </w:r>
      <w:r w:rsidRPr="0082515D">
        <w:rPr>
          <w:rFonts w:ascii="宋体" w:eastAsia="宋体" w:hAnsi="宋体" w:cs="宋体"/>
          <w:b/>
          <w:bCs/>
          <w:kern w:val="0"/>
          <w:sz w:val="23"/>
          <w:szCs w:val="23"/>
          <w14:ligatures w14:val="none"/>
        </w:rPr>
        <w:t>从因子的预测方向来看，无论是融资因子还是融券因子，均表现为负面的预测效果，即融资买入（或融券卖出）占比越高，未来收益表现越弱。</w:t>
      </w:r>
    </w:p>
    <w:p w14:paraId="6A2B719A" w14:textId="77777777" w:rsidR="0082515D" w:rsidRPr="0082515D" w:rsidRDefault="0082515D" w:rsidP="0082515D">
      <w:pPr>
        <w:widowControl/>
        <w:jc w:val="left"/>
        <w:rPr>
          <w:rFonts w:ascii="宋体" w:eastAsia="宋体" w:hAnsi="宋体" w:cs="宋体"/>
          <w:kern w:val="0"/>
          <w:sz w:val="24"/>
          <w14:ligatures w14:val="none"/>
        </w:rPr>
      </w:pPr>
    </w:p>
    <w:p w14:paraId="1FB21BE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图表89：融资融券因子在全市场范围内的有效性检验结果</w:t>
      </w:r>
    </w:p>
    <w:p w14:paraId="0EE54988" w14:textId="4E11074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"https://mmbiz.qpic.cn/mmbiz_png/41FzlIA3BAWJblpfs7z25pCeTTJegtmBVkqEo7BGyZrItEqumHvoQPovicIgR9xhH4tnVXe6JX5nibbgdFmJ55SQ/640?wx_fmt=png&amp;tp=wxpic&amp;wxfrom=5&amp;wx_lazy=1#imgIndex=87"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C2172CA" wp14:editId="0AB49DA9">
            <wp:extent cx="5274310" cy="1417320"/>
            <wp:effectExtent l="0" t="0" r="0" b="5080"/>
            <wp:docPr id="830315275" name="图片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图片"/>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141732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D42AD5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t>资料来源：Wind，中金公司研究部  （注：统计时间为2010-04-01至2022-06-30；超额收益的比较基准为全市场等权指数）</w:t>
      </w:r>
    </w:p>
    <w:p w14:paraId="5201A326" w14:textId="77777777" w:rsidR="0082515D" w:rsidRPr="0082515D" w:rsidRDefault="0082515D" w:rsidP="0082515D">
      <w:pPr>
        <w:widowControl/>
        <w:jc w:val="left"/>
        <w:rPr>
          <w:rFonts w:ascii="宋体" w:eastAsia="宋体" w:hAnsi="宋体" w:cs="宋体"/>
          <w:kern w:val="0"/>
          <w:sz w:val="24"/>
          <w14:ligatures w14:val="none"/>
        </w:rPr>
      </w:pPr>
    </w:p>
    <w:p w14:paraId="23DCC4E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图表90：全市场范围内融资融券因子之间的相关性统计</w:t>
      </w:r>
    </w:p>
    <w:p w14:paraId="677A41BB" w14:textId="626D15FE"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"https://mmbiz.qpic.cn/mmbiz_png/41FzlIA3BAWJblpfs7z25pCeTTJegtmBr7nQtiaXrnbr3HBPo2ztrwlk59b8sBd9Fl5npYrXyiadJDmDgkKX8Q4Q/640?wx_fmt=png&amp;tp=wxpic&amp;wxfrom=5&amp;wx_lazy=1#imgIndex=88"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A3D7CC9" wp14:editId="12F52A86">
            <wp:extent cx="5274310" cy="1414145"/>
            <wp:effectExtent l="0" t="0" r="0" b="0"/>
            <wp:docPr id="467860382" name="图片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图片"/>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141414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8389A2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 </w:t>
      </w:r>
    </w:p>
    <w:p w14:paraId="0E7E56E9" w14:textId="77777777" w:rsidR="0082515D" w:rsidRPr="0082515D" w:rsidRDefault="0082515D" w:rsidP="0082515D">
      <w:pPr>
        <w:widowControl/>
        <w:jc w:val="left"/>
        <w:rPr>
          <w:rFonts w:ascii="宋体" w:eastAsia="宋体" w:hAnsi="宋体" w:cs="宋体"/>
          <w:kern w:val="0"/>
          <w:sz w:val="24"/>
          <w14:ligatures w14:val="none"/>
        </w:rPr>
      </w:pPr>
    </w:p>
    <w:p w14:paraId="1FD8D77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图表91：融资融券因子在沪深300范围内的有效性检验结果</w:t>
      </w:r>
    </w:p>
    <w:p w14:paraId="5CCF2AF3" w14:textId="0397B0A1"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"https://mmbiz.qpic.cn/mmbiz_png/41FzlIA3BAWJblpfs7z25pCeTTJegtmB8esOWNiatxIQqbh7YWibXyPCAWvAN2mXbWTDlsA2FfsUjibPjCbt49nUg/640?wx_fmt=png&amp;tp=wxpic&amp;wxfrom=5&amp;wx_lazy=1#imgIndex=89"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3E8F6D8" wp14:editId="2B7D5E4E">
            <wp:extent cx="5274310" cy="1352550"/>
            <wp:effectExtent l="0" t="0" r="0" b="6350"/>
            <wp:docPr id="559875421"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图片"/>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135255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2AF9EF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（注：统计时间为2010-04-01至2022-06-30；超额收益的比较基准为沪深300等权指数000984.CSI）</w:t>
      </w:r>
    </w:p>
    <w:p w14:paraId="767353A2" w14:textId="77777777" w:rsidR="0082515D" w:rsidRPr="0082515D" w:rsidRDefault="0082515D" w:rsidP="0082515D">
      <w:pPr>
        <w:widowControl/>
        <w:jc w:val="left"/>
        <w:rPr>
          <w:rFonts w:ascii="宋体" w:eastAsia="宋体" w:hAnsi="宋体" w:cs="宋体"/>
          <w:kern w:val="0"/>
          <w:sz w:val="24"/>
          <w14:ligatures w14:val="none"/>
        </w:rPr>
      </w:pPr>
    </w:p>
    <w:p w14:paraId="415C542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图表92：融资融券因子在中证500范围内的有效性检验结果</w:t>
      </w:r>
    </w:p>
    <w:p w14:paraId="0E144D95" w14:textId="4CE8CBFD"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"https://mmbiz.qpic.cn/mmbiz_png/41FzlIA3BAWJblpfs7z25pCeTTJegtmBe7dUAWNRaPXIaMNnUG4icfic0flokepCKfJG3ZLibDdPDfctP9xDBjkcA/640?wx_fmt=png&amp;tp=wxpic&amp;wxfrom=5&amp;wx_lazy=1#imgIndex=90"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B52B5C6" wp14:editId="22C3CEFF">
            <wp:extent cx="5274310" cy="1405890"/>
            <wp:effectExtent l="0" t="0" r="0" b="3810"/>
            <wp:docPr id="1111213591"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图片"/>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140589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BF10D91"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（注：统计时间为2010-04-01至2022-06-30；超额收益的比较基准为中证500等权指数000982.SH）</w:t>
      </w:r>
    </w:p>
    <w:p w14:paraId="29A2559C" w14:textId="77777777" w:rsidR="0082515D" w:rsidRPr="0082515D" w:rsidRDefault="0082515D" w:rsidP="0082515D">
      <w:pPr>
        <w:widowControl/>
        <w:jc w:val="left"/>
        <w:rPr>
          <w:rFonts w:ascii="宋体" w:eastAsia="宋体" w:hAnsi="宋体" w:cs="宋体"/>
          <w:kern w:val="0"/>
          <w:sz w:val="24"/>
          <w14:ligatures w14:val="none"/>
        </w:rPr>
      </w:pPr>
    </w:p>
    <w:p w14:paraId="53BB04A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图表93：融资融券因子在中证1000范围内的有效性检验结果</w:t>
      </w:r>
    </w:p>
    <w:p w14:paraId="48AE89B5" w14:textId="018CF0A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"https://mmbiz.qpic.cn/mmbiz_png/41FzlIA3BAWJblpfs7z25pCeTTJegtmBZ2ur0t76d4039f594s1NVRXGRqRvsmFhMck9tJRGBn9wyMBLq6AnPw/640?wx_fmt=png&amp;tp=wxpic&amp;wxfrom=5&amp;wx_lazy=1#imgIndex=91"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F14700E" wp14:editId="676DFCED">
            <wp:extent cx="5274310" cy="1372870"/>
            <wp:effectExtent l="0" t="0" r="0" b="0"/>
            <wp:docPr id="1058750977"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图片"/>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13728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AE5B51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09608F52" w14:textId="77777777" w:rsidR="0082515D" w:rsidRPr="0082515D" w:rsidRDefault="0082515D" w:rsidP="0082515D">
      <w:pPr>
        <w:widowControl/>
        <w:jc w:val="left"/>
        <w:rPr>
          <w:rFonts w:ascii="宋体" w:eastAsia="宋体" w:hAnsi="宋体" w:cs="宋体"/>
          <w:kern w:val="0"/>
          <w:sz w:val="24"/>
          <w14:ligatures w14:val="none"/>
        </w:rPr>
      </w:pPr>
    </w:p>
    <w:p w14:paraId="5866E22D" w14:textId="77777777" w:rsidR="0082515D" w:rsidRPr="0082515D" w:rsidRDefault="0082515D" w:rsidP="0082515D">
      <w:pPr>
        <w:widowControl/>
        <w:jc w:val="left"/>
        <w:rPr>
          <w:rFonts w:ascii="宋体" w:eastAsia="宋体" w:hAnsi="宋体" w:cs="宋体"/>
          <w:kern w:val="0"/>
          <w:sz w:val="24"/>
          <w14:ligatures w14:val="none"/>
        </w:rPr>
      </w:pPr>
    </w:p>
    <w:p w14:paraId="7DFFCAA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融资融券因子分组单调性欠佳，多头组合收益不稳定</w:t>
      </w:r>
    </w:p>
    <w:p w14:paraId="590FA2D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总体来看，融资融券因子多头组合收益表现不够稳定，分组单调性欠佳。</w:t>
      </w:r>
      <w:r w:rsidRPr="0082515D">
        <w:rPr>
          <w:rFonts w:ascii="宋体" w:eastAsia="宋体" w:hAnsi="宋体" w:cs="宋体"/>
          <w:kern w:val="0"/>
          <w:sz w:val="24"/>
          <w14:ligatures w14:val="none"/>
        </w:rPr>
        <w:t>融资余额占比因子（</w:t>
      </w:r>
      <w:proofErr w:type="spellStart"/>
      <w:r w:rsidRPr="0082515D">
        <w:rPr>
          <w:rFonts w:ascii="宋体" w:eastAsia="宋体" w:hAnsi="宋体" w:cs="宋体"/>
          <w:kern w:val="0"/>
          <w:sz w:val="24"/>
          <w14:ligatures w14:val="none"/>
        </w:rPr>
        <w:t>margin_money_bal_prop</w:t>
      </w:r>
      <w:proofErr w:type="spellEnd"/>
      <w:r w:rsidRPr="0082515D">
        <w:rPr>
          <w:rFonts w:ascii="宋体" w:eastAsia="宋体" w:hAnsi="宋体" w:cs="宋体"/>
          <w:kern w:val="0"/>
          <w:sz w:val="24"/>
          <w14:ligatures w14:val="none"/>
        </w:rPr>
        <w:t>）在沪深300、中证500、中证1000指数范围内，长期均可跑赢基准，但从多头组合的相对净值来看，均呈现阶段性失效的情况，并且分组单调性不佳，说明该因子的选股能力不够稳定，受风格影响较大。</w:t>
      </w:r>
    </w:p>
    <w:p w14:paraId="47E626E2" w14:textId="77777777" w:rsidR="0082515D" w:rsidRPr="0082515D" w:rsidRDefault="0082515D" w:rsidP="0082515D">
      <w:pPr>
        <w:widowControl/>
        <w:jc w:val="left"/>
        <w:rPr>
          <w:rFonts w:ascii="宋体" w:eastAsia="宋体" w:hAnsi="宋体" w:cs="宋体"/>
          <w:kern w:val="0"/>
          <w:sz w:val="24"/>
          <w14:ligatures w14:val="none"/>
        </w:rPr>
      </w:pPr>
    </w:p>
    <w:p w14:paraId="636E88B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图表94：沪深300范围内表现较好的融资融券因子多头组合相对净值</w:t>
      </w:r>
    </w:p>
    <w:p w14:paraId="227F9B71" w14:textId="0EC3FB3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"https://mmbiz.qpic.cn/mmbiz_png/41FzlIA3BAWJblpfs7z25pCeTTJegtmBseJCMJKyENPjS1Wn6ldlfVAfyLZJIXXhcR7VRvdlcNBDcauiceUtJyQ/640?wx_fmt=png&amp;tp=wxpic&amp;wxfrom=5&amp;wx_lazy=1#imgIndex=92"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3E1B9DFB" wp14:editId="31546C1A">
            <wp:extent cx="5274310" cy="2741295"/>
            <wp:effectExtent l="0" t="0" r="0" b="1905"/>
            <wp:docPr id="1199217053"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图片"/>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274129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47AF20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4BA4B8C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注：1）统计时间为2010-05-01至2022-06-30；2）相对净值的比较基准为沪深300等权指数000984.CSI</w:t>
      </w:r>
    </w:p>
    <w:p w14:paraId="0952C01C" w14:textId="77777777" w:rsidR="0082515D" w:rsidRPr="0082515D" w:rsidRDefault="0082515D" w:rsidP="0082515D">
      <w:pPr>
        <w:widowControl/>
        <w:jc w:val="left"/>
        <w:rPr>
          <w:rFonts w:ascii="宋体" w:eastAsia="宋体" w:hAnsi="宋体" w:cs="宋体"/>
          <w:kern w:val="0"/>
          <w:sz w:val="24"/>
          <w14:ligatures w14:val="none"/>
        </w:rPr>
      </w:pPr>
    </w:p>
    <w:p w14:paraId="46A09CA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图表95：沪深300范围内表现较好的融资融券因子分组年化超额收益统计</w:t>
      </w:r>
    </w:p>
    <w:p w14:paraId="1AA6B280" w14:textId="07F74803"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"https://mmbiz.qpic.cn/mmbiz_png/41FzlIA3BAWJblpfs7z25pCeTTJegtmBKeFLVsntwN9AnJIxKM5r4pI1vMC8UTiafvUEoww4GqAIsuDoC19WUBw/640?wx_fmt=png&amp;tp=wxpic&amp;wxfrom=5&amp;wx_lazy=1#imgIndex=93"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488784E" wp14:editId="14C9420A">
            <wp:extent cx="5274310" cy="2692400"/>
            <wp:effectExtent l="0" t="0" r="0" b="0"/>
            <wp:docPr id="219077719"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图片"/>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269240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81A8755"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7CC68F82"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注：1）统计时间为2010-04-01至2022-06-30；2）超额收益的比较基准为沪深300等权指数000984.CSI；3）Group1为因子值最小一组，Group10为因子值最大一组</w:t>
      </w:r>
    </w:p>
    <w:p w14:paraId="687C60F1" w14:textId="77777777" w:rsidR="0082515D" w:rsidRPr="0082515D" w:rsidRDefault="0082515D" w:rsidP="0082515D">
      <w:pPr>
        <w:widowControl/>
        <w:jc w:val="left"/>
        <w:rPr>
          <w:rFonts w:ascii="宋体" w:eastAsia="宋体" w:hAnsi="宋体" w:cs="宋体"/>
          <w:kern w:val="0"/>
          <w:sz w:val="24"/>
          <w14:ligatures w14:val="none"/>
        </w:rPr>
      </w:pPr>
    </w:p>
    <w:p w14:paraId="069FDAF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图表96：中证500范围内表现较好的融资融券因子多头组合相对净值</w:t>
      </w:r>
    </w:p>
    <w:p w14:paraId="3DA0E2CB" w14:textId="0C764FB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"https://mmbiz.qpic.cn/mmbiz_png/41FzlIA3BAWJblpfs7z25pCeTTJegtmBnxN7Mp1BFaBEZSqMjPLibiaG6jSXZDAWgk9Edict5M6ErCXf0ugicIIlVg/640?wx_fmt=png&amp;tp=wxpic&amp;wxfrom=5&amp;wx_lazy=1#imgIndex=94"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27C252C" wp14:editId="2F73E71F">
            <wp:extent cx="5274310" cy="2718435"/>
            <wp:effectExtent l="0" t="0" r="0" b="0"/>
            <wp:docPr id="81667615"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图片"/>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27184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029592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D4D9A4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注：1）统计时间为2012-02-01至2022-06-30；2）相对净值的比较基准为中证500等权指数000982.SH</w:t>
      </w:r>
    </w:p>
    <w:p w14:paraId="1524C50E" w14:textId="77777777" w:rsidR="0082515D" w:rsidRPr="0082515D" w:rsidRDefault="0082515D" w:rsidP="0082515D">
      <w:pPr>
        <w:widowControl/>
        <w:jc w:val="left"/>
        <w:rPr>
          <w:rFonts w:ascii="宋体" w:eastAsia="宋体" w:hAnsi="宋体" w:cs="宋体"/>
          <w:kern w:val="0"/>
          <w:sz w:val="24"/>
          <w14:ligatures w14:val="none"/>
        </w:rPr>
      </w:pPr>
    </w:p>
    <w:p w14:paraId="3EA8581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图表97：中证500范围内表现较好的融资融券因子分组年化超额收益统计</w:t>
      </w:r>
    </w:p>
    <w:p w14:paraId="5B48586C" w14:textId="51B5C3B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"https://mmbiz.qpic.cn/mmbiz_png/41FzlIA3BAWJblpfs7z25pCeTTJegtmBCrAelkaerNV44a5zHuqtVFN8dtdBJsOs8H3WK7P95JJsCRop1CTJBg/640?wx_fmt=png&amp;tp=wxpic&amp;wxfrom=5&amp;wx_lazy=1#imgIndex=95"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FAAE4D9" wp14:editId="6AAB890E">
            <wp:extent cx="5273675" cy="2771140"/>
            <wp:effectExtent l="0" t="0" r="0" b="0"/>
            <wp:docPr id="205373093"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图片"/>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3675" cy="277114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17520E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w:t>
      </w:r>
    </w:p>
    <w:p w14:paraId="057CB09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注：1）统计时间为2010-04-01至2022-06-30；2）超额收益的比较基准为中证500等权指数000982.SH；3）Group1为因子值最小一组，Group10为因子值最大一组 </w:t>
      </w:r>
    </w:p>
    <w:p w14:paraId="1B903754" w14:textId="77777777" w:rsidR="0082515D" w:rsidRPr="0082515D" w:rsidRDefault="0082515D" w:rsidP="0082515D">
      <w:pPr>
        <w:widowControl/>
        <w:jc w:val="left"/>
        <w:rPr>
          <w:rFonts w:ascii="宋体" w:eastAsia="宋体" w:hAnsi="宋体" w:cs="宋体"/>
          <w:kern w:val="0"/>
          <w:sz w:val="24"/>
          <w14:ligatures w14:val="none"/>
        </w:rPr>
      </w:pPr>
    </w:p>
    <w:p w14:paraId="06A74AA7"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图表98：中证1000范围内表现较好的融资融券因子多头组合相对净值</w:t>
      </w:r>
    </w:p>
    <w:p w14:paraId="5AE79C2E" w14:textId="51E72DA6"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"https://mmbiz.qpic.cn/mmbiz_png/41FzlIA3BAWJblpfs7z25pCeTTJegtmBIiaDicWqkqU41pCeM22ERfFaPfvc4GKVP1nC8XRQsMP7SViaR96XbqYjA/640?wx_fmt=png&amp;tp=wxpic&amp;wxfrom=5&amp;wx_lazy=1#imgIndex=96"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4A1A26D5" wp14:editId="1E80E53E">
            <wp:extent cx="5274310" cy="2708910"/>
            <wp:effectExtent l="0" t="0" r="0" b="0"/>
            <wp:docPr id="206849191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图片"/>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25F790D"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23B3ABE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注：1）统计时间为2014-11-01至2022-06-30；2）相对净值的比较基准为中证1000等权指数000852.SH</w:t>
      </w:r>
    </w:p>
    <w:p w14:paraId="3ED6C85D" w14:textId="77777777" w:rsidR="0082515D" w:rsidRPr="0082515D" w:rsidRDefault="0082515D" w:rsidP="0082515D">
      <w:pPr>
        <w:widowControl/>
        <w:jc w:val="left"/>
        <w:rPr>
          <w:rFonts w:ascii="宋体" w:eastAsia="宋体" w:hAnsi="宋体" w:cs="宋体"/>
          <w:kern w:val="0"/>
          <w:sz w:val="24"/>
          <w14:ligatures w14:val="none"/>
        </w:rPr>
      </w:pPr>
    </w:p>
    <w:p w14:paraId="50D1638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图表99：中证1000范围内表现较好的融资融券因子分组年化超额收益统计</w:t>
      </w:r>
    </w:p>
    <w:p w14:paraId="0BE4711D" w14:textId="668B1E3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"https://mmbiz.qpic.cn/mmbiz_png/41FzlIA3BAWJblpfs7z25pCeTTJegtmBZ5aG3t7dLHIuEbgm4OBLGbxgeNsSLZqPeULuWxb1C25VMtDPaAD9eg/640?wx_fmt=png&amp;tp=wxpic&amp;wxfrom=5&amp;wx_lazy=1#imgIndex=97"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68509696" wp14:editId="46DEA5CA">
            <wp:extent cx="5274310" cy="2719705"/>
            <wp:effectExtent l="0" t="0" r="0" b="0"/>
            <wp:docPr id="68271430"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图片"/>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4310" cy="271970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55D4200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w:t>
      </w:r>
    </w:p>
    <w:p w14:paraId="45DE8D9B"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注：1）统计时间为2014-11-01至2022-06-30；2）超额收益的比较基准为中证1000指数000852.SH；3）Group1为因子值最小一组，Group10为因子值最大一组</w:t>
      </w:r>
    </w:p>
    <w:p w14:paraId="05EB48F5" w14:textId="77777777" w:rsidR="0082515D" w:rsidRPr="0082515D" w:rsidRDefault="0082515D" w:rsidP="0082515D">
      <w:pPr>
        <w:widowControl/>
        <w:jc w:val="left"/>
        <w:rPr>
          <w:rFonts w:ascii="宋体" w:eastAsia="宋体" w:hAnsi="宋体" w:cs="宋体"/>
          <w:kern w:val="0"/>
          <w:sz w:val="24"/>
          <w14:ligatures w14:val="none"/>
        </w:rPr>
      </w:pPr>
    </w:p>
    <w:p w14:paraId="2E5A83B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价量复合因子</w:t>
      </w:r>
    </w:p>
    <w:p w14:paraId="617C03D5" w14:textId="77777777" w:rsidR="0082515D" w:rsidRPr="0082515D" w:rsidRDefault="0082515D" w:rsidP="0082515D">
      <w:pPr>
        <w:widowControl/>
        <w:jc w:val="left"/>
        <w:rPr>
          <w:rFonts w:ascii="宋体" w:eastAsia="宋体" w:hAnsi="宋体" w:cs="宋体"/>
          <w:kern w:val="0"/>
          <w:sz w:val="24"/>
          <w14:ligatures w14:val="none"/>
        </w:rPr>
      </w:pPr>
    </w:p>
    <w:p w14:paraId="6DABE1F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大部分价量复合因子之间相关性较低</w:t>
      </w:r>
    </w:p>
    <w:p w14:paraId="7609780E" w14:textId="77777777" w:rsidR="0082515D" w:rsidRPr="0082515D" w:rsidRDefault="0082515D" w:rsidP="0082515D">
      <w:pPr>
        <w:widowControl/>
        <w:jc w:val="left"/>
        <w:rPr>
          <w:rFonts w:ascii="宋体" w:eastAsia="宋体" w:hAnsi="宋体" w:cs="宋体"/>
          <w:kern w:val="0"/>
          <w:sz w:val="24"/>
          <w14:ligatures w14:val="none"/>
        </w:rPr>
      </w:pPr>
    </w:p>
    <w:p w14:paraId="644FA67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我们取前文分析的各类因子中，选股效果较好的因子，按同类型因子等权合成的方式，构建了12个复合因子。复合因子的具体构建方式如下表所示，</w:t>
      </w:r>
      <w:r w:rsidRPr="0082515D">
        <w:rPr>
          <w:rFonts w:ascii="宋体" w:eastAsia="宋体" w:hAnsi="宋体" w:cs="宋体"/>
          <w:b/>
          <w:bCs/>
          <w:kern w:val="0"/>
          <w:sz w:val="23"/>
          <w:szCs w:val="23"/>
          <w14:ligatures w14:val="none"/>
        </w:rPr>
        <w:t>复合因子合成过程中，我们对因子的方向进行了调整，使各个复合因子均与下期收益率正相关。</w:t>
      </w:r>
    </w:p>
    <w:p w14:paraId="5EB34840" w14:textId="77777777" w:rsidR="0082515D" w:rsidRPr="0082515D" w:rsidRDefault="0082515D" w:rsidP="0082515D">
      <w:pPr>
        <w:widowControl/>
        <w:jc w:val="left"/>
        <w:rPr>
          <w:rFonts w:ascii="宋体" w:eastAsia="宋体" w:hAnsi="宋体" w:cs="宋体"/>
          <w:kern w:val="0"/>
          <w:sz w:val="24"/>
          <w14:ligatures w14:val="none"/>
        </w:rPr>
      </w:pPr>
    </w:p>
    <w:p w14:paraId="1EE7B19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图表100：价量复合因子构建方式</w:t>
      </w:r>
    </w:p>
    <w:p w14:paraId="3994CEBD" w14:textId="6467ED0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"https://mmbiz.qpic.cn/mmbiz_png/41FzlIA3BAWJblpfs7z25pCeTTJegtmBGkia2ibPqoJu3HicOAgMX1ibGzFJnJ9tPywtcjWNITKI4FY4aZCA8J92EA/640?wx_fmt=png&amp;tp=wxpic&amp;wxfrom=5&amp;wx_lazy=1#imgIndex=98"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76ADF731" wp14:editId="013B8B9E">
            <wp:extent cx="5274310" cy="5877560"/>
            <wp:effectExtent l="0" t="0" r="0" b="2540"/>
            <wp:docPr id="1032995525"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图片"/>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74310" cy="587756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1CCBFD2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资料来源：中金公司研究部 </w:t>
      </w:r>
    </w:p>
    <w:p w14:paraId="58BCA35A" w14:textId="77777777" w:rsidR="0082515D" w:rsidRPr="0082515D" w:rsidRDefault="0082515D" w:rsidP="0082515D">
      <w:pPr>
        <w:widowControl/>
        <w:jc w:val="left"/>
        <w:rPr>
          <w:rFonts w:ascii="宋体" w:eastAsia="宋体" w:hAnsi="宋体" w:cs="宋体"/>
          <w:kern w:val="0"/>
          <w:sz w:val="24"/>
          <w14:ligatures w14:val="none"/>
        </w:rPr>
      </w:pPr>
    </w:p>
    <w:p w14:paraId="57D3A52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大部分复合因子之间的相关性较弱。</w:t>
      </w:r>
      <w:r w:rsidRPr="0082515D">
        <w:rPr>
          <w:rFonts w:ascii="宋体" w:eastAsia="宋体" w:hAnsi="宋体" w:cs="宋体"/>
          <w:kern w:val="0"/>
          <w:sz w:val="24"/>
          <w14:ligatures w14:val="none"/>
        </w:rPr>
        <w:t>我们统计了各类复合因子之间的相关性系数，如下表所示。绝大部分复合因子之间相关系数在0.25以下，仅流动性-换手率因子分别与波动率因子、流动性-价格弹性因子之间相关系数较高，说明流动性-换手率因子既含有波动率方面的信息，又包含了流动性方面的信息，相较而言，</w:t>
      </w:r>
      <w:r w:rsidRPr="0082515D">
        <w:rPr>
          <w:rFonts w:ascii="宋体" w:eastAsia="宋体" w:hAnsi="宋体" w:cs="宋体"/>
          <w:b/>
          <w:bCs/>
          <w:kern w:val="0"/>
          <w:sz w:val="24"/>
          <w14:ligatures w14:val="none"/>
        </w:rPr>
        <w:t>换手率因子与波动率因子的相关性更高一些。</w:t>
      </w:r>
      <w:r w:rsidRPr="0082515D">
        <w:rPr>
          <w:rFonts w:ascii="宋体" w:eastAsia="宋体" w:hAnsi="宋体" w:cs="宋体"/>
          <w:kern w:val="0"/>
          <w:sz w:val="24"/>
          <w14:ligatures w14:val="none"/>
        </w:rPr>
        <w:t>除此之外，量价相关性因子与反转因子具有弱相关性，相关系数0.38。</w:t>
      </w:r>
    </w:p>
    <w:p w14:paraId="6D7309B4" w14:textId="77777777" w:rsidR="0082515D" w:rsidRPr="0082515D" w:rsidRDefault="0082515D" w:rsidP="0082515D">
      <w:pPr>
        <w:widowControl/>
        <w:jc w:val="left"/>
        <w:rPr>
          <w:rFonts w:ascii="宋体" w:eastAsia="宋体" w:hAnsi="宋体" w:cs="宋体"/>
          <w:kern w:val="0"/>
          <w:sz w:val="24"/>
          <w14:ligatures w14:val="none"/>
        </w:rPr>
      </w:pPr>
    </w:p>
    <w:p w14:paraId="71481DF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图表101：全市场范围内复合因子之间的相关性统计</w:t>
      </w:r>
    </w:p>
    <w:p w14:paraId="76B3B725" w14:textId="0C4BC2C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lastRenderedPageBreak/>
        <w:fldChar w:fldCharType="begin"/>
      </w:r>
      <w:r w:rsidRPr="0082515D">
        <w:rPr>
          <w:rFonts w:ascii="宋体" w:eastAsia="宋体" w:hAnsi="宋体" w:cs="宋体"/>
          <w:kern w:val="0"/>
          <w:sz w:val="24"/>
          <w14:ligatures w14:val="none"/>
        </w:rPr>
        <w:instrText xml:space="preserve"> INCLUDEPICTURE "https://mmbiz.qpic.cn/mmbiz_png/41FzlIA3BAWJblpfs7z25pCeTTJegtmBeh8pRCGV8HOeicppwUk64Zx4eAY95U1gS8MSJFxpgGX7DO0L4vL46Ig/640?wx_fmt=png&amp;tp=wxpic&amp;wxfrom=5&amp;wx_lazy=1#imgIndex=99"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0AF118ED" wp14:editId="10724EF5">
            <wp:extent cx="5274310" cy="1555115"/>
            <wp:effectExtent l="0" t="0" r="0" b="0"/>
            <wp:docPr id="1158732280"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图片"/>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74310" cy="155511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785FBD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（注：统计时间为2016-09-02至2022-06-30）</w:t>
      </w:r>
    </w:p>
    <w:p w14:paraId="1A1BCC50" w14:textId="77777777" w:rsidR="0082515D" w:rsidRPr="0082515D" w:rsidRDefault="0082515D" w:rsidP="0082515D">
      <w:pPr>
        <w:widowControl/>
        <w:jc w:val="left"/>
        <w:rPr>
          <w:rFonts w:ascii="宋体" w:eastAsia="宋体" w:hAnsi="宋体" w:cs="宋体"/>
          <w:kern w:val="0"/>
          <w:sz w:val="24"/>
          <w14:ligatures w14:val="none"/>
        </w:rPr>
      </w:pPr>
    </w:p>
    <w:p w14:paraId="3779E50A" w14:textId="77777777" w:rsidR="0082515D" w:rsidRPr="0082515D" w:rsidRDefault="0082515D" w:rsidP="0082515D">
      <w:pPr>
        <w:widowControl/>
        <w:jc w:val="left"/>
        <w:rPr>
          <w:rFonts w:ascii="宋体" w:eastAsia="宋体" w:hAnsi="宋体" w:cs="宋体"/>
          <w:kern w:val="0"/>
          <w:sz w:val="24"/>
          <w14:ligatures w14:val="none"/>
        </w:rPr>
      </w:pPr>
    </w:p>
    <w:p w14:paraId="5A54918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价量复合因子选股能力较强，推荐关注量价相关性因子</w:t>
      </w:r>
    </w:p>
    <w:p w14:paraId="795F4978"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3"/>
          <w:szCs w:val="23"/>
          <w14:ligatures w14:val="none"/>
        </w:rPr>
        <w:t>我们在上述因子有效性检验框架下测试了价量复合因子在不同选股范围内的有效性情况，如下图所示。</w:t>
      </w:r>
    </w:p>
    <w:p w14:paraId="57927C99" w14:textId="77777777" w:rsidR="0082515D" w:rsidRPr="0082515D" w:rsidRDefault="0082515D" w:rsidP="0082515D">
      <w:pPr>
        <w:widowControl/>
        <w:jc w:val="left"/>
        <w:rPr>
          <w:rFonts w:ascii="宋体" w:eastAsia="宋体" w:hAnsi="宋体" w:cs="宋体"/>
          <w:kern w:val="0"/>
          <w:sz w:val="24"/>
          <w14:ligatures w14:val="none"/>
        </w:rPr>
      </w:pPr>
    </w:p>
    <w:p w14:paraId="29C2EB1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价量复合因子大多分组单调性较好，但部分因子的预测能力主要由空头部分贡献，多头组合超额收益相对较低。</w:t>
      </w:r>
      <w:r w:rsidRPr="0082515D">
        <w:rPr>
          <w:rFonts w:ascii="宋体" w:eastAsia="宋体" w:hAnsi="宋体" w:cs="宋体"/>
          <w:kern w:val="0"/>
          <w:sz w:val="23"/>
          <w:szCs w:val="23"/>
          <w14:ligatures w14:val="none"/>
        </w:rPr>
        <w:t>如下表所示，价量复合因子的单调性指标大多在0.85以上，部分因子分组单调性、IC_IR表现均较好，但多头年化超额表现相对较弱，如：波动率因子等，这类因子的预测能力主要由空头部分贡献。</w:t>
      </w:r>
    </w:p>
    <w:p w14:paraId="35C1FF0A" w14:textId="77777777" w:rsidR="0082515D" w:rsidRPr="0082515D" w:rsidRDefault="0082515D" w:rsidP="0082515D">
      <w:pPr>
        <w:widowControl/>
        <w:jc w:val="left"/>
        <w:rPr>
          <w:rFonts w:ascii="宋体" w:eastAsia="宋体" w:hAnsi="宋体" w:cs="宋体"/>
          <w:kern w:val="0"/>
          <w:sz w:val="24"/>
          <w14:ligatures w14:val="none"/>
        </w:rPr>
      </w:pPr>
    </w:p>
    <w:p w14:paraId="6E61FE1E"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沪深300范围内推荐关注量价相关性因子、北向持仓变化因子。</w:t>
      </w:r>
      <w:r w:rsidRPr="0082515D">
        <w:rPr>
          <w:rFonts w:ascii="宋体" w:eastAsia="宋体" w:hAnsi="宋体" w:cs="宋体"/>
          <w:kern w:val="0"/>
          <w:sz w:val="23"/>
          <w:szCs w:val="23"/>
          <w14:ligatures w14:val="none"/>
        </w:rPr>
        <w:t>沪深300范围内，量价相关性因子、北向持仓变化因子的IC_IR分别为0.50、0.49，IC均值分别为5.1%、4.0%，并且多头年化超额表现均较好。其中，量价相关性因子多头组合超额收益的最大回撤相对较高，应用时亦须警惕阶段性失效的风险。</w:t>
      </w:r>
    </w:p>
    <w:p w14:paraId="405EBCC9" w14:textId="77777777" w:rsidR="0082515D" w:rsidRPr="0082515D" w:rsidRDefault="0082515D" w:rsidP="0082515D">
      <w:pPr>
        <w:widowControl/>
        <w:jc w:val="left"/>
        <w:rPr>
          <w:rFonts w:ascii="宋体" w:eastAsia="宋体" w:hAnsi="宋体" w:cs="宋体"/>
          <w:kern w:val="0"/>
          <w:sz w:val="24"/>
          <w14:ligatures w14:val="none"/>
        </w:rPr>
      </w:pPr>
    </w:p>
    <w:p w14:paraId="0D7D367A"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Times New Roman" w:eastAsia="宋体" w:hAnsi="Times New Roman" w:cs="Times New Roman"/>
          <w:color w:val="640000"/>
          <w:kern w:val="0"/>
          <w:sz w:val="23"/>
          <w:szCs w:val="23"/>
          <w14:ligatures w14:val="none"/>
        </w:rPr>
        <w:t>►</w:t>
      </w:r>
      <w:r w:rsidRPr="0082515D">
        <w:rPr>
          <w:rFonts w:ascii="宋体" w:eastAsia="宋体" w:hAnsi="宋体" w:cs="宋体"/>
          <w:b/>
          <w:bCs/>
          <w:kern w:val="0"/>
          <w:sz w:val="23"/>
          <w:szCs w:val="23"/>
          <w14:ligatures w14:val="none"/>
        </w:rPr>
        <w:t>中小市值范围内则推荐关注换手率因子、反转因子。</w:t>
      </w:r>
      <w:r w:rsidRPr="0082515D">
        <w:rPr>
          <w:rFonts w:ascii="宋体" w:eastAsia="宋体" w:hAnsi="宋体" w:cs="宋体"/>
          <w:kern w:val="0"/>
          <w:sz w:val="23"/>
          <w:szCs w:val="23"/>
          <w14:ligatures w14:val="none"/>
        </w:rPr>
        <w:t>中证1000范围内，换手率因子、反转因子的IC_IR分别为0.81、0.78，IC均值分别为8.0%、6.9%，多头组合年化超额收益亦有较好的表现。</w:t>
      </w:r>
      <w:r w:rsidRPr="0082515D">
        <w:rPr>
          <w:rFonts w:ascii="宋体" w:eastAsia="宋体" w:hAnsi="宋体" w:cs="宋体"/>
          <w:b/>
          <w:bCs/>
          <w:kern w:val="0"/>
          <w:sz w:val="23"/>
          <w:szCs w:val="23"/>
          <w14:ligatures w14:val="none"/>
        </w:rPr>
        <w:t>资金流因子</w:t>
      </w:r>
      <w:r w:rsidRPr="0082515D">
        <w:rPr>
          <w:rFonts w:ascii="宋体" w:eastAsia="宋体" w:hAnsi="宋体" w:cs="宋体"/>
          <w:kern w:val="0"/>
          <w:sz w:val="23"/>
          <w:szCs w:val="23"/>
          <w14:ligatures w14:val="none"/>
        </w:rPr>
        <w:t>虽然IC_IR表现在价量因子中表现不算突出，但考虑到它与动量、波动率、流动性因子相关性均较低，仍</w:t>
      </w:r>
      <w:r w:rsidRPr="0082515D">
        <w:rPr>
          <w:rFonts w:ascii="宋体" w:eastAsia="宋体" w:hAnsi="宋体" w:cs="宋体"/>
          <w:b/>
          <w:bCs/>
          <w:kern w:val="0"/>
          <w:sz w:val="23"/>
          <w:szCs w:val="23"/>
          <w14:ligatures w14:val="none"/>
        </w:rPr>
        <w:t>可作为有效的增量信息加入多因子模型中使用。</w:t>
      </w:r>
    </w:p>
    <w:p w14:paraId="179F966D" w14:textId="77777777" w:rsidR="0082515D" w:rsidRPr="0082515D" w:rsidRDefault="0082515D" w:rsidP="0082515D">
      <w:pPr>
        <w:widowControl/>
        <w:jc w:val="left"/>
        <w:rPr>
          <w:rFonts w:ascii="宋体" w:eastAsia="宋体" w:hAnsi="宋体" w:cs="宋体"/>
          <w:kern w:val="0"/>
          <w:sz w:val="24"/>
          <w14:ligatures w14:val="none"/>
        </w:rPr>
      </w:pPr>
    </w:p>
    <w:p w14:paraId="605A9E9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图表102：复合因子在全市场范围内的有效性检验结果</w:t>
      </w:r>
    </w:p>
    <w:p w14:paraId="0F834CF8" w14:textId="4414E2CF"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"https://mmbiz.qpic.cn/mmbiz_png/41FzlIA3BAWJblpfs7z25pCeTTJegtmBjuOBQr4HbPXIUSrBXJnl82VTN8dkKCea0MZzo132q7C0gs3sOsasDg/640?wx_fmt=png&amp;tp=wxpic&amp;wxfrom=5&amp;wx_lazy=1#imgIndex=100"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5E55F4D1" wp14:editId="162C7F1B">
            <wp:extent cx="5274310" cy="1642110"/>
            <wp:effectExtent l="0" t="0" r="0" b="0"/>
            <wp:docPr id="1390443078"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图片"/>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164211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B2C8376"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（注：统计时间为2010-04-01至2022-06-30；超额收益的比较基准为全市场等权指数）</w:t>
      </w:r>
    </w:p>
    <w:p w14:paraId="35BC16A4" w14:textId="77777777" w:rsidR="0082515D" w:rsidRPr="0082515D" w:rsidRDefault="0082515D" w:rsidP="0082515D">
      <w:pPr>
        <w:widowControl/>
        <w:jc w:val="left"/>
        <w:rPr>
          <w:rFonts w:ascii="宋体" w:eastAsia="宋体" w:hAnsi="宋体" w:cs="宋体"/>
          <w:kern w:val="0"/>
          <w:sz w:val="24"/>
          <w14:ligatures w14:val="none"/>
        </w:rPr>
      </w:pPr>
    </w:p>
    <w:p w14:paraId="0BBD641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图表103：复合因子在沪深300范围内的有效性检验结果</w:t>
      </w:r>
    </w:p>
    <w:p w14:paraId="7BB50637" w14:textId="4E481929"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"https://mmbiz.qpic.cn/mmbiz_png/41FzlIA3BAWJblpfs7z25pCeTTJegtmB2Zm7foHRrbS2ic97qyLkBTvmqWseCBFaaNrWUGZ3U8uXqO9FibR9Lu0Q/640?wx_fmt=png&amp;tp=wxpic&amp;wxfrom=5&amp;wx_lazy=1#imgIndex=101"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229DE306" wp14:editId="49E416B6">
            <wp:extent cx="5274310" cy="1650365"/>
            <wp:effectExtent l="0" t="0" r="0" b="635"/>
            <wp:docPr id="1468032817"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图片"/>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165036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6ABC5999"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（注：统计时间为2010-04-01至2022-06-30；超额收益的比较基准为沪深300等权指数000984.CSI）</w:t>
      </w:r>
    </w:p>
    <w:p w14:paraId="56C638E5" w14:textId="77777777" w:rsidR="0082515D" w:rsidRPr="0082515D" w:rsidRDefault="0082515D" w:rsidP="0082515D">
      <w:pPr>
        <w:widowControl/>
        <w:jc w:val="left"/>
        <w:rPr>
          <w:rFonts w:ascii="宋体" w:eastAsia="宋体" w:hAnsi="宋体" w:cs="宋体"/>
          <w:kern w:val="0"/>
          <w:sz w:val="24"/>
          <w14:ligatures w14:val="none"/>
        </w:rPr>
      </w:pPr>
    </w:p>
    <w:p w14:paraId="0D817BC4"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图表104：复合因子在中证500范围内的有效性检验结果</w:t>
      </w:r>
    </w:p>
    <w:p w14:paraId="3B75C820" w14:textId="2A14029B"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"https://mmbiz.qpic.cn/mmbiz_png/41FzlIA3BAWJblpfs7z25pCeTTJegtmBpjYRCQcpMQwyLINFfv3g9RavrLDRHrORx5HHBOX1jEzclUAtWYo9aA/640?wx_fmt=png&amp;tp=wxpic&amp;wxfrom=5&amp;wx_lazy=1#imgIndex=102"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E1B22A4" wp14:editId="2D0EC122">
            <wp:extent cx="5274310" cy="1651635"/>
            <wp:effectExtent l="0" t="0" r="0" b="0"/>
            <wp:docPr id="445330734"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图片"/>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4310" cy="1651635"/>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308B36C3"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（注：统计时间为2010-04-01至2022-06-30；超额收益的比较基准为中证500等权指数000982.SH）</w:t>
      </w:r>
    </w:p>
    <w:p w14:paraId="67C0A716" w14:textId="77777777" w:rsidR="0082515D" w:rsidRPr="0082515D" w:rsidRDefault="0082515D" w:rsidP="0082515D">
      <w:pPr>
        <w:widowControl/>
        <w:jc w:val="left"/>
        <w:rPr>
          <w:rFonts w:ascii="宋体" w:eastAsia="宋体" w:hAnsi="宋体" w:cs="宋体"/>
          <w:kern w:val="0"/>
          <w:sz w:val="24"/>
          <w14:ligatures w14:val="none"/>
        </w:rPr>
      </w:pPr>
    </w:p>
    <w:p w14:paraId="64D6E56F"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b/>
          <w:bCs/>
          <w:kern w:val="0"/>
          <w:sz w:val="24"/>
          <w14:ligatures w14:val="none"/>
        </w:rPr>
        <w:t>图表105：复合因子在中证1000范围内的有效性检验结果</w:t>
      </w:r>
    </w:p>
    <w:p w14:paraId="232CC97D" w14:textId="68BAA270"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fldChar w:fldCharType="begin"/>
      </w:r>
      <w:r w:rsidRPr="0082515D">
        <w:rPr>
          <w:rFonts w:ascii="宋体" w:eastAsia="宋体" w:hAnsi="宋体" w:cs="宋体"/>
          <w:kern w:val="0"/>
          <w:sz w:val="24"/>
          <w14:ligatures w14:val="none"/>
        </w:rPr>
        <w:instrText xml:space="preserve"> INCLUDEPICTURE "https://mmbiz.qpic.cn/mmbiz_png/41FzlIA3BAWJblpfs7z25pCeTTJegtmBzib8nlLcBiaYJwJ1qOSAFfWlUCS7FCEqLb1rxcnnbdeov6FyO1bnlOQw/640?wx_fmt=png&amp;tp=wxpic&amp;wxfrom=5&amp;wx_lazy=1#imgIndex=103" \* MERGEFORMATINET </w:instrText>
      </w:r>
      <w:r w:rsidRPr="0082515D">
        <w:rPr>
          <w:rFonts w:ascii="宋体" w:eastAsia="宋体" w:hAnsi="宋体" w:cs="宋体"/>
          <w:kern w:val="0"/>
          <w:sz w:val="24"/>
          <w14:ligatures w14:val="none"/>
        </w:rPr>
        <w:fldChar w:fldCharType="separate"/>
      </w:r>
      <w:r w:rsidRPr="0082515D">
        <w:rPr>
          <w:rFonts w:ascii="宋体" w:eastAsia="宋体" w:hAnsi="宋体" w:cs="宋体"/>
          <w:noProof/>
          <w:kern w:val="0"/>
          <w:sz w:val="24"/>
          <w14:ligatures w14:val="none"/>
        </w:rPr>
        <w:drawing>
          <wp:inline distT="0" distB="0" distL="0" distR="0" wp14:anchorId="120CAFAB" wp14:editId="087E1A11">
            <wp:extent cx="5274310" cy="1664970"/>
            <wp:effectExtent l="0" t="0" r="0" b="0"/>
            <wp:docPr id="589109587"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图片"/>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1664970"/>
                    </a:xfrm>
                    <a:prstGeom prst="rect">
                      <a:avLst/>
                    </a:prstGeom>
                    <a:noFill/>
                    <a:ln>
                      <a:noFill/>
                    </a:ln>
                  </pic:spPr>
                </pic:pic>
              </a:graphicData>
            </a:graphic>
          </wp:inline>
        </w:drawing>
      </w:r>
      <w:r w:rsidRPr="0082515D">
        <w:rPr>
          <w:rFonts w:ascii="宋体" w:eastAsia="宋体" w:hAnsi="宋体" w:cs="宋体"/>
          <w:kern w:val="0"/>
          <w:sz w:val="24"/>
          <w14:ligatures w14:val="none"/>
        </w:rPr>
        <w:fldChar w:fldCharType="end"/>
      </w:r>
    </w:p>
    <w:p w14:paraId="083A850C" w14:textId="77777777" w:rsidR="0082515D" w:rsidRPr="0082515D" w:rsidRDefault="0082515D" w:rsidP="0082515D">
      <w:pPr>
        <w:widowControl/>
        <w:jc w:val="left"/>
        <w:rPr>
          <w:rFonts w:ascii="宋体" w:eastAsia="宋体" w:hAnsi="宋体" w:cs="宋体"/>
          <w:kern w:val="0"/>
          <w:sz w:val="24"/>
          <w14:ligatures w14:val="none"/>
        </w:rPr>
      </w:pPr>
      <w:r w:rsidRPr="0082515D">
        <w:rPr>
          <w:rFonts w:ascii="宋体" w:eastAsia="宋体" w:hAnsi="宋体" w:cs="宋体"/>
          <w:kern w:val="0"/>
          <w:sz w:val="24"/>
          <w14:ligatures w14:val="none"/>
        </w:rPr>
        <w:t>资料来源：Wind，中金公司研究部  （注：统计时间为2014-11-01至2022-06-30；超额收益的比较基准为中证1000指数000852.SH）</w:t>
      </w:r>
    </w:p>
    <w:p w14:paraId="480EDF85" w14:textId="77777777" w:rsidR="0082515D" w:rsidRPr="0082515D" w:rsidRDefault="0082515D" w:rsidP="0082515D">
      <w:pPr>
        <w:widowControl/>
        <w:jc w:val="left"/>
        <w:rPr>
          <w:rFonts w:ascii="宋体" w:eastAsia="宋体" w:hAnsi="宋体" w:cs="宋体"/>
          <w:kern w:val="0"/>
          <w:sz w:val="24"/>
          <w14:ligatures w14:val="none"/>
        </w:rPr>
      </w:pPr>
    </w:p>
    <w:p w14:paraId="19848130" w14:textId="77777777" w:rsidR="00842AE8" w:rsidRPr="0082515D" w:rsidRDefault="00842AE8">
      <w:pPr>
        <w:rPr>
          <w:rFonts w:hint="eastAsia"/>
        </w:rPr>
      </w:pPr>
    </w:p>
    <w:sectPr w:rsidR="00842AE8" w:rsidRPr="008251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5D"/>
    <w:rsid w:val="00586B3B"/>
    <w:rsid w:val="006B1588"/>
    <w:rsid w:val="0082515D"/>
    <w:rsid w:val="00842AE8"/>
    <w:rsid w:val="00D7592A"/>
    <w:rsid w:val="00E13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CEA23A"/>
  <w15:chartTrackingRefBased/>
  <w15:docId w15:val="{744E73F3-82A4-E84C-98C5-F759F137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51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51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51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51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515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51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51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51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51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51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51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51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515D"/>
    <w:rPr>
      <w:rFonts w:cstheme="majorBidi"/>
      <w:color w:val="0F4761" w:themeColor="accent1" w:themeShade="BF"/>
      <w:sz w:val="28"/>
      <w:szCs w:val="28"/>
    </w:rPr>
  </w:style>
  <w:style w:type="character" w:customStyle="1" w:styleId="50">
    <w:name w:val="标题 5 字符"/>
    <w:basedOn w:val="a0"/>
    <w:link w:val="5"/>
    <w:uiPriority w:val="9"/>
    <w:semiHidden/>
    <w:rsid w:val="0082515D"/>
    <w:rPr>
      <w:rFonts w:cstheme="majorBidi"/>
      <w:color w:val="0F4761" w:themeColor="accent1" w:themeShade="BF"/>
      <w:sz w:val="24"/>
    </w:rPr>
  </w:style>
  <w:style w:type="character" w:customStyle="1" w:styleId="60">
    <w:name w:val="标题 6 字符"/>
    <w:basedOn w:val="a0"/>
    <w:link w:val="6"/>
    <w:uiPriority w:val="9"/>
    <w:semiHidden/>
    <w:rsid w:val="0082515D"/>
    <w:rPr>
      <w:rFonts w:cstheme="majorBidi"/>
      <w:b/>
      <w:bCs/>
      <w:color w:val="0F4761" w:themeColor="accent1" w:themeShade="BF"/>
    </w:rPr>
  </w:style>
  <w:style w:type="character" w:customStyle="1" w:styleId="70">
    <w:name w:val="标题 7 字符"/>
    <w:basedOn w:val="a0"/>
    <w:link w:val="7"/>
    <w:uiPriority w:val="9"/>
    <w:semiHidden/>
    <w:rsid w:val="0082515D"/>
    <w:rPr>
      <w:rFonts w:cstheme="majorBidi"/>
      <w:b/>
      <w:bCs/>
      <w:color w:val="595959" w:themeColor="text1" w:themeTint="A6"/>
    </w:rPr>
  </w:style>
  <w:style w:type="character" w:customStyle="1" w:styleId="80">
    <w:name w:val="标题 8 字符"/>
    <w:basedOn w:val="a0"/>
    <w:link w:val="8"/>
    <w:uiPriority w:val="9"/>
    <w:semiHidden/>
    <w:rsid w:val="0082515D"/>
    <w:rPr>
      <w:rFonts w:cstheme="majorBidi"/>
      <w:color w:val="595959" w:themeColor="text1" w:themeTint="A6"/>
    </w:rPr>
  </w:style>
  <w:style w:type="character" w:customStyle="1" w:styleId="90">
    <w:name w:val="标题 9 字符"/>
    <w:basedOn w:val="a0"/>
    <w:link w:val="9"/>
    <w:uiPriority w:val="9"/>
    <w:semiHidden/>
    <w:rsid w:val="0082515D"/>
    <w:rPr>
      <w:rFonts w:eastAsiaTheme="majorEastAsia" w:cstheme="majorBidi"/>
      <w:color w:val="595959" w:themeColor="text1" w:themeTint="A6"/>
    </w:rPr>
  </w:style>
  <w:style w:type="paragraph" w:styleId="a3">
    <w:name w:val="Title"/>
    <w:basedOn w:val="a"/>
    <w:next w:val="a"/>
    <w:link w:val="a4"/>
    <w:uiPriority w:val="10"/>
    <w:qFormat/>
    <w:rsid w:val="008251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51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51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51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515D"/>
    <w:pPr>
      <w:spacing w:before="160" w:after="160"/>
      <w:jc w:val="center"/>
    </w:pPr>
    <w:rPr>
      <w:i/>
      <w:iCs/>
      <w:color w:val="404040" w:themeColor="text1" w:themeTint="BF"/>
    </w:rPr>
  </w:style>
  <w:style w:type="character" w:customStyle="1" w:styleId="a8">
    <w:name w:val="引用 字符"/>
    <w:basedOn w:val="a0"/>
    <w:link w:val="a7"/>
    <w:uiPriority w:val="29"/>
    <w:rsid w:val="0082515D"/>
    <w:rPr>
      <w:i/>
      <w:iCs/>
      <w:color w:val="404040" w:themeColor="text1" w:themeTint="BF"/>
    </w:rPr>
  </w:style>
  <w:style w:type="paragraph" w:styleId="a9">
    <w:name w:val="List Paragraph"/>
    <w:basedOn w:val="a"/>
    <w:uiPriority w:val="34"/>
    <w:qFormat/>
    <w:rsid w:val="0082515D"/>
    <w:pPr>
      <w:ind w:left="720"/>
      <w:contextualSpacing/>
    </w:pPr>
  </w:style>
  <w:style w:type="character" w:styleId="aa">
    <w:name w:val="Intense Emphasis"/>
    <w:basedOn w:val="a0"/>
    <w:uiPriority w:val="21"/>
    <w:qFormat/>
    <w:rsid w:val="0082515D"/>
    <w:rPr>
      <w:i/>
      <w:iCs/>
      <w:color w:val="0F4761" w:themeColor="accent1" w:themeShade="BF"/>
    </w:rPr>
  </w:style>
  <w:style w:type="paragraph" w:styleId="ab">
    <w:name w:val="Intense Quote"/>
    <w:basedOn w:val="a"/>
    <w:next w:val="a"/>
    <w:link w:val="ac"/>
    <w:uiPriority w:val="30"/>
    <w:qFormat/>
    <w:rsid w:val="00825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515D"/>
    <w:rPr>
      <w:i/>
      <w:iCs/>
      <w:color w:val="0F4761" w:themeColor="accent1" w:themeShade="BF"/>
    </w:rPr>
  </w:style>
  <w:style w:type="character" w:styleId="ad">
    <w:name w:val="Intense Reference"/>
    <w:basedOn w:val="a0"/>
    <w:uiPriority w:val="32"/>
    <w:qFormat/>
    <w:rsid w:val="0082515D"/>
    <w:rPr>
      <w:b/>
      <w:bCs/>
      <w:smallCaps/>
      <w:color w:val="0F4761" w:themeColor="accent1" w:themeShade="BF"/>
      <w:spacing w:val="5"/>
    </w:rPr>
  </w:style>
  <w:style w:type="paragraph" w:customStyle="1" w:styleId="msonormal0">
    <w:name w:val="msonormal"/>
    <w:basedOn w:val="a"/>
    <w:rsid w:val="0082515D"/>
    <w:pPr>
      <w:widowControl/>
      <w:spacing w:before="100" w:beforeAutospacing="1" w:after="100" w:afterAutospacing="1"/>
      <w:jc w:val="left"/>
    </w:pPr>
    <w:rPr>
      <w:rFonts w:ascii="宋体" w:eastAsia="宋体" w:hAnsi="宋体" w:cs="宋体"/>
      <w:kern w:val="0"/>
      <w:sz w:val="24"/>
      <w14:ligatures w14:val="none"/>
    </w:rPr>
  </w:style>
  <w:style w:type="paragraph" w:styleId="ae">
    <w:name w:val="Normal (Web)"/>
    <w:basedOn w:val="a"/>
    <w:uiPriority w:val="99"/>
    <w:semiHidden/>
    <w:unhideWhenUsed/>
    <w:rsid w:val="0082515D"/>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8251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24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07" Type="http://schemas.openxmlformats.org/officeDocument/2006/relationships/fontTable" Target="fontTable.xml"/><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6" Type="http://schemas.openxmlformats.org/officeDocument/2006/relationships/image" Target="media/image103.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jpe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7262</Words>
  <Characters>41397</Characters>
  <Application>Microsoft Office Word</Application>
  <DocSecurity>0</DocSecurity>
  <Lines>344</Lines>
  <Paragraphs>97</Paragraphs>
  <ScaleCrop>false</ScaleCrop>
  <Company/>
  <LinksUpToDate>false</LinksUpToDate>
  <CharactersWithSpaces>48562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tongxin20070330@outlook.com</dc:creator>
  <cp:keywords/>
  <dc:description/>
  <cp:lastModifiedBy>tongxin20070330@outlook.com</cp:lastModifiedBy>
  <cp:revision>1</cp:revision>
  <cp:lastPrinted>2026-05-18T09:51:00Z</cp:lastPrinted>
  <dcterms:created xsi:type="dcterms:W3CDTF">2026-05-18T09:50:00Z</dcterms:created>
  <dcterms:modified xsi:type="dcterms:W3CDTF">2026-05-18T09:51:00Z</dcterms:modified>
</cp:coreProperties>
</file>