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7F6C" w14:textId="77777777" w:rsidR="00C9434C" w:rsidRPr="00C9434C" w:rsidRDefault="00C9434C" w:rsidP="00C9434C">
      <w:pPr>
        <w:widowControl/>
        <w:jc w:val="left"/>
        <w:outlineLvl w:val="0"/>
        <w:rPr>
          <w:rFonts w:ascii="宋体" w:eastAsia="宋体" w:hAnsi="宋体" w:cs="宋体"/>
          <w:kern w:val="36"/>
          <w:sz w:val="33"/>
          <w:szCs w:val="33"/>
          <w14:ligatures w14:val="none"/>
        </w:rPr>
      </w:pPr>
      <w:r w:rsidRPr="00C9434C">
        <w:rPr>
          <w:rFonts w:ascii="宋体" w:eastAsia="宋体" w:hAnsi="宋体" w:cs="宋体"/>
          <w:kern w:val="36"/>
          <w:sz w:val="33"/>
          <w:szCs w:val="33"/>
          <w14:ligatures w14:val="none"/>
        </w:rPr>
        <w:t>A股反转之力的微观来源</w:t>
      </w:r>
    </w:p>
    <w:p w14:paraId="728E207F" w14:textId="77777777" w:rsidR="00C9434C" w:rsidRPr="00C9434C" w:rsidRDefault="00C9434C" w:rsidP="00C9434C">
      <w:pPr>
        <w:widowControl/>
        <w:spacing w:line="300" w:lineRule="atLeast"/>
        <w:ind w:right="150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C9434C">
        <w:rPr>
          <w:rFonts w:ascii="宋体" w:eastAsia="宋体" w:hAnsi="宋体" w:cs="宋体"/>
          <w:kern w:val="0"/>
          <w:sz w:val="18"/>
          <w:szCs w:val="18"/>
          <w14:ligatures w14:val="none"/>
        </w:rPr>
        <w:t>原创</w:t>
      </w:r>
      <w:r w:rsidRPr="00C9434C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C9434C">
        <w:rPr>
          <w:rFonts w:ascii="宋体" w:eastAsia="宋体" w:hAnsi="宋体" w:cs="宋体"/>
          <w:kern w:val="0"/>
          <w:sz w:val="23"/>
          <w:szCs w:val="23"/>
          <w14:ligatures w14:val="none"/>
        </w:rPr>
        <w:t>魏建榕</w:t>
      </w:r>
      <w:r w:rsidRPr="00C9434C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hyperlink r:id="rId4" w:history="1">
        <w:r w:rsidRPr="00C9434C">
          <w:rPr>
            <w:rFonts w:ascii="宋体" w:eastAsia="宋体" w:hAnsi="宋体" w:cs="宋体"/>
            <w:color w:val="0000FF"/>
            <w:kern w:val="0"/>
            <w:sz w:val="23"/>
            <w:szCs w:val="23"/>
            <w:u w:val="single"/>
            <w14:ligatures w14:val="none"/>
          </w:rPr>
          <w:t>建榕量化研究</w:t>
        </w:r>
      </w:hyperlink>
    </w:p>
    <w:p w14:paraId="51818A8E" w14:textId="77777777" w:rsidR="00C9434C" w:rsidRPr="00C9434C" w:rsidRDefault="00C9434C" w:rsidP="00C9434C">
      <w:pPr>
        <w:widowControl/>
        <w:spacing w:line="300" w:lineRule="atLeast"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C9434C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C9434C">
        <w:rPr>
          <w:rFonts w:ascii="宋体" w:eastAsia="宋体" w:hAnsi="宋体" w:cs="宋体"/>
          <w:kern w:val="0"/>
          <w:sz w:val="23"/>
          <w:szCs w:val="23"/>
          <w14:ligatures w14:val="none"/>
        </w:rPr>
        <w:t>2019年12月23日 12:58</w:t>
      </w:r>
    </w:p>
    <w:p w14:paraId="71AD46B8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。团队成员</w:t>
      </w:r>
    </w:p>
    <w:p w14:paraId="1F7EF895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Cs w:val="21"/>
          <w14:ligatures w14:val="none"/>
        </w:rPr>
        <w:t>开源证券金融工程首席分析师 魏建榕 博士</w:t>
      </w:r>
    </w:p>
    <w:p w14:paraId="651329A5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0"/>
          <w:szCs w:val="20"/>
          <w14:ligatures w14:val="none"/>
        </w:rPr>
        <w:t>weijianrong@kysec.cn，微信号：</w:t>
      </w:r>
      <w:proofErr w:type="spellStart"/>
      <w:r w:rsidRPr="00C9434C">
        <w:rPr>
          <w:rFonts w:ascii="宋体" w:eastAsia="宋体" w:hAnsi="宋体" w:cs="宋体"/>
          <w:kern w:val="0"/>
          <w:sz w:val="20"/>
          <w:szCs w:val="20"/>
          <w14:ligatures w14:val="none"/>
        </w:rPr>
        <w:t>brucewei_quant</w:t>
      </w:r>
      <w:proofErr w:type="spellEnd"/>
    </w:p>
    <w:p w14:paraId="2B317DA7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开源证券金融工程研究员 傅开波 </w:t>
      </w:r>
    </w:p>
    <w:p w14:paraId="24AE39ED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fukaibo@kysec.cn，微信号：18621542108</w:t>
      </w:r>
    </w:p>
    <w:p w14:paraId="4AF0ECCC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开源证券金融工程研究员 高鹏</w:t>
      </w:r>
    </w:p>
    <w:p w14:paraId="17B934B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gaopeng@kysec.cn，微信号：13951784990</w:t>
      </w:r>
    </w:p>
    <w:p w14:paraId="372710F7" w14:textId="06704508" w:rsidR="00C9434C" w:rsidRPr="00C9434C" w:rsidRDefault="00C9434C" w:rsidP="00C9434C">
      <w:pPr>
        <w:widowControl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Cs w:val="21"/>
          <w:shd w:val="clear" w:color="auto" w:fill="FFFFFF"/>
          <w14:ligatures w14:val="none"/>
        </w:rPr>
        <w:t>摘 要 </w:t>
      </w:r>
      <w:r w:rsidR="00A47F42">
        <w:rPr>
          <w:rFonts w:ascii="宋体" w:eastAsia="宋体" w:hAnsi="宋体" w:cs="宋体" w:hint="eastAsia"/>
          <w:b/>
          <w:bCs/>
          <w:kern w:val="0"/>
          <w:szCs w:val="21"/>
          <w:shd w:val="clear" w:color="auto" w:fill="FFFFFF"/>
          <w14:ligatures w14:val="none"/>
        </w:rPr>
        <w:t>看，</w:t>
      </w:r>
    </w:p>
    <w:p w14:paraId="70C2A314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color w:val="6C8B9C"/>
          <w:spacing w:val="8"/>
          <w:kern w:val="0"/>
          <w:szCs w:val="21"/>
          <w14:ligatures w14:val="none"/>
        </w:rPr>
        <w:t>反转之力的微观来源</w:t>
      </w:r>
    </w:p>
    <w:p w14:paraId="75F71DD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我们在2018年底提出了反转因子的独家改进方案——W式切割，因其简洁有效，受到了同行人士的肯定。由W式切割得到的理想反转因子，其收益的稳健度显著优于传统反转因子Ret20，信息比率IR达到2.51，月度胜率为74%。为了使W式切割能够得到更多的微观信息，我们用分位数代替平均值，作为新的切割标准。计算结果揭示：切割标准选用越高的分位值，W式切割的效果越好。这意味着，决定反转强度的因素，主要来源于成交金额分布的高分位区。更进一步地，本报告中我们借助假想实验的分析方法，得到了如下重要推论：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反转之力的微观来源，是大单成交。</w:t>
      </w:r>
    </w:p>
    <w:p w14:paraId="243FB5D1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</w:p>
    <w:p w14:paraId="3B2ED324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color w:val="6C8B9C"/>
          <w:spacing w:val="8"/>
          <w:kern w:val="0"/>
          <w:szCs w:val="21"/>
          <w14:ligatures w14:val="none"/>
        </w:rPr>
        <w:t>W式切割的操作步骤</w:t>
      </w:r>
    </w:p>
    <w:p w14:paraId="0E66D91C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（1）对选定股票S，回溯取其过去20日的数据；</w:t>
      </w:r>
    </w:p>
    <w:p w14:paraId="1AA3B029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（2）计算股票S每日的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平均单笔成交金额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（成交金额/成交笔数）；</w:t>
      </w:r>
    </w:p>
    <w:p w14:paraId="14A9D616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（3）单笔成交金额高的10个交易日，涨跌幅加总，记作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 xml:space="preserve"> ;</w:t>
      </w:r>
    </w:p>
    <w:p w14:paraId="5286BE84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（4）单笔成交金额低的10个交易日，涨跌幅加总，记作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 xml:space="preserve"> ;</w:t>
      </w:r>
    </w:p>
    <w:p w14:paraId="1647B475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（5）理想反转因子M=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–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 xml:space="preserve"> ;</w:t>
      </w:r>
    </w:p>
    <w:p w14:paraId="57E2B29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（6）对所有股票，都进行以上操作，计算各自的理想反转因子M。</w:t>
      </w:r>
    </w:p>
    <w:p w14:paraId="2EE911C9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</w:p>
    <w:p w14:paraId="3E5C0CD5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color w:val="6C8B9C"/>
          <w:spacing w:val="8"/>
          <w:kern w:val="0"/>
          <w:szCs w:val="21"/>
          <w14:ligatures w14:val="none"/>
        </w:rPr>
        <w:t>反转因子的高阶段解决方案</w:t>
      </w:r>
    </w:p>
    <w:p w14:paraId="6C6525C9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综合考虑，我们建议采用高分位作为W式切割的标准，取切割得到的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作为反转因子的代理变量。新因子既保留了理想反转因子的长期的收益特征，又成功避免了2019年2月份的大幅回撤。</w:t>
      </w:r>
    </w:p>
    <w:p w14:paraId="7F678B2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</w:p>
    <w:p w14:paraId="4251354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color w:val="6C8B9C"/>
          <w:spacing w:val="8"/>
          <w:kern w:val="0"/>
          <w:szCs w:val="21"/>
          <w14:ligatures w14:val="none"/>
        </w:rPr>
        <w:t>风险提示</w:t>
      </w:r>
    </w:p>
    <w:p w14:paraId="40749E02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模型测试基于历史数据，市场未来可能发生变化。</w:t>
      </w:r>
    </w:p>
    <w:p w14:paraId="54DE90B0" w14:textId="7C7E20AE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FA697AF" wp14:editId="13E2BD20">
                <wp:extent cx="304800" cy="304800"/>
                <wp:effectExtent l="0" t="0" r="0" b="0"/>
                <wp:docPr id="1861470513" name="矩形 7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8A354" id="矩形 7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7961813B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一、反转因子的W式切割</w:t>
      </w:r>
    </w:p>
    <w:p w14:paraId="2CA7B7B6" w14:textId="77777777" w:rsid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A股市场的反转因子（如常见的Ret20因子），长期累计收益非常显著，短期却常常出现回撤，一直是量化投资人内心深处的“带刺的玫瑰”。为了解决这种“用之不安、弃之可惜”的两难处境，我们在2018年底提出了反转因子的独家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lastRenderedPageBreak/>
        <w:t>改进方案——W式切割，并因其简洁有效，受到了同行人士的肯定。从根本上讲，W式切割模型的开发过程，关键不在于技术，而在于想法。我们最初的灵感来源，产生于2016年秋天北京金融街的星巴克，只是咖啡店里最简单直白的一桩小事：既然咖啡的成分里面有苦与甜的互相对冲，那么过去20日的涨跌幅里，为何不能分解出反转与动量的成分？这一问便直接引出了“反转因子的切割问题”。由此出发，在后续几年的研究中：基于上午与下午的切割，我们推出了APM因子（魏建榕等，2016-10-15）；基于小时维度的切割，我们推出了日内加权的反转因子（魏建榕等，2017-9-14）；基于每日平均单笔成交金额的切割，我们推出了W式切割反转因子（魏建榕、傅开波，2018-12-13）。从样本内的回测看，由W式切割得到的理想反转因子，其收益的稳健度要大大优于传统反转因子Ret20，两者的多空对冲信息比率IR分别为2.51与1.20，月度胜率分别为74%与64%，孰优孰劣，一目了然（图1）。</w:t>
      </w:r>
    </w:p>
    <w:p w14:paraId="5B026D96" w14:textId="3FFAC6B9" w:rsidR="00E6395F" w:rsidRPr="00C9434C" w:rsidRDefault="00E6395F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E6395F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108021AB" wp14:editId="4DB26192">
            <wp:extent cx="5274310" cy="1996440"/>
            <wp:effectExtent l="0" t="0" r="0" b="0"/>
            <wp:docPr id="49530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06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95F">
        <w:rPr>
          <w:noProof/>
        </w:rPr>
        <w:t xml:space="preserve"> </w:t>
      </w:r>
      <w:r w:rsidRPr="00E6395F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71E156C6" wp14:editId="79F0B5D8">
            <wp:extent cx="5274310" cy="3279775"/>
            <wp:effectExtent l="0" t="0" r="0" b="0"/>
            <wp:docPr id="814147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7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7D96" w14:textId="59A2DD4F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5160006" wp14:editId="105CF800">
                <wp:extent cx="304800" cy="304800"/>
                <wp:effectExtent l="0" t="0" r="0" b="0"/>
                <wp:docPr id="391068915" name="矩形 7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70284" id="矩形 7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53C1AD5F" w14:textId="52F32F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80BABCA" wp14:editId="2B6B6AF6">
                <wp:extent cx="304800" cy="304800"/>
                <wp:effectExtent l="0" t="0" r="0" b="0"/>
                <wp:docPr id="874534541" name="矩形 7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4B43D" id="矩形 7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4824F319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二、</w:t>
      </w:r>
      <w:r w:rsidRPr="00C9434C">
        <w:rPr>
          <w:rFonts w:ascii="宋体" w:eastAsia="宋体" w:hAnsi="宋体" w:cs="宋体"/>
          <w:b/>
          <w:bCs/>
          <w:spacing w:val="8"/>
          <w:kern w:val="0"/>
          <w:sz w:val="27"/>
          <w:szCs w:val="27"/>
          <w14:ligatures w14:val="none"/>
        </w:rPr>
        <w:t>理想反转因子的2019年回顾</w:t>
      </w:r>
    </w:p>
    <w:p w14:paraId="4C8EDAE7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br/>
        <w:t>W 式切割自公开发布至今已满一年，理想反转因子在此期间的大多数月份都取得了正收益（图2）。其中，2019年2月份理想反转因子发生了较大的回撤，该月份的一个大背景是，由于补涨行情的驱动，传统反转因子Ret20反而录得了很高的正收益。2019 年，我们在与同行人士的交流过程中，最常被问到的两个问题是：</w:t>
      </w:r>
    </w:p>
    <w:p w14:paraId="1F709B13" w14:textId="77777777" w:rsid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（1）2019 年 2 月份的回撤，原因是什么？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br/>
        <w:t>（2）选用“平均单笔成交金额”作为切割标准，其底层含义是什么？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br/>
        <w:t>为了解释因子的回撤，我们需要先理解因子收益的来源。从某种意义上讲，上述两个问题只是如下问题的不同表达：反转因子的微观机制是什么？</w:t>
      </w:r>
    </w:p>
    <w:p w14:paraId="35BED506" w14:textId="4D8F8483" w:rsidR="00E6395F" w:rsidRPr="00C9434C" w:rsidRDefault="00E6395F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E6395F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15DB6CF6" wp14:editId="474384E4">
            <wp:extent cx="5274310" cy="3347085"/>
            <wp:effectExtent l="0" t="0" r="0" b="5715"/>
            <wp:docPr id="1043114634" name="图片 1" descr="图表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4634" name="图片 1" descr="图表, 瀑布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E27F" w14:textId="56C2770B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2CA3468" wp14:editId="294853C5">
                <wp:extent cx="304800" cy="304800"/>
                <wp:effectExtent l="0" t="0" r="0" b="0"/>
                <wp:docPr id="552195118" name="矩形 7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9C197" id="矩形 7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3672FDA0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三、反转之力的微观来源</w:t>
      </w:r>
    </w:p>
    <w:p w14:paraId="7478B4A5" w14:textId="77777777" w:rsid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为了更好地展开讨论，我们首先引入一张逐笔成交金额的金字塔图。我们通过对2013-2018年间全部A股逐笔成交明细数据的统计，画出了A股逐笔成交金额的整体分布，如图3所示，其中横向红色柱子的长度代表该金额水平上的成交笔数。从形状上看，这是一个畸形的金字塔，底部极宽，顶部极窄。其表征的含义是，大多数被撮合成功的成交，其成交金额都是很小的，中位数在0.8万元，2.4万元是80%分位，4.5万元已经是90%分位，10万元以上的成交几乎是凤毛麟角[1]。在图3中，最显眼的红点是金字塔的重心（即平均值），意义是全部A股在此6年间的平均每笔成交金额为2.1万，这个金额已接近80%分位值。 </w:t>
      </w:r>
    </w:p>
    <w:p w14:paraId="3E550947" w14:textId="22FDFE00" w:rsidR="00E6395F" w:rsidRPr="00C9434C" w:rsidRDefault="00E6395F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E6395F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  <w:drawing>
          <wp:inline distT="0" distB="0" distL="0" distR="0" wp14:anchorId="05060A57" wp14:editId="05BA67EB">
            <wp:extent cx="5274310" cy="3896360"/>
            <wp:effectExtent l="0" t="0" r="0" b="2540"/>
            <wp:docPr id="10402432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4326" name="图片 1" descr="图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FC2" w14:textId="137B8947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2495353" wp14:editId="0825214F">
                <wp:extent cx="304800" cy="304800"/>
                <wp:effectExtent l="0" t="0" r="0" b="0"/>
                <wp:docPr id="162046893" name="矩形 7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AEE9D" id="矩形 7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6AE45C04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逐笔成交金额的金字塔，不是本文讨论的重点，但它却为我们提供了一个理解W式切割的绝佳视角。不妨设想，对于每一个股票、每一个交易日，我们都分别画一个类似的金字塔（形态会略显毛糙），W式切割等于是说：让我们回看过去20个交易日，然后比较每日金字塔的重心（平均值）高低，取重心高的10日的涨跌幅加总得到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，重心低的10日则得到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。在这个图象之下，如果我们进一步追问，重心代表了交易行为的什么特征呢？答案是相当模糊的，原因就在于，平均值是一个很弱的统计量，重心（平均单笔成交金额）提高，有可能是因为大单成交增加了，有可能是因为小单成交减少了，也有可能是大单被更大的大单替代了。换言之，从均值出发，很难反推关于逐笔成交金额原始分布的细节信息。顺着这一思路，为了使W式切割能够得到更多的微观信息，我们考虑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用分位数代替平均值，作为新的切割标准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（见表2之步骤2）。</w:t>
      </w:r>
    </w:p>
    <w:p w14:paraId="55AAFDC9" w14:textId="32F4AE7C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"https://mmbiz.qpic.cn/mmbiz_png/1ibtyEvWLuCeAo8F8ibHdM08RYCg9Im1v3OYvA1iboaYoBCw1x1HYNbSXxb8JSfg4Ch1M6LxcUicoiazQyCiaUBmfX4A/640?wx_fmt=png&amp;tp=wxpic&amp;wxfrom=5&amp;wx_lazy=1#imgIndex=5"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520E4CF3" wp14:editId="2DF88AE1">
            <wp:extent cx="5274310" cy="1997075"/>
            <wp:effectExtent l="0" t="0" r="0" b="0"/>
            <wp:docPr id="779785184" name="图片 6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1BD6FD49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lastRenderedPageBreak/>
        <w:t>我们的计算结果显示，当采用1/16分位值作为切割标准时，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的IC为-0.046，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的IC为-0.019，两个成分都呈现了反转特性（图4中最左边的蓝点与红点）。考虑到“切割”的原始动机是将动量与反转两个成分尽可能地拆分开，显然，这不是一个很理想的切割结果。</w:t>
      </w:r>
    </w:p>
    <w:p w14:paraId="21BF9743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接下来依此类推，我们可以改用其他分位值作为切割标准，分别测试2/16分位、3/16分位、4/16分位…15/16分位的情形。图4给出了非常有趣的结论：随着分位值的提高，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的反转特性越来越强（蓝点，IC一直是负的，但绝对值越来越大），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的反转特性逐渐消失并慢慢呈现出动量特性（红点，IC从负值慢慢向零靠拢，最后变为正值）。图4的总体效果像一个向右敞开的喇叭口，随着越往横轴右边（高分位），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与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之间的IC差距越大。也就是说，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切割标准选用越高的分位值，W式切割的效果越好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（图4与图5，横轴为1/16至15/16分位）。这意味着，决定反转强度的因素，主要来源于成交金额分布的高分位区，也即大单成交区。</w:t>
      </w:r>
    </w:p>
    <w:p w14:paraId="4E1AB297" w14:textId="205A85BB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lastRenderedPageBreak/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"https://mmbiz.qpic.cn/mmbiz_png/1ibtyEvWLuCeAo8F8ibHdM08RYCg9Im1v3iaeFO3BPUsrmLLgia5qAyyfgWTCqjiclE4HI3YGYQ2wYmNiagmtVNbJAhw/640?wx_fmt=png&amp;tp=wxpic&amp;wxfrom=5&amp;wx_lazy=1#imgIndex=6"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09AAF028" wp14:editId="5A150B35">
            <wp:extent cx="5274310" cy="3365500"/>
            <wp:effectExtent l="0" t="0" r="0" b="0"/>
            <wp:docPr id="216947943" name="图片 6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  <w:r w:rsidR="00E6395F" w:rsidRPr="00E6395F">
        <w:rPr>
          <w:noProof/>
        </w:rPr>
        <w:t xml:space="preserve"> </w:t>
      </w:r>
      <w:r w:rsidR="00E6395F" w:rsidRPr="00E6395F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79F35BCB" wp14:editId="53DEB7F0">
            <wp:extent cx="5274310" cy="3529965"/>
            <wp:effectExtent l="0" t="0" r="0" b="635"/>
            <wp:docPr id="12188019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191" name="图片 1" descr="图表, 折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B6E" w:rsidRPr="003C6B6E">
        <w:rPr>
          <w:noProof/>
        </w:rPr>
        <w:t xml:space="preserve"> </w:t>
      </w:r>
    </w:p>
    <w:p w14:paraId="71422F1B" w14:textId="67DAAE02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DCBEBE5" wp14:editId="0AAB474B">
                <wp:extent cx="304800" cy="304800"/>
                <wp:effectExtent l="0" t="0" r="0" b="0"/>
                <wp:docPr id="374423870" name="矩形 6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09A2F" id="矩形 6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1316205D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四、*更深层次的讨论：一个假想实验 </w:t>
      </w:r>
    </w:p>
    <w:p w14:paraId="52E44582" w14:textId="77777777" w:rsid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在前文的基础上，我们希望以假想实验的方式，更进一步地讨论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“单独1笔成交”对反转效应的贡献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。让我们首先设想一个最理想的情形：当我们回溯过去20日时，恰好每日的成交金额分布都完全一样。现在，假设其中某日额外新增了一笔成交，该笔成交是非常小的小单成交，金额小于1/16分位（图6左侧标尺旁的大蓝点）。该笔成交的加入，拉低了该日所有的分位值，导致该日在过去20日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lastRenderedPageBreak/>
        <w:t>的W式切割中式切割中总是被分在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一组。这样一来，从统计意义上看，该日的IC（当日涨跌与次月持仓收益的相关系数）等价于将所有15个红点的IC值加总求平均，如图6所示，结果为0.005。也就是说，这样一笔新增的成交，为当日贡献了IC=0.005的动量效应。</w:t>
      </w:r>
    </w:p>
    <w:p w14:paraId="7F91F6E9" w14:textId="44871CF0" w:rsidR="00D219E1" w:rsidRPr="00C9434C" w:rsidRDefault="00D219E1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3C6B6E">
        <w:rPr>
          <w:noProof/>
        </w:rPr>
        <w:drawing>
          <wp:inline distT="0" distB="0" distL="0" distR="0" wp14:anchorId="0E6DF0AB" wp14:editId="16D938ED">
            <wp:extent cx="5274310" cy="3150235"/>
            <wp:effectExtent l="0" t="0" r="0" b="0"/>
            <wp:docPr id="78720395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3955" name="图片 1" descr="图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6F22" w14:textId="22C1B0E0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325A755" wp14:editId="1642FBC7">
                <wp:extent cx="304800" cy="304800"/>
                <wp:effectExtent l="0" t="0" r="0" b="0"/>
                <wp:docPr id="1322283401" name="矩形 6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67EE4" id="矩形 6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5AF33C33" w14:textId="77777777" w:rsid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现在，让我们稍微做一些变化，将某日额外新增的这笔成交，金额改为介于1/16分位与2/16分位之间（图7左侧标尺旁的大蓝点）。这个变化的微妙之处在于，该笔成交的加入，将拉高该日的1/16分位值，并拉低其他所有的分位值（2/16至15/16）。因此，新增这笔成交贡献的IC，等价于最左侧1个蓝点与最右侧14个红点的加总求平均如图7所示，结果为0.003。</w:t>
      </w:r>
    </w:p>
    <w:p w14:paraId="3B70A3AB" w14:textId="14AEE557" w:rsidR="00D219E1" w:rsidRPr="00C9434C" w:rsidRDefault="00D219E1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D219E1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14A0F08F" wp14:editId="21A46A5C">
            <wp:extent cx="5274310" cy="2822575"/>
            <wp:effectExtent l="0" t="0" r="0" b="0"/>
            <wp:docPr id="514500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49FE" w14:textId="106E803B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6911403" wp14:editId="0B45D0F8">
                <wp:extent cx="304800" cy="304800"/>
                <wp:effectExtent l="0" t="0" r="0" b="0"/>
                <wp:docPr id="1310549192" name="矩形 6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B806A" id="矩形 6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3C786A78" w14:textId="77777777" w:rsid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lastRenderedPageBreak/>
        <w:t>接下来我们依此类推，逐渐提高这笔新增成交的金额，依次可以得到不同的等价IC值。图8所示的结果显示，随着成交金额的逐步提高（横轴从左到右），新增该笔成交对当日IC的贡献，从微弱的正值（动量特性）迅速下降为负值（反转特性），并且呈现加速下降的趋势。这个分析的意义在于，在逐笔成交的层面上，我们得到了如下重要推论：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反转之力的微观来源，是大单成交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。这是我们迄今为止对反转之力的最深层次理解。</w:t>
      </w:r>
    </w:p>
    <w:p w14:paraId="49217A97" w14:textId="76C6D8EB" w:rsidR="00D219E1" w:rsidRPr="00C9434C" w:rsidRDefault="00D219E1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D219E1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457CAB14" wp14:editId="7A507CF2">
            <wp:extent cx="5274310" cy="3275965"/>
            <wp:effectExtent l="0" t="0" r="0" b="635"/>
            <wp:docPr id="137338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82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4539" w14:textId="7BEF51E6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6B99068" wp14:editId="1623F15E">
                <wp:extent cx="304800" cy="304800"/>
                <wp:effectExtent l="0" t="0" r="0" b="0"/>
                <wp:docPr id="1494706721" name="矩形 6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98D51" id="矩形 6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7D018E6B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spacing w:val="8"/>
          <w:kern w:val="0"/>
          <w:szCs w:val="21"/>
          <w14:ligatures w14:val="none"/>
        </w:rPr>
      </w:pPr>
      <w:r w:rsidRPr="00C9434C">
        <w:rPr>
          <w:rFonts w:ascii="宋体" w:eastAsia="宋体" w:hAnsi="宋体" w:cs="宋体"/>
          <w:b/>
          <w:bCs/>
          <w:spacing w:val="8"/>
          <w:kern w:val="0"/>
          <w:sz w:val="27"/>
          <w:szCs w:val="27"/>
          <w14:ligatures w14:val="none"/>
        </w:rPr>
        <w:t>五、反转因子的高阶解决方案</w:t>
      </w:r>
    </w:p>
    <w:p w14:paraId="3FC1A2AC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综合考虑，我们建议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采用高分位作为W式切割的标准，取切割得到的</w:t>
      </w:r>
      <w:proofErr w:type="spellStart"/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作为反转因子的代理变量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。比如，采用13/16分位作为切割标准，得到的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因子可记为M_high_13/16。按照第3节的讨论，此方案的依据是：采用高分位作为切割标准，可以使得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有一个更强的反转特性（图4的蓝点）。按照第4节的讨论，此方案的依据则表达为：既然反转之力的微观来源是大单成交，那么寻找反转因子的最佳代理变量，则应该选取高分位值较高的那些交易日（因为高分位值较高意味着大单成交较多）。</w:t>
      </w:r>
    </w:p>
    <w:p w14:paraId="16DD0386" w14:textId="77777777" w:rsidR="00D219E1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图9给出了2019年各因子的多空对冲净值曲线。其中，理想反转因子（蓝线）可定性视为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因子（红线）与负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因子（绿线）的叠加。我们清楚地看到，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作为反转因子是非常稳健的。而在2019年2月份，负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因子录得了一个很大的回撤。受负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因子表现的拖累，理想反转因子（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M_high-M_low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）在2月份也出现了较大的回撤。图10给出了2013年至今各因子的多空对冲净值曲线。在此期间，新的因子M_high_13/16（蓝线）的多空IR为2.00，月度胜率为72.0%，IC为-0.070，</w:t>
      </w:r>
      <w:proofErr w:type="spellStart"/>
      <w:r w:rsidRPr="00C9434C">
        <w:rPr>
          <w:rFonts w:ascii="宋体" w:eastAsia="宋体" w:hAnsi="宋体" w:cs="宋体"/>
          <w:kern w:val="0"/>
          <w:sz w:val="24"/>
          <w14:ligatures w14:val="none"/>
        </w:rPr>
        <w:t>rankIC</w:t>
      </w:r>
      <w:proofErr w:type="spellEnd"/>
      <w:r w:rsidRPr="00C9434C">
        <w:rPr>
          <w:rFonts w:ascii="宋体" w:eastAsia="宋体" w:hAnsi="宋体" w:cs="宋体"/>
          <w:kern w:val="0"/>
          <w:sz w:val="24"/>
          <w14:ligatures w14:val="none"/>
        </w:rPr>
        <w:t>为-0.087。特别地，2019年2月份M_high_13/16仍然取得了正收益。我们的结论是，新因子M_high_13/16既保留了理想反转因子（橘线）的长期收益特征，又成功避免了类似2019年2月份的大幅回撤。</w:t>
      </w:r>
    </w:p>
    <w:p w14:paraId="028A6772" w14:textId="0866B380" w:rsidR="00C9434C" w:rsidRPr="00C9434C" w:rsidRDefault="00D219E1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D219E1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  <w:drawing>
          <wp:inline distT="0" distB="0" distL="0" distR="0" wp14:anchorId="333AC7D0" wp14:editId="70760189">
            <wp:extent cx="5274310" cy="3776345"/>
            <wp:effectExtent l="0" t="0" r="0" b="0"/>
            <wp:docPr id="1506206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6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9E1">
        <w:rPr>
          <w:noProof/>
        </w:rPr>
        <w:t xml:space="preserve"> </w:t>
      </w:r>
      <w:r w:rsidRPr="00D219E1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0938704E" wp14:editId="15FD359C">
            <wp:extent cx="5274310" cy="3757295"/>
            <wp:effectExtent l="0" t="0" r="0" b="1905"/>
            <wp:docPr id="80996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62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46B" w14:textId="37DCF9D5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</w:p>
    <w:p w14:paraId="667AA298" w14:textId="69592C04" w:rsidR="00C9434C" w:rsidRPr="00C9434C" w:rsidRDefault="00C9434C" w:rsidP="00C9434C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12C2883" wp14:editId="3484E530">
                <wp:extent cx="304800" cy="304800"/>
                <wp:effectExtent l="0" t="0" r="0" b="0"/>
                <wp:docPr id="1480794146" name="矩形 6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11323" id="矩形 6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09BC9B21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spacing w:val="8"/>
          <w:kern w:val="0"/>
          <w:szCs w:val="21"/>
          <w14:ligatures w14:val="none"/>
        </w:rPr>
      </w:pPr>
      <w:r w:rsidRPr="00C9434C">
        <w:rPr>
          <w:rFonts w:ascii="宋体" w:eastAsia="宋体" w:hAnsi="宋体" w:cs="宋体"/>
          <w:b/>
          <w:bCs/>
          <w:spacing w:val="8"/>
          <w:kern w:val="0"/>
          <w:sz w:val="27"/>
          <w:szCs w:val="27"/>
          <w14:ligatures w14:val="none"/>
        </w:rPr>
        <w:t>六、风险提示</w:t>
      </w:r>
    </w:p>
    <w:p w14:paraId="239808C6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lastRenderedPageBreak/>
        <w:t>模型测试基于历史数据，市场未来可能发生变化。</w:t>
      </w:r>
    </w:p>
    <w:p w14:paraId="1A9547DC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楷体_GB2312" w:eastAsia="楷体_GB2312" w:hAnsi="楷体_GB2312" w:cs="楷体_GB2312" w:hint="eastAsia"/>
          <w:kern w:val="0"/>
          <w:sz w:val="24"/>
          <w14:ligatures w14:val="none"/>
        </w:rPr>
        <w:br/>
      </w:r>
    </w:p>
    <w:p w14:paraId="6BF271AD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附注</w:t>
      </w:r>
      <w:r w:rsidRPr="00C9434C">
        <w:rPr>
          <w:rFonts w:ascii="楷体_GB2312" w:eastAsia="楷体_GB2312" w:hAnsi="楷体_GB2312" w:cs="楷体_GB2312" w:hint="eastAsia"/>
          <w:b/>
          <w:bCs/>
          <w:kern w:val="0"/>
          <w:sz w:val="24"/>
          <w14:ligatures w14:val="none"/>
        </w:rPr>
        <w:t>：</w:t>
      </w:r>
    </w:p>
    <w:p w14:paraId="4EFFE0E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[1]此处衍生的启发至少有两个：（1）研究端，交易行为的研究要接地气，如果考虑构造类似“大单成交占比”的因子时，选用“&gt;50万元”作为大单的标准，显然是脱离实际了；（2）交易端，不能以为订单拆分到10万元，就能够很好地隐藏在茫茫人海中，这是幻觉，群众们的每笔成交金额多在1万元以下。</w:t>
      </w:r>
    </w:p>
    <w:p w14:paraId="4962C1EC" w14:textId="6D5125D9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data:image/svg+xml,%3C%3Fxml%20version='1.0'%20encoding='UTF-8'%3F%3E%3Csvg%20width='1px'%20height='1px'%20viewBox='0%200%201%201'%20version='1.1'%20xmlns='http://www.w3.org/2000/svg'%20xmlns:xlink='http://www.w3.org/1999/xlink'%3E%3Ctitle%3E%3C/title%3E%3Cg%20stroke='none'%20stroke-width='1'%20fill='none'%20fill-rule='evenodd'%20fill-opacity='0'%3E%3Cg%20transform='translate(-249.000000,%20-126.000000)'%20fill='%23FFFFFF'%3E%3Crect%20x='249'%20y='126'%20width='1'%20height='1'%3E%3C/rect%3E%3C/g%3E%3C/g%3E%3C/svg%3E" \* MERGEFORMATINET </w:instrTex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9434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61ACED5" wp14:editId="13603800">
                <wp:extent cx="304800" cy="304800"/>
                <wp:effectExtent l="0" t="0" r="0" b="0"/>
                <wp:docPr id="46405035" name="矩形 6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C2D36" id="矩形 6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6CB65EB0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团队介绍</w:t>
      </w:r>
    </w:p>
    <w:p w14:paraId="2B5B6B9E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开源证券研究所金融工程团队，是一支年轻而富有创造力的团队，致力于提供全面深入、独家创新的量化研究。团队首席魏建榕先生，复旦大学理论物理学博士，专注量化投资研究近10年，历任东方证券研究员、上投摩根基金研究员、方正证券高级分析师、东吴证券联席首席分析师。在实证行为金融学、市场微观结构研究等领域取得了多项独创性研究成果，在国际学术期刊发表论文7篇，代表研报：《蜘蛛网CTA策略》系列、《聆听高频世界的声音》系列、《行业轮动的黄金律》、《反转因子的精细结构(W式切割)》等，在量化圈内有较好反响。作为团队核心成员，2016年获新财富最佳分析师第6名、金牛分析师第5名、水晶球分析师第6名、第一财经最佳分析师第5名。目前，开源金工团队成员来自复旦大学、华东师范大学、南京大学等知名院校。</w:t>
      </w:r>
    </w:p>
    <w:p w14:paraId="6D3C529B" w14:textId="77777777" w:rsidR="00C9434C" w:rsidRPr="00C9434C" w:rsidRDefault="00C9434C" w:rsidP="00C9434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kern w:val="0"/>
          <w:sz w:val="24"/>
          <w14:ligatures w14:val="none"/>
        </w:rPr>
        <w:t>团队愿景：开源金工团队将恪守</w:t>
      </w:r>
      <w:r w:rsidRPr="00C9434C">
        <w:rPr>
          <w:rFonts w:ascii="宋体" w:eastAsia="宋体" w:hAnsi="宋体" w:cs="宋体"/>
          <w:b/>
          <w:bCs/>
          <w:kern w:val="0"/>
          <w:sz w:val="24"/>
          <w14:ligatures w14:val="none"/>
        </w:rPr>
        <w:t>「原创、深度、讲逻辑、可验证」</w:t>
      </w:r>
      <w:r w:rsidRPr="00C9434C">
        <w:rPr>
          <w:rFonts w:ascii="宋体" w:eastAsia="宋体" w:hAnsi="宋体" w:cs="宋体"/>
          <w:kern w:val="0"/>
          <w:sz w:val="24"/>
          <w14:ligatures w14:val="none"/>
        </w:rPr>
        <w:t>的量化研究准则，努力为量化投资研究做出属于我们的微小贡献，共同见证中国量化投资事业的持续进步！</w:t>
      </w:r>
    </w:p>
    <w:p w14:paraId="3E39E5B7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spacing w:val="8"/>
          <w:kern w:val="0"/>
          <w:sz w:val="24"/>
          <w14:ligatures w14:val="none"/>
        </w:rPr>
      </w:pPr>
    </w:p>
    <w:p w14:paraId="4E2E7C6A" w14:textId="77777777" w:rsidR="00C9434C" w:rsidRPr="00C9434C" w:rsidRDefault="00C9434C" w:rsidP="00C9434C">
      <w:pPr>
        <w:widowControl/>
        <w:jc w:val="center"/>
        <w:rPr>
          <w:rFonts w:ascii="宋体" w:eastAsia="宋体" w:hAnsi="宋体" w:cs="宋体"/>
          <w:spacing w:val="8"/>
          <w:kern w:val="0"/>
          <w:sz w:val="24"/>
          <w14:ligatures w14:val="none"/>
        </w:rPr>
      </w:pPr>
      <w:r w:rsidRPr="00C9434C">
        <w:rPr>
          <w:rFonts w:ascii="宋体" w:eastAsia="宋体" w:hAnsi="宋体" w:cs="宋体"/>
          <w:b/>
          <w:bCs/>
          <w:color w:val="FFFFFF"/>
          <w:spacing w:val="8"/>
          <w:kern w:val="0"/>
          <w:szCs w:val="21"/>
          <w14:ligatures w14:val="none"/>
        </w:rPr>
        <w:t> 免 责 声 明 </w:t>
      </w:r>
    </w:p>
    <w:p w14:paraId="04E99E6C" w14:textId="77777777" w:rsidR="00842AE8" w:rsidRPr="00C9434C" w:rsidRDefault="00842AE8" w:rsidP="00C9434C"/>
    <w:sectPr w:rsidR="00842AE8" w:rsidRPr="00C94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宋体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83"/>
    <w:rsid w:val="001A4183"/>
    <w:rsid w:val="003C6B6E"/>
    <w:rsid w:val="00481346"/>
    <w:rsid w:val="004B0D71"/>
    <w:rsid w:val="00586B3B"/>
    <w:rsid w:val="006B1588"/>
    <w:rsid w:val="00842AE8"/>
    <w:rsid w:val="00A47F42"/>
    <w:rsid w:val="00B648D5"/>
    <w:rsid w:val="00BF5661"/>
    <w:rsid w:val="00C9434C"/>
    <w:rsid w:val="00D219E1"/>
    <w:rsid w:val="00D7592A"/>
    <w:rsid w:val="00E1301D"/>
    <w:rsid w:val="00E6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7FE51"/>
  <w15:chartTrackingRefBased/>
  <w15:docId w15:val="{EA265B65-E327-1344-9108-E96A53A3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41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1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1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1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1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1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1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41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41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1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41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41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1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41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41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1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4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41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1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1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1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418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A41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A4183"/>
    <w:rPr>
      <w:b/>
      <w:bCs/>
    </w:rPr>
  </w:style>
  <w:style w:type="character" w:customStyle="1" w:styleId="wxtextunderline">
    <w:name w:val="wx_text_underline"/>
    <w:basedOn w:val="a0"/>
    <w:rsid w:val="001A4183"/>
  </w:style>
  <w:style w:type="character" w:customStyle="1" w:styleId="wxsearchkeywordwrap">
    <w:name w:val="wx_search_keyword_wrap"/>
    <w:basedOn w:val="a0"/>
    <w:rsid w:val="001A4183"/>
  </w:style>
  <w:style w:type="character" w:styleId="af0">
    <w:name w:val="Hyperlink"/>
    <w:basedOn w:val="a0"/>
    <w:uiPriority w:val="99"/>
    <w:semiHidden/>
    <w:unhideWhenUsed/>
    <w:rsid w:val="001A4183"/>
    <w:rPr>
      <w:color w:val="0000FF"/>
      <w:u w:val="single"/>
    </w:rPr>
  </w:style>
  <w:style w:type="character" w:customStyle="1" w:styleId="jstitleinner">
    <w:name w:val="js_title_inner"/>
    <w:basedOn w:val="a0"/>
    <w:rsid w:val="00C9434C"/>
  </w:style>
  <w:style w:type="character" w:customStyle="1" w:styleId="wxtaplink">
    <w:name w:val="wx_tap_link"/>
    <w:basedOn w:val="a0"/>
    <w:rsid w:val="00C9434C"/>
  </w:style>
  <w:style w:type="character" w:customStyle="1" w:styleId="richmediameta">
    <w:name w:val="rich_media_meta"/>
    <w:basedOn w:val="a0"/>
    <w:rsid w:val="00C9434C"/>
  </w:style>
  <w:style w:type="character" w:styleId="af1">
    <w:name w:val="Emphasis"/>
    <w:basedOn w:val="a0"/>
    <w:uiPriority w:val="20"/>
    <w:qFormat/>
    <w:rsid w:val="00C943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00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992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hyperlink" Target="javascript:void(0);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tongxin20070330@outlook.com</dc:creator>
  <cp:keywords/>
  <dc:description/>
  <cp:lastModifiedBy>tongxin20070330@outlook.com</cp:lastModifiedBy>
  <cp:revision>4</cp:revision>
  <dcterms:created xsi:type="dcterms:W3CDTF">2026-05-18T08:29:00Z</dcterms:created>
  <dcterms:modified xsi:type="dcterms:W3CDTF">2026-05-20T06:31:00Z</dcterms:modified>
</cp:coreProperties>
</file>