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392" w:type="dxa"/>
        <w:tblLayout w:type="fixed"/>
        <w:tblCellMar>
          <w:left w:w="10" w:type="dxa"/>
          <w:right w:w="10" w:type="dxa"/>
        </w:tblCellMar>
        <w:tblLook w:val="0000" w:firstRow="0" w:lastRow="0" w:firstColumn="0" w:lastColumn="0" w:noHBand="0" w:noVBand="0"/>
      </w:tblPr>
      <w:tblGrid>
        <w:gridCol w:w="1692"/>
        <w:gridCol w:w="3694"/>
        <w:gridCol w:w="5387"/>
      </w:tblGrid>
      <w:tr w:rsidR="00EA134D" w14:paraId="5BEDDD30" w14:textId="77777777">
        <w:tc>
          <w:tcPr>
            <w:tcW w:w="169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4EBE5F6" w14:textId="77777777" w:rsidR="00EA134D" w:rsidRDefault="00105268">
            <w:pPr>
              <w:pStyle w:val="Standard"/>
              <w:widowControl/>
              <w:ind w:left="38"/>
              <w:jc w:val="center"/>
            </w:pPr>
            <w:r>
              <w:rPr>
                <w:rStyle w:val="Fuentedeprrafopredeter1"/>
                <w:rFonts w:ascii="Calibri" w:eastAsia="Calibri" w:hAnsi="Calibri" w:cs="Calibri"/>
                <w:noProof/>
                <w:color w:val="000000"/>
                <w:sz w:val="12"/>
                <w:szCs w:val="12"/>
              </w:rPr>
              <w:drawing>
                <wp:anchor distT="0" distB="0" distL="114300" distR="114300" simplePos="0" relativeHeight="251658240" behindDoc="1" locked="0" layoutInCell="1" allowOverlap="1" wp14:anchorId="6D1DC521" wp14:editId="2A20776E">
                  <wp:simplePos x="0" y="0"/>
                  <wp:positionH relativeFrom="column">
                    <wp:posOffset>172090</wp:posOffset>
                  </wp:positionH>
                  <wp:positionV relativeFrom="paragraph">
                    <wp:posOffset>-6492</wp:posOffset>
                  </wp:positionV>
                  <wp:extent cx="627461" cy="656630"/>
                  <wp:effectExtent l="0" t="0" r="1189" b="0"/>
                  <wp:wrapNone/>
                  <wp:docPr id="857978116"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61" cy="656630"/>
                          </a:xfrm>
                          <a:prstGeom prst="rect">
                            <a:avLst/>
                          </a:prstGeom>
                          <a:noFill/>
                          <a:ln>
                            <a:noFill/>
                            <a:prstDash/>
                          </a:ln>
                        </pic:spPr>
                      </pic:pic>
                    </a:graphicData>
                  </a:graphic>
                </wp:anchor>
              </w:drawing>
            </w:r>
          </w:p>
        </w:tc>
        <w:tc>
          <w:tcPr>
            <w:tcW w:w="90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vAlign w:val="center"/>
          </w:tcPr>
          <w:p w14:paraId="08E1D6AD" w14:textId="77777777" w:rsidR="00EA134D" w:rsidRDefault="00EA134D">
            <w:pPr>
              <w:pStyle w:val="Standard"/>
              <w:widowControl/>
              <w:jc w:val="center"/>
              <w:rPr>
                <w:rFonts w:ascii="Calibri" w:eastAsia="Calibri" w:hAnsi="Calibri" w:cs="Calibri"/>
                <w:color w:val="000000"/>
                <w:sz w:val="32"/>
                <w:szCs w:val="32"/>
              </w:rPr>
            </w:pPr>
          </w:p>
          <w:p w14:paraId="5AF56930" w14:textId="77777777" w:rsidR="00EA134D" w:rsidRDefault="00105268">
            <w:pPr>
              <w:pStyle w:val="Standard"/>
              <w:widowControl/>
              <w:jc w:val="center"/>
            </w:pPr>
            <w:r>
              <w:rPr>
                <w:rStyle w:val="Fuentedeprrafopredeter1"/>
                <w:rFonts w:ascii="Arial" w:eastAsia="Arial" w:hAnsi="Arial" w:cs="Arial"/>
                <w:b/>
                <w:color w:val="000000"/>
                <w:sz w:val="32"/>
                <w:szCs w:val="32"/>
              </w:rPr>
              <w:t>Carátula para entrega de prácticas</w:t>
            </w:r>
          </w:p>
          <w:p w14:paraId="13D13513" w14:textId="77777777" w:rsidR="00EA134D" w:rsidRDefault="00EA134D">
            <w:pPr>
              <w:pStyle w:val="Standard"/>
              <w:widowControl/>
              <w:jc w:val="center"/>
              <w:rPr>
                <w:rFonts w:ascii="Calibri" w:eastAsia="Calibri" w:hAnsi="Calibri" w:cs="Calibri"/>
                <w:color w:val="000000"/>
                <w:sz w:val="22"/>
                <w:szCs w:val="22"/>
              </w:rPr>
            </w:pPr>
          </w:p>
        </w:tc>
      </w:tr>
      <w:tr w:rsidR="00EA134D" w14:paraId="4E6A474F" w14:textId="77777777">
        <w:tc>
          <w:tcPr>
            <w:tcW w:w="5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F4B589F" w14:textId="77777777" w:rsidR="00EA134D" w:rsidRDefault="00EA134D">
            <w:pPr>
              <w:pStyle w:val="Standard"/>
              <w:widowControl/>
              <w:ind w:left="38"/>
              <w:jc w:val="center"/>
              <w:rPr>
                <w:rFonts w:ascii="Arial" w:eastAsia="Arial" w:hAnsi="Arial" w:cs="Arial"/>
                <w:color w:val="000000"/>
                <w:sz w:val="20"/>
                <w:szCs w:val="20"/>
              </w:rPr>
            </w:pPr>
          </w:p>
          <w:p w14:paraId="1893B1F7" w14:textId="77777777" w:rsidR="00EA134D" w:rsidRDefault="00105268">
            <w:pPr>
              <w:pStyle w:val="Standard"/>
              <w:widowControl/>
              <w:ind w:left="38"/>
              <w:jc w:val="center"/>
            </w:pPr>
            <w:r>
              <w:rPr>
                <w:rStyle w:val="Fuentedeprrafopredeter1"/>
                <w:rFonts w:ascii="Arial" w:eastAsia="Arial" w:hAnsi="Arial" w:cs="Arial"/>
                <w:color w:val="000000"/>
              </w:rPr>
              <w:t>Facultad de Ingeniería</w:t>
            </w:r>
          </w:p>
          <w:p w14:paraId="751F2147" w14:textId="77777777" w:rsidR="00EA134D" w:rsidRDefault="00EA134D">
            <w:pPr>
              <w:pStyle w:val="Standard"/>
              <w:widowControl/>
              <w:ind w:left="38"/>
              <w:jc w:val="center"/>
              <w:rPr>
                <w:rFonts w:ascii="Calibri" w:eastAsia="Calibri" w:hAnsi="Calibri" w:cs="Calibri"/>
                <w:color w:val="000000"/>
                <w:sz w:val="20"/>
                <w:szCs w:val="20"/>
              </w:rPr>
            </w:pPr>
          </w:p>
        </w:tc>
        <w:tc>
          <w:tcPr>
            <w:tcW w:w="5387"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64C84BF" w14:textId="77777777" w:rsidR="00EA134D" w:rsidRDefault="00EA134D">
            <w:pPr>
              <w:pStyle w:val="Standard"/>
              <w:widowControl/>
              <w:ind w:left="38"/>
              <w:jc w:val="center"/>
              <w:rPr>
                <w:rFonts w:ascii="Calibri" w:eastAsia="Calibri" w:hAnsi="Calibri" w:cs="Calibri"/>
                <w:color w:val="000000"/>
                <w:sz w:val="20"/>
                <w:szCs w:val="20"/>
              </w:rPr>
            </w:pPr>
          </w:p>
          <w:p w14:paraId="008D7912" w14:textId="77777777" w:rsidR="00EA134D" w:rsidRDefault="00105268">
            <w:pPr>
              <w:pStyle w:val="Standard"/>
              <w:widowControl/>
              <w:ind w:left="38"/>
              <w:jc w:val="center"/>
            </w:pPr>
            <w:r>
              <w:rPr>
                <w:rStyle w:val="Fuentedeprrafopredeter1"/>
                <w:rFonts w:ascii="Arial" w:eastAsia="Arial" w:hAnsi="Arial" w:cs="Arial"/>
                <w:color w:val="000000"/>
              </w:rPr>
              <w:t>Laboratorio de docencia</w:t>
            </w:r>
          </w:p>
        </w:tc>
      </w:tr>
    </w:tbl>
    <w:p w14:paraId="5E3E7C23" w14:textId="77777777" w:rsidR="00EA134D" w:rsidRDefault="00EA134D">
      <w:pPr>
        <w:pStyle w:val="Standard"/>
      </w:pPr>
    </w:p>
    <w:p w14:paraId="1E2D393D" w14:textId="77777777" w:rsidR="00EA134D" w:rsidRDefault="00EA134D">
      <w:pPr>
        <w:pStyle w:val="Standard"/>
      </w:pPr>
    </w:p>
    <w:p w14:paraId="47F98990" w14:textId="77777777" w:rsidR="00EA134D" w:rsidRDefault="00105268">
      <w:pPr>
        <w:pStyle w:val="Standard"/>
        <w:jc w:val="center"/>
      </w:pPr>
      <w:r>
        <w:rPr>
          <w:rStyle w:val="Fuentedeprrafopredeter1"/>
          <w:sz w:val="72"/>
          <w:szCs w:val="72"/>
        </w:rPr>
        <w:t>Laboratorios de computación</w:t>
      </w:r>
    </w:p>
    <w:p w14:paraId="4B1F4030" w14:textId="77777777" w:rsidR="00EA134D" w:rsidRDefault="00105268">
      <w:pPr>
        <w:pStyle w:val="Standard"/>
        <w:jc w:val="center"/>
      </w:pPr>
      <w:r>
        <w:rPr>
          <w:rStyle w:val="Fuentedeprrafopredeter1"/>
          <w:sz w:val="72"/>
          <w:szCs w:val="72"/>
        </w:rPr>
        <w:t>salas A y B</w:t>
      </w:r>
    </w:p>
    <w:p w14:paraId="08EE5A57" w14:textId="77777777" w:rsidR="00EA134D" w:rsidRDefault="00EA134D">
      <w:pPr>
        <w:pStyle w:val="Standard"/>
        <w:jc w:val="center"/>
      </w:pPr>
    </w:p>
    <w:tbl>
      <w:tblPr>
        <w:tblW w:w="10454" w:type="dxa"/>
        <w:tblInd w:w="-55" w:type="dxa"/>
        <w:tblLayout w:type="fixed"/>
        <w:tblCellMar>
          <w:left w:w="10" w:type="dxa"/>
          <w:right w:w="10" w:type="dxa"/>
        </w:tblCellMar>
        <w:tblLook w:val="0000" w:firstRow="0" w:lastRow="0" w:firstColumn="0" w:lastColumn="0" w:noHBand="0" w:noVBand="0"/>
      </w:tblPr>
      <w:tblGrid>
        <w:gridCol w:w="3600"/>
        <w:gridCol w:w="6854"/>
      </w:tblGrid>
      <w:tr w:rsidR="00EA134D" w14:paraId="33D26DD5" w14:textId="77777777">
        <w:trPr>
          <w:trHeight w:val="797"/>
        </w:trPr>
        <w:tc>
          <w:tcPr>
            <w:tcW w:w="3600" w:type="dxa"/>
            <w:shd w:val="clear" w:color="auto" w:fill="auto"/>
            <w:tcMar>
              <w:top w:w="0" w:type="dxa"/>
              <w:left w:w="108" w:type="dxa"/>
              <w:bottom w:w="0" w:type="dxa"/>
              <w:right w:w="108" w:type="dxa"/>
            </w:tcMar>
          </w:tcPr>
          <w:p w14:paraId="3B0C7A79" w14:textId="77777777" w:rsidR="00EA134D" w:rsidRDefault="00EA134D">
            <w:pPr>
              <w:pStyle w:val="Standard"/>
              <w:ind w:left="629"/>
              <w:jc w:val="right"/>
              <w:rPr>
                <w:rFonts w:ascii="Cambria" w:eastAsia="Cambria" w:hAnsi="Cambria" w:cs="Cambria"/>
                <w:i/>
                <w:color w:val="000000"/>
                <w:sz w:val="30"/>
                <w:szCs w:val="30"/>
              </w:rPr>
            </w:pPr>
          </w:p>
          <w:p w14:paraId="68C336A4" w14:textId="61CFF827" w:rsidR="00EA134D" w:rsidRDefault="00105268">
            <w:pPr>
              <w:pStyle w:val="Standard"/>
              <w:ind w:left="629"/>
              <w:jc w:val="right"/>
            </w:pPr>
            <w:r>
              <w:rPr>
                <w:rStyle w:val="Fuentedeprrafopredeter1"/>
                <w:rFonts w:ascii="Cambria" w:eastAsia="Cambria" w:hAnsi="Cambria" w:cs="Cambria"/>
                <w:i/>
                <w:color w:val="000000"/>
                <w:sz w:val="30"/>
                <w:szCs w:val="30"/>
              </w:rPr>
              <w:t>Profesor(a):</w:t>
            </w:r>
            <w:r w:rsidR="006904FF">
              <w:rPr>
                <w:rStyle w:val="Fuentedeprrafopredeter1"/>
                <w:rFonts w:ascii="Cambria" w:eastAsia="Cambria" w:hAnsi="Cambria" w:cs="Cambria"/>
                <w:i/>
                <w:color w:val="000000"/>
                <w:sz w:val="30"/>
                <w:szCs w:val="30"/>
              </w:rPr>
              <w:t xml:space="preserve"> </w:t>
            </w:r>
          </w:p>
        </w:tc>
        <w:tc>
          <w:tcPr>
            <w:tcW w:w="6854" w:type="dxa"/>
            <w:tcBorders>
              <w:bottom w:val="single" w:sz="4" w:space="0" w:color="000000"/>
            </w:tcBorders>
            <w:shd w:val="clear" w:color="auto" w:fill="auto"/>
            <w:tcMar>
              <w:top w:w="0" w:type="dxa"/>
              <w:left w:w="108" w:type="dxa"/>
              <w:bottom w:w="0" w:type="dxa"/>
              <w:right w:w="108" w:type="dxa"/>
            </w:tcMar>
          </w:tcPr>
          <w:p w14:paraId="241424BF" w14:textId="026FCF68" w:rsidR="00EA134D" w:rsidRDefault="00D85E59" w:rsidP="0080069E">
            <w:pPr>
              <w:pStyle w:val="Standard"/>
              <w:spacing w:before="240"/>
              <w:ind w:left="629"/>
              <w:rPr>
                <w:color w:val="000000"/>
              </w:rPr>
            </w:pPr>
            <w:r>
              <w:rPr>
                <w:rStyle w:val="Fuentedeprrafopredeter1"/>
                <w:rFonts w:ascii="Cambria" w:eastAsia="Cambria" w:hAnsi="Cambria" w:cs="Cambria"/>
                <w:i/>
                <w:color w:val="000000"/>
                <w:sz w:val="30"/>
                <w:szCs w:val="30"/>
              </w:rPr>
              <w:t>Manuel Enrique Castañeda Castañeda</w:t>
            </w:r>
          </w:p>
        </w:tc>
      </w:tr>
      <w:tr w:rsidR="00EA134D" w14:paraId="010B7185" w14:textId="77777777">
        <w:trPr>
          <w:trHeight w:val="862"/>
        </w:trPr>
        <w:tc>
          <w:tcPr>
            <w:tcW w:w="3600" w:type="dxa"/>
            <w:shd w:val="clear" w:color="auto" w:fill="auto"/>
            <w:tcMar>
              <w:top w:w="0" w:type="dxa"/>
              <w:left w:w="108" w:type="dxa"/>
              <w:bottom w:w="0" w:type="dxa"/>
              <w:right w:w="108" w:type="dxa"/>
            </w:tcMar>
          </w:tcPr>
          <w:p w14:paraId="2ACC51EE" w14:textId="77777777" w:rsidR="00EA134D" w:rsidRDefault="00EA134D">
            <w:pPr>
              <w:pStyle w:val="Standard"/>
              <w:ind w:left="629"/>
              <w:jc w:val="right"/>
              <w:rPr>
                <w:rFonts w:ascii="Cambria" w:eastAsia="Cambria" w:hAnsi="Cambria" w:cs="Cambria"/>
                <w:i/>
                <w:color w:val="000000"/>
                <w:sz w:val="30"/>
                <w:szCs w:val="30"/>
              </w:rPr>
            </w:pPr>
          </w:p>
          <w:p w14:paraId="7B6FF139" w14:textId="77777777" w:rsidR="00EA134D" w:rsidRDefault="00105268">
            <w:pPr>
              <w:pStyle w:val="Standard"/>
              <w:ind w:left="629"/>
              <w:jc w:val="right"/>
            </w:pPr>
            <w:r>
              <w:rPr>
                <w:rStyle w:val="Fuentedeprrafopredeter1"/>
                <w:rFonts w:ascii="Cambria" w:eastAsia="Cambria" w:hAnsi="Cambria" w:cs="Cambria"/>
                <w:i/>
                <w:color w:val="000000"/>
                <w:sz w:val="30"/>
                <w:szCs w:val="30"/>
              </w:rPr>
              <w:t>Asignatura:</w:t>
            </w:r>
          </w:p>
        </w:tc>
        <w:tc>
          <w:tcPr>
            <w:tcW w:w="6854" w:type="dxa"/>
            <w:tcBorders>
              <w:bottom w:val="single" w:sz="4" w:space="0" w:color="000000"/>
            </w:tcBorders>
            <w:shd w:val="clear" w:color="auto" w:fill="auto"/>
            <w:tcMar>
              <w:top w:w="0" w:type="dxa"/>
              <w:left w:w="108" w:type="dxa"/>
              <w:bottom w:w="0" w:type="dxa"/>
              <w:right w:w="108" w:type="dxa"/>
            </w:tcMar>
          </w:tcPr>
          <w:p w14:paraId="108608C7" w14:textId="4C90062F" w:rsidR="00EA134D" w:rsidRPr="00412C41" w:rsidRDefault="00411493" w:rsidP="0080069E">
            <w:pPr>
              <w:pStyle w:val="Standard"/>
              <w:spacing w:before="240"/>
              <w:rPr>
                <w:rFonts w:ascii="Cambria" w:hAnsi="Cambria"/>
                <w:i/>
                <w:iCs/>
                <w:color w:val="000000"/>
                <w:sz w:val="30"/>
                <w:szCs w:val="30"/>
              </w:rPr>
            </w:pPr>
            <w:r>
              <w:rPr>
                <w:rFonts w:ascii="Cambria" w:hAnsi="Cambria"/>
                <w:i/>
                <w:iCs/>
                <w:color w:val="000000"/>
                <w:sz w:val="30"/>
                <w:szCs w:val="30"/>
              </w:rPr>
              <w:t xml:space="preserve">         </w:t>
            </w:r>
            <w:r w:rsidR="00D85E59" w:rsidRPr="00412C41">
              <w:rPr>
                <w:rFonts w:ascii="Cambria" w:hAnsi="Cambria"/>
                <w:i/>
                <w:iCs/>
                <w:color w:val="000000"/>
                <w:sz w:val="30"/>
                <w:szCs w:val="30"/>
              </w:rPr>
              <w:t>Fundamentos de Programación</w:t>
            </w:r>
          </w:p>
        </w:tc>
      </w:tr>
      <w:tr w:rsidR="00EA134D" w14:paraId="74167C2A" w14:textId="77777777">
        <w:trPr>
          <w:trHeight w:val="792"/>
        </w:trPr>
        <w:tc>
          <w:tcPr>
            <w:tcW w:w="3600" w:type="dxa"/>
            <w:shd w:val="clear" w:color="auto" w:fill="auto"/>
            <w:tcMar>
              <w:top w:w="0" w:type="dxa"/>
              <w:left w:w="108" w:type="dxa"/>
              <w:bottom w:w="0" w:type="dxa"/>
              <w:right w:w="108" w:type="dxa"/>
            </w:tcMar>
          </w:tcPr>
          <w:p w14:paraId="2F0EA9C6" w14:textId="77777777" w:rsidR="00EA134D" w:rsidRDefault="00EA134D">
            <w:pPr>
              <w:pStyle w:val="Standard"/>
              <w:ind w:left="629"/>
              <w:jc w:val="right"/>
              <w:rPr>
                <w:rFonts w:ascii="Cambria" w:eastAsia="Cambria" w:hAnsi="Cambria" w:cs="Cambria"/>
                <w:i/>
                <w:color w:val="000000"/>
                <w:sz w:val="30"/>
                <w:szCs w:val="30"/>
              </w:rPr>
            </w:pPr>
          </w:p>
          <w:p w14:paraId="6093DC15" w14:textId="77777777" w:rsidR="00EA134D" w:rsidRDefault="00105268">
            <w:pPr>
              <w:pStyle w:val="Standard"/>
              <w:ind w:left="629"/>
              <w:jc w:val="right"/>
            </w:pPr>
            <w:r>
              <w:rPr>
                <w:rStyle w:val="Fuentedeprrafopredeter1"/>
                <w:rFonts w:ascii="Cambria" w:eastAsia="Cambria" w:hAnsi="Cambria" w:cs="Cambria"/>
                <w:i/>
                <w:color w:val="000000"/>
                <w:sz w:val="30"/>
                <w:szCs w:val="30"/>
              </w:rPr>
              <w:t>Grupo:</w:t>
            </w:r>
          </w:p>
        </w:tc>
        <w:tc>
          <w:tcPr>
            <w:tcW w:w="6854" w:type="dxa"/>
            <w:tcBorders>
              <w:bottom w:val="single" w:sz="4" w:space="0" w:color="000000"/>
            </w:tcBorders>
            <w:shd w:val="clear" w:color="auto" w:fill="auto"/>
            <w:tcMar>
              <w:top w:w="0" w:type="dxa"/>
              <w:left w:w="108" w:type="dxa"/>
              <w:bottom w:w="0" w:type="dxa"/>
              <w:right w:w="108" w:type="dxa"/>
            </w:tcMar>
          </w:tcPr>
          <w:p w14:paraId="236EFE17" w14:textId="4D6C90A7" w:rsidR="00EA134D" w:rsidRDefault="007A37E8" w:rsidP="00E57F12">
            <w:pPr>
              <w:pStyle w:val="Standard"/>
              <w:spacing w:before="240"/>
              <w:ind w:left="629"/>
              <w:rPr>
                <w:color w:val="000000"/>
              </w:rPr>
            </w:pPr>
            <w:r>
              <w:rPr>
                <w:rFonts w:ascii="Cambria" w:hAnsi="Cambria"/>
                <w:i/>
                <w:iCs/>
                <w:color w:val="000000"/>
                <w:sz w:val="30"/>
                <w:szCs w:val="30"/>
              </w:rPr>
              <w:t>16</w:t>
            </w:r>
          </w:p>
        </w:tc>
      </w:tr>
      <w:tr w:rsidR="00EA134D" w14:paraId="6E1C7108" w14:textId="77777777">
        <w:trPr>
          <w:trHeight w:val="797"/>
        </w:trPr>
        <w:tc>
          <w:tcPr>
            <w:tcW w:w="3600" w:type="dxa"/>
            <w:shd w:val="clear" w:color="auto" w:fill="auto"/>
            <w:tcMar>
              <w:top w:w="0" w:type="dxa"/>
              <w:left w:w="108" w:type="dxa"/>
              <w:bottom w:w="0" w:type="dxa"/>
              <w:right w:w="108" w:type="dxa"/>
            </w:tcMar>
          </w:tcPr>
          <w:p w14:paraId="1DA63FDC" w14:textId="77777777" w:rsidR="00EA134D" w:rsidRDefault="00EA134D">
            <w:pPr>
              <w:pStyle w:val="Standard"/>
              <w:ind w:left="629"/>
              <w:jc w:val="right"/>
              <w:rPr>
                <w:rFonts w:ascii="Cambria" w:eastAsia="Cambria" w:hAnsi="Cambria" w:cs="Cambria"/>
                <w:i/>
                <w:color w:val="000000"/>
                <w:sz w:val="30"/>
                <w:szCs w:val="30"/>
              </w:rPr>
            </w:pPr>
          </w:p>
          <w:p w14:paraId="0DECA448" w14:textId="77777777" w:rsidR="00EA134D" w:rsidRDefault="00105268">
            <w:pPr>
              <w:pStyle w:val="Standard"/>
              <w:ind w:left="629"/>
              <w:jc w:val="right"/>
            </w:pPr>
            <w:r>
              <w:rPr>
                <w:rStyle w:val="Fuentedeprrafopredeter1"/>
                <w:rFonts w:ascii="Cambria" w:eastAsia="Cambria" w:hAnsi="Cambria" w:cs="Cambria"/>
                <w:i/>
                <w:color w:val="000000"/>
                <w:sz w:val="30"/>
                <w:szCs w:val="30"/>
              </w:rPr>
              <w:t>No. de práctica(s):</w:t>
            </w:r>
          </w:p>
        </w:tc>
        <w:tc>
          <w:tcPr>
            <w:tcW w:w="6854" w:type="dxa"/>
            <w:tcBorders>
              <w:bottom w:val="single" w:sz="4" w:space="0" w:color="000000"/>
            </w:tcBorders>
            <w:shd w:val="clear" w:color="auto" w:fill="auto"/>
            <w:tcMar>
              <w:top w:w="0" w:type="dxa"/>
              <w:left w:w="108" w:type="dxa"/>
              <w:bottom w:w="0" w:type="dxa"/>
              <w:right w:w="108" w:type="dxa"/>
            </w:tcMar>
          </w:tcPr>
          <w:p w14:paraId="4A670AF7" w14:textId="59907CA9" w:rsidR="00EA134D" w:rsidRDefault="001D0C80" w:rsidP="00E57F12">
            <w:pPr>
              <w:pStyle w:val="Standard"/>
              <w:spacing w:before="240"/>
              <w:ind w:left="629"/>
              <w:rPr>
                <w:color w:val="000000"/>
              </w:rPr>
            </w:pPr>
            <w:r>
              <w:rPr>
                <w:rFonts w:ascii="Cambria" w:hAnsi="Cambria"/>
                <w:i/>
                <w:iCs/>
                <w:color w:val="000000"/>
                <w:sz w:val="30"/>
                <w:szCs w:val="30"/>
              </w:rPr>
              <w:t>01</w:t>
            </w:r>
          </w:p>
        </w:tc>
      </w:tr>
      <w:tr w:rsidR="00EA134D" w14:paraId="6248FD4E" w14:textId="77777777">
        <w:trPr>
          <w:trHeight w:val="792"/>
        </w:trPr>
        <w:tc>
          <w:tcPr>
            <w:tcW w:w="3600" w:type="dxa"/>
            <w:shd w:val="clear" w:color="auto" w:fill="auto"/>
            <w:tcMar>
              <w:top w:w="0" w:type="dxa"/>
              <w:left w:w="108" w:type="dxa"/>
              <w:bottom w:w="0" w:type="dxa"/>
              <w:right w:w="108" w:type="dxa"/>
            </w:tcMar>
          </w:tcPr>
          <w:p w14:paraId="54292ECD" w14:textId="77777777" w:rsidR="00EA134D" w:rsidRDefault="00EA134D">
            <w:pPr>
              <w:pStyle w:val="Standard"/>
              <w:ind w:left="629"/>
              <w:jc w:val="right"/>
              <w:rPr>
                <w:rFonts w:ascii="Cambria" w:eastAsia="Cambria" w:hAnsi="Cambria" w:cs="Cambria"/>
                <w:i/>
                <w:color w:val="000000"/>
                <w:sz w:val="30"/>
                <w:szCs w:val="30"/>
              </w:rPr>
            </w:pPr>
          </w:p>
          <w:p w14:paraId="4AF541B8" w14:textId="77777777" w:rsidR="00EA134D" w:rsidRDefault="00105268">
            <w:pPr>
              <w:pStyle w:val="Standard"/>
              <w:ind w:left="629"/>
              <w:jc w:val="right"/>
            </w:pPr>
            <w:r>
              <w:rPr>
                <w:rStyle w:val="Fuentedeprrafopredeter1"/>
                <w:rFonts w:ascii="Cambria" w:eastAsia="Cambria" w:hAnsi="Cambria" w:cs="Cambria"/>
                <w:i/>
                <w:color w:val="000000"/>
                <w:sz w:val="30"/>
                <w:szCs w:val="30"/>
              </w:rPr>
              <w:t>Integrante(s):</w:t>
            </w:r>
          </w:p>
        </w:tc>
        <w:tc>
          <w:tcPr>
            <w:tcW w:w="6854" w:type="dxa"/>
            <w:tcBorders>
              <w:bottom w:val="single" w:sz="4" w:space="0" w:color="000000"/>
            </w:tcBorders>
            <w:shd w:val="clear" w:color="auto" w:fill="auto"/>
            <w:tcMar>
              <w:top w:w="0" w:type="dxa"/>
              <w:left w:w="108" w:type="dxa"/>
              <w:bottom w:w="0" w:type="dxa"/>
              <w:right w:w="108" w:type="dxa"/>
            </w:tcMar>
          </w:tcPr>
          <w:p w14:paraId="3DE7021E" w14:textId="686BF253" w:rsidR="00EA134D" w:rsidRDefault="001D0C80" w:rsidP="00E57F12">
            <w:pPr>
              <w:pStyle w:val="Standard"/>
              <w:spacing w:before="240"/>
              <w:ind w:left="629"/>
              <w:rPr>
                <w:color w:val="000000"/>
              </w:rPr>
            </w:pPr>
            <w:r>
              <w:rPr>
                <w:rFonts w:ascii="Cambria" w:hAnsi="Cambria"/>
                <w:i/>
                <w:iCs/>
                <w:color w:val="000000"/>
                <w:sz w:val="30"/>
                <w:szCs w:val="30"/>
              </w:rPr>
              <w:t xml:space="preserve">Barrera Miranda Michelle </w:t>
            </w:r>
          </w:p>
        </w:tc>
      </w:tr>
      <w:tr w:rsidR="00EA134D" w14:paraId="4AF60A77" w14:textId="77777777">
        <w:trPr>
          <w:trHeight w:val="811"/>
        </w:trPr>
        <w:tc>
          <w:tcPr>
            <w:tcW w:w="3600" w:type="dxa"/>
            <w:shd w:val="clear" w:color="auto" w:fill="auto"/>
            <w:tcMar>
              <w:top w:w="0" w:type="dxa"/>
              <w:left w:w="108" w:type="dxa"/>
              <w:bottom w:w="0" w:type="dxa"/>
              <w:right w:w="108" w:type="dxa"/>
            </w:tcMar>
          </w:tcPr>
          <w:p w14:paraId="252A9352" w14:textId="77777777" w:rsidR="00EA134D" w:rsidRDefault="00EA134D">
            <w:pPr>
              <w:pStyle w:val="Standard"/>
              <w:ind w:left="629"/>
              <w:jc w:val="right"/>
              <w:rPr>
                <w:rFonts w:ascii="Cambria" w:eastAsia="Cambria" w:hAnsi="Cambria" w:cs="Cambria"/>
                <w:i/>
                <w:color w:val="000000"/>
                <w:sz w:val="30"/>
                <w:szCs w:val="30"/>
              </w:rPr>
            </w:pPr>
          </w:p>
          <w:p w14:paraId="6D627F89" w14:textId="77777777" w:rsidR="00EA134D" w:rsidRDefault="00105268">
            <w:pPr>
              <w:pStyle w:val="Standard"/>
              <w:ind w:left="629"/>
              <w:jc w:val="right"/>
            </w:pPr>
            <w:r>
              <w:rPr>
                <w:rStyle w:val="Fuentedeprrafopredeter1"/>
                <w:rFonts w:ascii="Cambria" w:eastAsia="Cambria" w:hAnsi="Cambria" w:cs="Cambria"/>
                <w:i/>
                <w:color w:val="000000"/>
                <w:sz w:val="30"/>
                <w:szCs w:val="30"/>
              </w:rPr>
              <w:t>No. de lista o brigada:</w:t>
            </w:r>
          </w:p>
        </w:tc>
        <w:tc>
          <w:tcPr>
            <w:tcW w:w="6854" w:type="dxa"/>
            <w:tcBorders>
              <w:bottom w:val="single" w:sz="4" w:space="0" w:color="000000"/>
            </w:tcBorders>
            <w:shd w:val="clear" w:color="auto" w:fill="auto"/>
            <w:tcMar>
              <w:top w:w="0" w:type="dxa"/>
              <w:left w:w="108" w:type="dxa"/>
              <w:bottom w:w="0" w:type="dxa"/>
              <w:right w:w="108" w:type="dxa"/>
            </w:tcMar>
          </w:tcPr>
          <w:p w14:paraId="76C3A74C" w14:textId="77777777" w:rsidR="00EA134D" w:rsidRDefault="00EA134D">
            <w:pPr>
              <w:pStyle w:val="Standard"/>
              <w:ind w:left="629"/>
              <w:rPr>
                <w:color w:val="000000"/>
              </w:rPr>
            </w:pPr>
          </w:p>
        </w:tc>
      </w:tr>
      <w:tr w:rsidR="00EA134D" w14:paraId="18079B64" w14:textId="77777777">
        <w:trPr>
          <w:trHeight w:val="798"/>
        </w:trPr>
        <w:tc>
          <w:tcPr>
            <w:tcW w:w="3600" w:type="dxa"/>
            <w:shd w:val="clear" w:color="auto" w:fill="auto"/>
            <w:tcMar>
              <w:top w:w="0" w:type="dxa"/>
              <w:left w:w="108" w:type="dxa"/>
              <w:bottom w:w="0" w:type="dxa"/>
              <w:right w:w="108" w:type="dxa"/>
            </w:tcMar>
          </w:tcPr>
          <w:p w14:paraId="5BFC5ACF" w14:textId="77777777" w:rsidR="00EA134D" w:rsidRDefault="00EA134D">
            <w:pPr>
              <w:pStyle w:val="Standard"/>
              <w:ind w:left="629"/>
              <w:jc w:val="right"/>
              <w:rPr>
                <w:rFonts w:ascii="Cambria" w:eastAsia="Cambria" w:hAnsi="Cambria" w:cs="Cambria"/>
                <w:i/>
                <w:color w:val="000000"/>
                <w:sz w:val="30"/>
                <w:szCs w:val="30"/>
              </w:rPr>
            </w:pPr>
          </w:p>
          <w:p w14:paraId="7B34A065" w14:textId="77777777" w:rsidR="00EA134D" w:rsidRDefault="00105268">
            <w:pPr>
              <w:pStyle w:val="Standard"/>
              <w:ind w:left="629"/>
              <w:jc w:val="right"/>
            </w:pPr>
            <w:r>
              <w:rPr>
                <w:rStyle w:val="Fuentedeprrafopredeter1"/>
                <w:rFonts w:ascii="Cambria" w:eastAsia="Cambria" w:hAnsi="Cambria" w:cs="Cambria"/>
                <w:i/>
                <w:color w:val="000000"/>
                <w:sz w:val="30"/>
                <w:szCs w:val="30"/>
              </w:rPr>
              <w:t>Semestre:</w:t>
            </w:r>
          </w:p>
        </w:tc>
        <w:tc>
          <w:tcPr>
            <w:tcW w:w="6854" w:type="dxa"/>
            <w:tcBorders>
              <w:bottom w:val="single" w:sz="4" w:space="0" w:color="000000"/>
            </w:tcBorders>
            <w:shd w:val="clear" w:color="auto" w:fill="auto"/>
            <w:tcMar>
              <w:top w:w="0" w:type="dxa"/>
              <w:left w:w="108" w:type="dxa"/>
              <w:bottom w:w="0" w:type="dxa"/>
              <w:right w:w="108" w:type="dxa"/>
            </w:tcMar>
          </w:tcPr>
          <w:p w14:paraId="2CFA43CB" w14:textId="63CFA026" w:rsidR="00EA134D" w:rsidRDefault="00B53537" w:rsidP="00E57F12">
            <w:pPr>
              <w:pStyle w:val="Standard"/>
              <w:spacing w:before="240"/>
              <w:ind w:left="629"/>
              <w:rPr>
                <w:color w:val="000000"/>
              </w:rPr>
            </w:pPr>
            <w:r>
              <w:rPr>
                <w:rFonts w:ascii="Cambria" w:hAnsi="Cambria"/>
                <w:i/>
                <w:iCs/>
                <w:color w:val="000000"/>
                <w:sz w:val="30"/>
                <w:szCs w:val="30"/>
              </w:rPr>
              <w:t>252</w:t>
            </w:r>
          </w:p>
        </w:tc>
      </w:tr>
      <w:tr w:rsidR="00EA134D" w14:paraId="5240E920" w14:textId="77777777">
        <w:trPr>
          <w:trHeight w:val="791"/>
        </w:trPr>
        <w:tc>
          <w:tcPr>
            <w:tcW w:w="3600" w:type="dxa"/>
            <w:shd w:val="clear" w:color="auto" w:fill="auto"/>
            <w:tcMar>
              <w:top w:w="0" w:type="dxa"/>
              <w:left w:w="108" w:type="dxa"/>
              <w:bottom w:w="0" w:type="dxa"/>
              <w:right w:w="108" w:type="dxa"/>
            </w:tcMar>
          </w:tcPr>
          <w:p w14:paraId="76E0FA3B" w14:textId="77777777" w:rsidR="00EA134D" w:rsidRDefault="00EA134D">
            <w:pPr>
              <w:pStyle w:val="Standard"/>
              <w:ind w:left="629"/>
              <w:jc w:val="right"/>
              <w:rPr>
                <w:rFonts w:ascii="Cambria" w:eastAsia="Cambria" w:hAnsi="Cambria" w:cs="Cambria"/>
                <w:i/>
                <w:color w:val="000000"/>
                <w:sz w:val="30"/>
                <w:szCs w:val="30"/>
              </w:rPr>
            </w:pPr>
          </w:p>
          <w:p w14:paraId="2FEC9E66" w14:textId="77777777" w:rsidR="00EA134D" w:rsidRDefault="00105268">
            <w:pPr>
              <w:pStyle w:val="Standard"/>
              <w:ind w:left="629"/>
              <w:jc w:val="right"/>
            </w:pPr>
            <w:r>
              <w:rPr>
                <w:rStyle w:val="Fuentedeprrafopredeter1"/>
                <w:rFonts w:ascii="Cambria" w:eastAsia="Cambria" w:hAnsi="Cambria" w:cs="Cambria"/>
                <w:i/>
                <w:color w:val="000000"/>
                <w:sz w:val="30"/>
                <w:szCs w:val="30"/>
              </w:rPr>
              <w:t>Fecha de entrega:</w:t>
            </w:r>
          </w:p>
        </w:tc>
        <w:tc>
          <w:tcPr>
            <w:tcW w:w="6854" w:type="dxa"/>
            <w:tcBorders>
              <w:bottom w:val="single" w:sz="4" w:space="0" w:color="000000"/>
            </w:tcBorders>
            <w:shd w:val="clear" w:color="auto" w:fill="auto"/>
            <w:tcMar>
              <w:top w:w="0" w:type="dxa"/>
              <w:left w:w="108" w:type="dxa"/>
              <w:bottom w:w="0" w:type="dxa"/>
              <w:right w:w="108" w:type="dxa"/>
            </w:tcMar>
          </w:tcPr>
          <w:p w14:paraId="2385775D" w14:textId="17DAA9FA" w:rsidR="00EA134D" w:rsidRDefault="00B53537" w:rsidP="00E57F12">
            <w:pPr>
              <w:pStyle w:val="Standard"/>
              <w:spacing w:before="240"/>
              <w:ind w:left="629"/>
              <w:rPr>
                <w:color w:val="000000"/>
              </w:rPr>
            </w:pPr>
            <w:r>
              <w:rPr>
                <w:rFonts w:ascii="Cambria" w:hAnsi="Cambria"/>
                <w:i/>
                <w:iCs/>
                <w:color w:val="000000"/>
                <w:sz w:val="30"/>
                <w:szCs w:val="30"/>
              </w:rPr>
              <w:t>17-02-25</w:t>
            </w:r>
          </w:p>
        </w:tc>
      </w:tr>
      <w:tr w:rsidR="00EA134D" w14:paraId="53B0B4E7" w14:textId="77777777">
        <w:trPr>
          <w:trHeight w:val="894"/>
        </w:trPr>
        <w:tc>
          <w:tcPr>
            <w:tcW w:w="3600" w:type="dxa"/>
            <w:shd w:val="clear" w:color="auto" w:fill="auto"/>
            <w:tcMar>
              <w:top w:w="0" w:type="dxa"/>
              <w:left w:w="108" w:type="dxa"/>
              <w:bottom w:w="0" w:type="dxa"/>
              <w:right w:w="108" w:type="dxa"/>
            </w:tcMar>
          </w:tcPr>
          <w:p w14:paraId="1F3C4F43" w14:textId="77777777" w:rsidR="00EA134D" w:rsidRDefault="00EA134D">
            <w:pPr>
              <w:pStyle w:val="Standard"/>
              <w:ind w:left="629"/>
              <w:jc w:val="right"/>
              <w:rPr>
                <w:rFonts w:ascii="Cambria" w:eastAsia="Cambria" w:hAnsi="Cambria" w:cs="Cambria"/>
                <w:i/>
                <w:color w:val="000000"/>
                <w:sz w:val="30"/>
                <w:szCs w:val="30"/>
              </w:rPr>
            </w:pPr>
          </w:p>
          <w:p w14:paraId="67B980A0" w14:textId="77777777" w:rsidR="00EA134D" w:rsidRDefault="00105268">
            <w:pPr>
              <w:pStyle w:val="Standard"/>
              <w:ind w:left="629"/>
              <w:jc w:val="right"/>
            </w:pPr>
            <w:r>
              <w:rPr>
                <w:rStyle w:val="Fuentedeprrafopredeter1"/>
                <w:rFonts w:ascii="Cambria" w:eastAsia="Cambria" w:hAnsi="Cambria" w:cs="Cambria"/>
                <w:i/>
                <w:color w:val="000000"/>
                <w:sz w:val="30"/>
                <w:szCs w:val="30"/>
              </w:rPr>
              <w:t>Observaciones:</w:t>
            </w:r>
          </w:p>
        </w:tc>
        <w:tc>
          <w:tcPr>
            <w:tcW w:w="6854" w:type="dxa"/>
            <w:tcBorders>
              <w:bottom w:val="single" w:sz="4" w:space="0" w:color="000000"/>
            </w:tcBorders>
            <w:shd w:val="clear" w:color="auto" w:fill="auto"/>
            <w:tcMar>
              <w:top w:w="0" w:type="dxa"/>
              <w:left w:w="108" w:type="dxa"/>
              <w:bottom w:w="0" w:type="dxa"/>
              <w:right w:w="108" w:type="dxa"/>
            </w:tcMar>
          </w:tcPr>
          <w:p w14:paraId="5288584F" w14:textId="77777777" w:rsidR="00EA134D" w:rsidRDefault="00EA134D">
            <w:pPr>
              <w:pStyle w:val="Standard"/>
              <w:ind w:left="629"/>
              <w:rPr>
                <w:color w:val="000000"/>
              </w:rPr>
            </w:pPr>
          </w:p>
        </w:tc>
      </w:tr>
      <w:tr w:rsidR="00EA134D" w14:paraId="7E3A07C0" w14:textId="77777777">
        <w:trPr>
          <w:trHeight w:val="720"/>
        </w:trPr>
        <w:tc>
          <w:tcPr>
            <w:tcW w:w="3600" w:type="dxa"/>
            <w:shd w:val="clear" w:color="auto" w:fill="auto"/>
            <w:tcMar>
              <w:top w:w="0" w:type="dxa"/>
              <w:left w:w="108" w:type="dxa"/>
              <w:bottom w:w="0" w:type="dxa"/>
              <w:right w:w="108" w:type="dxa"/>
            </w:tcMar>
          </w:tcPr>
          <w:p w14:paraId="3D18D277" w14:textId="77777777" w:rsidR="00EA134D" w:rsidRDefault="00EA134D">
            <w:pPr>
              <w:pStyle w:val="Standard"/>
              <w:ind w:left="629"/>
              <w:jc w:val="right"/>
            </w:pPr>
          </w:p>
        </w:tc>
        <w:tc>
          <w:tcPr>
            <w:tcW w:w="6854" w:type="dxa"/>
            <w:tcBorders>
              <w:bottom w:val="single" w:sz="4" w:space="0" w:color="000000"/>
            </w:tcBorders>
            <w:shd w:val="clear" w:color="auto" w:fill="auto"/>
            <w:tcMar>
              <w:top w:w="0" w:type="dxa"/>
              <w:left w:w="108" w:type="dxa"/>
              <w:bottom w:w="0" w:type="dxa"/>
              <w:right w:w="108" w:type="dxa"/>
            </w:tcMar>
          </w:tcPr>
          <w:p w14:paraId="7C4F032E" w14:textId="77777777" w:rsidR="00EA134D" w:rsidRDefault="00EA134D">
            <w:pPr>
              <w:pStyle w:val="Standard"/>
              <w:ind w:left="629"/>
              <w:rPr>
                <w:color w:val="000000"/>
              </w:rPr>
            </w:pPr>
          </w:p>
        </w:tc>
      </w:tr>
    </w:tbl>
    <w:p w14:paraId="13483D53" w14:textId="77777777" w:rsidR="00EA134D" w:rsidRDefault="00EA134D">
      <w:pPr>
        <w:pStyle w:val="Standard"/>
      </w:pPr>
    </w:p>
    <w:p w14:paraId="55655445" w14:textId="77777777" w:rsidR="00EA134D" w:rsidRDefault="00EA134D">
      <w:pPr>
        <w:pStyle w:val="Standard"/>
      </w:pPr>
    </w:p>
    <w:p w14:paraId="2B5EC0F8" w14:textId="2BF5A5A3" w:rsidR="00B44A32" w:rsidRDefault="00105268">
      <w:pPr>
        <w:pStyle w:val="Standard"/>
        <w:rPr>
          <w:rStyle w:val="Fuentedeprrafopredeter1"/>
          <w:rFonts w:ascii="Calibri" w:eastAsia="Calibri" w:hAnsi="Calibri" w:cs="Calibri"/>
          <w:color w:val="000000"/>
          <w:sz w:val="52"/>
          <w:szCs w:val="52"/>
        </w:rPr>
      </w:pP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t>CALIFICACIÓN: __________</w:t>
      </w:r>
    </w:p>
    <w:p w14:paraId="09E01777" w14:textId="77777777" w:rsidR="00B44A32" w:rsidRDefault="00B44A32">
      <w:pPr>
        <w:widowControl w:val="0"/>
        <w:suppressAutoHyphens w:val="0"/>
        <w:rPr>
          <w:rStyle w:val="Fuentedeprrafopredeter1"/>
          <w:rFonts w:ascii="Calibri" w:eastAsia="Calibri" w:hAnsi="Calibri" w:cs="Calibri"/>
          <w:color w:val="000000"/>
          <w:sz w:val="52"/>
          <w:szCs w:val="52"/>
        </w:rPr>
      </w:pPr>
      <w:r>
        <w:rPr>
          <w:rStyle w:val="Fuentedeprrafopredeter1"/>
          <w:rFonts w:ascii="Calibri" w:eastAsia="Calibri" w:hAnsi="Calibri" w:cs="Calibri"/>
          <w:color w:val="000000"/>
          <w:sz w:val="52"/>
          <w:szCs w:val="52"/>
        </w:rPr>
        <w:br w:type="page"/>
      </w:r>
    </w:p>
    <w:p w14:paraId="682D72AD" w14:textId="77777777" w:rsidR="00D875B1" w:rsidRPr="00BD56F0" w:rsidRDefault="00D875B1" w:rsidP="00465844">
      <w:pPr>
        <w:suppressAutoHyphens w:val="0"/>
        <w:autoSpaceDN/>
        <w:spacing w:before="240" w:after="80"/>
        <w:textAlignment w:val="auto"/>
        <w:outlineLvl w:val="3"/>
        <w:divId w:val="1639263421"/>
        <w:rPr>
          <w:rFonts w:ascii="Arial" w:eastAsia="Times New Roman" w:hAnsi="Arial" w:cs="Arial"/>
          <w:b/>
          <w:bCs/>
          <w:lang w:eastAsia="es-ES" w:bidi="ar-SA"/>
        </w:rPr>
      </w:pPr>
      <w:r w:rsidRPr="00BD56F0">
        <w:rPr>
          <w:rFonts w:ascii="Arial" w:eastAsia="Times New Roman" w:hAnsi="Arial" w:cs="Arial"/>
          <w:b/>
          <w:bCs/>
          <w:color w:val="000000"/>
          <w:lang w:eastAsia="es-ES" w:bidi="ar-SA"/>
        </w:rPr>
        <w:lastRenderedPageBreak/>
        <w:t>¿Que se necesita para montar un calentador de pecera de 100 wats con la energía del sol?</w:t>
      </w:r>
    </w:p>
    <w:p w14:paraId="32954C6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Montar un calentador de pecera de 100 watts utilizando energía solar es un proyecto factible, pero requiere algunos componentes clave y conocimientos básicos de electricidad y energía solar. A continuación, te detallo lo que necesitas y los pasos generales para llevar a cabo este proyecto:</w:t>
      </w:r>
    </w:p>
    <w:p w14:paraId="24A131C3"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56FEC29B"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Componentes necesarios:</w:t>
      </w:r>
    </w:p>
    <w:p w14:paraId="067C9A11"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52F24E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1. </w:t>
      </w:r>
      <w:r w:rsidRPr="00D875B1">
        <w:rPr>
          <w:rFonts w:ascii="Arial" w:eastAsiaTheme="minorEastAsia" w:hAnsi="Arial" w:cs="Arial"/>
          <w:color w:val="000000"/>
          <w:sz w:val="20"/>
          <w:szCs w:val="20"/>
          <w:u w:val="single"/>
          <w:lang w:eastAsia="es-ES" w:bidi="ar-SA"/>
        </w:rPr>
        <w:t>Panel solar:</w:t>
      </w:r>
      <w:r w:rsidRPr="00D875B1">
        <w:rPr>
          <w:rFonts w:ascii="Arial" w:eastAsiaTheme="minorEastAsia" w:hAnsi="Arial" w:cs="Arial"/>
          <w:color w:val="000000"/>
          <w:sz w:val="20"/>
          <w:szCs w:val="20"/>
          <w:lang w:eastAsia="es-ES" w:bidi="ar-SA"/>
        </w:rPr>
        <w:t xml:space="preserve"> Debe ser capaz de generar suficiente energía para alimentar el calentador de 100 watts. Dependiendo de la ubicación y la cantidad de horas de sol, un panel de 150-200 watts puede ser adecuado para asegurar que el calentador funcione correctamente incluso en días nublados.</w:t>
      </w:r>
    </w:p>
    <w:p w14:paraId="2CA7FB54"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43618295"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2. </w:t>
      </w:r>
      <w:r w:rsidRPr="00D875B1">
        <w:rPr>
          <w:rFonts w:ascii="Arial" w:eastAsiaTheme="minorEastAsia" w:hAnsi="Arial" w:cs="Arial"/>
          <w:color w:val="000000"/>
          <w:sz w:val="20"/>
          <w:szCs w:val="20"/>
          <w:u w:val="single"/>
          <w:lang w:eastAsia="es-ES" w:bidi="ar-SA"/>
        </w:rPr>
        <w:t>Controlador de carga</w:t>
      </w:r>
      <w:r w:rsidRPr="00D875B1">
        <w:rPr>
          <w:rFonts w:ascii="Arial" w:eastAsiaTheme="minorEastAsia" w:hAnsi="Arial" w:cs="Arial"/>
          <w:color w:val="000000"/>
          <w:sz w:val="20"/>
          <w:szCs w:val="20"/>
          <w:lang w:eastAsia="es-ES" w:bidi="ar-SA"/>
        </w:rPr>
        <w:t>: Es necesario para regular la carga de la batería y evitar sobrecargas o descargas profundas, lo que puede dañar la batería.</w:t>
      </w:r>
    </w:p>
    <w:p w14:paraId="0EDB6965"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12670450"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3. </w:t>
      </w:r>
      <w:r w:rsidRPr="00D875B1">
        <w:rPr>
          <w:rFonts w:ascii="Arial" w:eastAsiaTheme="minorEastAsia" w:hAnsi="Arial" w:cs="Arial"/>
          <w:color w:val="000000"/>
          <w:sz w:val="20"/>
          <w:szCs w:val="20"/>
          <w:u w:val="single"/>
          <w:lang w:eastAsia="es-ES" w:bidi="ar-SA"/>
        </w:rPr>
        <w:t>Batería</w:t>
      </w:r>
      <w:r w:rsidRPr="00D875B1">
        <w:rPr>
          <w:rFonts w:ascii="Arial" w:eastAsiaTheme="minorEastAsia" w:hAnsi="Arial" w:cs="Arial"/>
          <w:color w:val="000000"/>
          <w:sz w:val="20"/>
          <w:szCs w:val="20"/>
          <w:lang w:eastAsia="es-ES" w:bidi="ar-SA"/>
        </w:rPr>
        <w:t>: Una batería de ciclo profundo (como las de gel o AGM) es ideal para almacenar la energía generada por el panel solar. La capacidad de la batería debe ser suficiente para alimentar el calentador durante la noche o en días sin sol.</w:t>
      </w:r>
    </w:p>
    <w:p w14:paraId="151D2285"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19C1F74D"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4. </w:t>
      </w:r>
      <w:r w:rsidRPr="00D875B1">
        <w:rPr>
          <w:rFonts w:ascii="Arial" w:eastAsiaTheme="minorEastAsia" w:hAnsi="Arial" w:cs="Arial"/>
          <w:color w:val="000000"/>
          <w:sz w:val="20"/>
          <w:szCs w:val="20"/>
          <w:u w:val="single"/>
          <w:lang w:eastAsia="es-ES" w:bidi="ar-SA"/>
        </w:rPr>
        <w:t>Inversor</w:t>
      </w:r>
      <w:r w:rsidRPr="00D875B1">
        <w:rPr>
          <w:rFonts w:ascii="Arial" w:eastAsiaTheme="minorEastAsia" w:hAnsi="Arial" w:cs="Arial"/>
          <w:color w:val="000000"/>
          <w:sz w:val="20"/>
          <w:szCs w:val="20"/>
          <w:lang w:eastAsia="es-ES" w:bidi="ar-SA"/>
        </w:rPr>
        <w:t>: Si el calentador de pecera funciona con corriente alterna (AC), necesitarás un inversor para convertir la corriente continua (DC) de la batería en corriente alterna. Asegúrate de que el inversor pueda manejar al menos 100 watts.</w:t>
      </w:r>
    </w:p>
    <w:p w14:paraId="4138F42E"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40FC4CD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5. </w:t>
      </w:r>
      <w:r w:rsidRPr="00D875B1">
        <w:rPr>
          <w:rFonts w:ascii="Arial" w:eastAsiaTheme="minorEastAsia" w:hAnsi="Arial" w:cs="Arial"/>
          <w:color w:val="000000"/>
          <w:sz w:val="20"/>
          <w:szCs w:val="20"/>
          <w:u w:val="single"/>
          <w:lang w:eastAsia="es-ES" w:bidi="ar-SA"/>
        </w:rPr>
        <w:t>Cables y conectores</w:t>
      </w:r>
      <w:r w:rsidRPr="00D875B1">
        <w:rPr>
          <w:rFonts w:ascii="Arial" w:eastAsiaTheme="minorEastAsia" w:hAnsi="Arial" w:cs="Arial"/>
          <w:color w:val="000000"/>
          <w:sz w:val="20"/>
          <w:szCs w:val="20"/>
          <w:lang w:eastAsia="es-ES" w:bidi="ar-SA"/>
        </w:rPr>
        <w:t>: Necesitarás cables de calibre adecuado para conectar el panel solar, el controlador de carga, la batería y el inversor. También necesitarás conectores MC4 para el panel solar y terminales para la batería.</w:t>
      </w:r>
    </w:p>
    <w:p w14:paraId="2A1BF267"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0D2F124B"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6. </w:t>
      </w:r>
      <w:r w:rsidRPr="00D875B1">
        <w:rPr>
          <w:rFonts w:ascii="Arial" w:eastAsiaTheme="minorEastAsia" w:hAnsi="Arial" w:cs="Arial"/>
          <w:color w:val="000000"/>
          <w:sz w:val="20"/>
          <w:szCs w:val="20"/>
          <w:u w:val="single"/>
          <w:lang w:eastAsia="es-ES" w:bidi="ar-SA"/>
        </w:rPr>
        <w:t>Fusibles y protectores</w:t>
      </w:r>
      <w:r w:rsidRPr="00D875B1">
        <w:rPr>
          <w:rFonts w:ascii="Arial" w:eastAsiaTheme="minorEastAsia" w:hAnsi="Arial" w:cs="Arial"/>
          <w:color w:val="000000"/>
          <w:sz w:val="20"/>
          <w:szCs w:val="20"/>
          <w:lang w:eastAsia="es-ES" w:bidi="ar-SA"/>
        </w:rPr>
        <w:t>: Es recomendable incluir fusibles y protectores de circuito para evitar cortocircuitos y proteger los componentes.</w:t>
      </w:r>
    </w:p>
    <w:p w14:paraId="61DD758D"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07F385CE"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Pasos generales:</w:t>
      </w:r>
    </w:p>
    <w:p w14:paraId="2460F2AD"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364A8B3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1. </w:t>
      </w:r>
      <w:r w:rsidRPr="00D875B1">
        <w:rPr>
          <w:rFonts w:ascii="Arial" w:eastAsiaTheme="minorEastAsia" w:hAnsi="Arial" w:cs="Arial"/>
          <w:color w:val="000000"/>
          <w:sz w:val="20"/>
          <w:szCs w:val="20"/>
          <w:u w:val="single"/>
          <w:lang w:eastAsia="es-ES" w:bidi="ar-SA"/>
        </w:rPr>
        <w:t>Instalación del panel solar:</w:t>
      </w:r>
      <w:r w:rsidRPr="00D875B1">
        <w:rPr>
          <w:rFonts w:ascii="Arial" w:eastAsiaTheme="minorEastAsia" w:hAnsi="Arial" w:cs="Arial"/>
          <w:color w:val="000000"/>
          <w:sz w:val="20"/>
          <w:szCs w:val="20"/>
          <w:lang w:eastAsia="es-ES" w:bidi="ar-SA"/>
        </w:rPr>
        <w:t xml:space="preserve"> Coloca el panel solar en un lugar donde reciba la máxima cantidad de luz solar durante el día. Asegúrate de que esté correctamente orientado y fijado.</w:t>
      </w:r>
    </w:p>
    <w:p w14:paraId="64CBE245"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CB465BA"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2. </w:t>
      </w:r>
      <w:r w:rsidRPr="00D875B1">
        <w:rPr>
          <w:rFonts w:ascii="Arial" w:eastAsiaTheme="minorEastAsia" w:hAnsi="Arial" w:cs="Arial"/>
          <w:color w:val="000000"/>
          <w:sz w:val="20"/>
          <w:szCs w:val="20"/>
          <w:u w:val="single"/>
          <w:lang w:eastAsia="es-ES" w:bidi="ar-SA"/>
        </w:rPr>
        <w:t xml:space="preserve">Conexión del controlador de carga: </w:t>
      </w:r>
      <w:r w:rsidRPr="00D875B1">
        <w:rPr>
          <w:rFonts w:ascii="Arial" w:eastAsiaTheme="minorEastAsia" w:hAnsi="Arial" w:cs="Arial"/>
          <w:color w:val="000000"/>
          <w:sz w:val="20"/>
          <w:szCs w:val="20"/>
          <w:lang w:eastAsia="es-ES" w:bidi="ar-SA"/>
        </w:rPr>
        <w:t>Conecta el panel solar al controlador de carga y este a la batería. El controlador de carga asegurará que la batería se cargue de manera segura y eficiente.</w:t>
      </w:r>
    </w:p>
    <w:p w14:paraId="2FAF89A8"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C40B9E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3. </w:t>
      </w:r>
      <w:r w:rsidRPr="00D875B1">
        <w:rPr>
          <w:rFonts w:ascii="Arial" w:eastAsiaTheme="minorEastAsia" w:hAnsi="Arial" w:cs="Arial"/>
          <w:color w:val="000000"/>
          <w:sz w:val="20"/>
          <w:szCs w:val="20"/>
          <w:u w:val="single"/>
          <w:lang w:eastAsia="es-ES" w:bidi="ar-SA"/>
        </w:rPr>
        <w:t>Conexión de la batería al inversor:</w:t>
      </w:r>
      <w:r w:rsidRPr="00D875B1">
        <w:rPr>
          <w:rFonts w:ascii="Arial" w:eastAsiaTheme="minorEastAsia" w:hAnsi="Arial" w:cs="Arial"/>
          <w:color w:val="000000"/>
          <w:sz w:val="20"/>
          <w:szCs w:val="20"/>
          <w:lang w:eastAsia="es-ES" w:bidi="ar-SA"/>
        </w:rPr>
        <w:t xml:space="preserve"> Conecta la batería al inversor. Asegúrate de que el inversor esté apagado antes de hacer las conexiones.</w:t>
      </w:r>
    </w:p>
    <w:p w14:paraId="5A281AB8"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4F95FC34"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4. </w:t>
      </w:r>
      <w:r w:rsidRPr="00D875B1">
        <w:rPr>
          <w:rFonts w:ascii="Arial" w:eastAsiaTheme="minorEastAsia" w:hAnsi="Arial" w:cs="Arial"/>
          <w:color w:val="000000"/>
          <w:sz w:val="20"/>
          <w:szCs w:val="20"/>
          <w:u w:val="single"/>
          <w:lang w:eastAsia="es-ES" w:bidi="ar-SA"/>
        </w:rPr>
        <w:t>Conexión del calentador:</w:t>
      </w:r>
      <w:r w:rsidRPr="00D875B1">
        <w:rPr>
          <w:rFonts w:ascii="Arial" w:eastAsiaTheme="minorEastAsia" w:hAnsi="Arial" w:cs="Arial"/>
          <w:color w:val="000000"/>
          <w:sz w:val="20"/>
          <w:szCs w:val="20"/>
          <w:lang w:eastAsia="es-ES" w:bidi="ar-SA"/>
        </w:rPr>
        <w:t xml:space="preserve"> Conecta el calentador de pecera al inversor. Enciende el inversor y verifica que el calentador funcione correctamente.</w:t>
      </w:r>
    </w:p>
    <w:p w14:paraId="47F93E4B"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3FD79033"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5. </w:t>
      </w:r>
      <w:r w:rsidRPr="00D875B1">
        <w:rPr>
          <w:rFonts w:ascii="Arial" w:eastAsiaTheme="minorEastAsia" w:hAnsi="Arial" w:cs="Arial"/>
          <w:color w:val="000000"/>
          <w:sz w:val="20"/>
          <w:szCs w:val="20"/>
          <w:u w:val="single"/>
          <w:lang w:eastAsia="es-ES" w:bidi="ar-SA"/>
        </w:rPr>
        <w:t>Pruebas y ajustes:</w:t>
      </w:r>
      <w:r w:rsidRPr="00D875B1">
        <w:rPr>
          <w:rFonts w:ascii="Arial" w:eastAsiaTheme="minorEastAsia" w:hAnsi="Arial" w:cs="Arial"/>
          <w:color w:val="000000"/>
          <w:sz w:val="20"/>
          <w:szCs w:val="20"/>
          <w:lang w:eastAsia="es-ES" w:bidi="ar-SA"/>
        </w:rPr>
        <w:t xml:space="preserve"> Monitorea el sistema durante unos días para asegurarte de que todo funcione como se espera. Ajusta la posición del panel solar si es necesario para maximizar la captación de energía.</w:t>
      </w:r>
    </w:p>
    <w:p w14:paraId="4BC3BCE8"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Fuentes de información:</w:t>
      </w:r>
    </w:p>
    <w:p w14:paraId="2F32FBF4"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51F89A27" w14:textId="77777777" w:rsidR="00D875B1" w:rsidRPr="00D875B1" w:rsidRDefault="00D875B1" w:rsidP="00465844">
      <w:pPr>
        <w:suppressAutoHyphens w:val="0"/>
        <w:autoSpaceDN/>
        <w:spacing w:before="240" w:after="80"/>
        <w:textAlignment w:val="auto"/>
        <w:outlineLvl w:val="3"/>
        <w:divId w:val="1639263421"/>
        <w:rPr>
          <w:rFonts w:ascii="Times New Roman" w:eastAsia="Times New Roman" w:hAnsi="Times New Roman" w:cs="Times New Roman"/>
          <w:b/>
          <w:bCs/>
          <w:lang w:eastAsia="es-ES" w:bidi="ar-SA"/>
        </w:rPr>
      </w:pPr>
      <w:r w:rsidRPr="00D875B1">
        <w:rPr>
          <w:rFonts w:ascii="Arial" w:eastAsia="Times New Roman" w:hAnsi="Arial" w:cs="Arial"/>
          <w:b/>
          <w:bCs/>
          <w:color w:val="000000"/>
          <w:lang w:eastAsia="es-ES" w:bidi="ar-SA"/>
        </w:rPr>
        <w:t>¿Cuánto tiempo le queda a los hidrocarburos y por qué?</w:t>
      </w:r>
    </w:p>
    <w:p w14:paraId="493EB431"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La duración de las reservas de hidrocarburos (petróleo, gas natural y carbón) depende de varios factores, como el ritmo de consumo, los avances tecnológicos, las políticas energéticas y el descubrimiento de nuevas reservas. Según estimaciones de diversas fuentes académicas y organizaciones especializadas, las reservas de hidrocarburos podrían durar varias décadas, pero con variaciones significativas según el tipo de recurso y la región.</w:t>
      </w:r>
    </w:p>
    <w:p w14:paraId="05939678"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0A0024D5"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1. </w:t>
      </w:r>
      <w:r w:rsidRPr="00D875B1">
        <w:rPr>
          <w:rFonts w:ascii="Arial" w:eastAsiaTheme="minorEastAsia" w:hAnsi="Arial" w:cs="Arial"/>
          <w:color w:val="000000"/>
          <w:sz w:val="20"/>
          <w:szCs w:val="20"/>
          <w:u w:val="single"/>
          <w:lang w:eastAsia="es-ES" w:bidi="ar-SA"/>
        </w:rPr>
        <w:t>Petróleo</w:t>
      </w:r>
    </w:p>
    <w:p w14:paraId="4291AB70"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   - </w:t>
      </w:r>
      <w:r w:rsidRPr="00D875B1">
        <w:rPr>
          <w:rFonts w:ascii="Arial" w:eastAsiaTheme="minorEastAsia" w:hAnsi="Arial" w:cs="Arial"/>
          <w:color w:val="000000"/>
          <w:sz w:val="20"/>
          <w:szCs w:val="20"/>
          <w:lang w:eastAsia="es-ES" w:bidi="ar-SA"/>
        </w:rPr>
        <w:t xml:space="preserve">Según la </w:t>
      </w:r>
      <w:r w:rsidRPr="00D875B1">
        <w:rPr>
          <w:rFonts w:ascii="Arial" w:eastAsiaTheme="minorEastAsia" w:hAnsi="Arial" w:cs="Arial"/>
          <w:i/>
          <w:iCs/>
          <w:color w:val="000000"/>
          <w:sz w:val="20"/>
          <w:szCs w:val="20"/>
          <w:lang w:eastAsia="es-ES" w:bidi="ar-SA"/>
        </w:rPr>
        <w:t>Administración de Información Energética de EE.UU. (EIA)</w:t>
      </w:r>
      <w:r w:rsidRPr="00D875B1">
        <w:rPr>
          <w:rFonts w:ascii="Arial" w:eastAsiaTheme="minorEastAsia" w:hAnsi="Arial" w:cs="Arial"/>
          <w:color w:val="000000"/>
          <w:sz w:val="20"/>
          <w:szCs w:val="20"/>
          <w:lang w:eastAsia="es-ES" w:bidi="ar-SA"/>
        </w:rPr>
        <w:t>, las reservas mundiales de petróleo se estiman en alrededor de 1,7 billones de barriles (datos de 2021). Con un consumo global de aproximadamente 100 millones de barriles por día, estas reservas podrían durar unos 50 años, asumiendo que el consumo se mantenga constante.</w:t>
      </w:r>
    </w:p>
    <w:p w14:paraId="696ABA08"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Sin embargo, este cálculo no tiene en cuenta el descubrimiento de nuevas reservas, el avance de tecnologías de extracción (como el fracking) o la transición hacia energías renovables.</w:t>
      </w:r>
    </w:p>
    <w:p w14:paraId="3E6FB6A6"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w:t>
      </w:r>
    </w:p>
    <w:p w14:paraId="5EBECDCD"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2. </w:t>
      </w:r>
      <w:r w:rsidRPr="00D875B1">
        <w:rPr>
          <w:rFonts w:ascii="Arial" w:eastAsiaTheme="minorEastAsia" w:hAnsi="Arial" w:cs="Arial"/>
          <w:color w:val="000000"/>
          <w:sz w:val="20"/>
          <w:szCs w:val="20"/>
          <w:u w:val="single"/>
          <w:lang w:eastAsia="es-ES" w:bidi="ar-SA"/>
        </w:rPr>
        <w:t>Gas Natural</w:t>
      </w:r>
    </w:p>
    <w:p w14:paraId="58EA26F6"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 El gas natural tiene reservas más amplias que el petróleo. Según la </w:t>
      </w:r>
      <w:r w:rsidRPr="00D875B1">
        <w:rPr>
          <w:rFonts w:ascii="Arial" w:eastAsiaTheme="minorEastAsia" w:hAnsi="Arial" w:cs="Arial"/>
          <w:i/>
          <w:iCs/>
          <w:color w:val="000000"/>
          <w:sz w:val="20"/>
          <w:szCs w:val="20"/>
          <w:lang w:eastAsia="es-ES" w:bidi="ar-SA"/>
        </w:rPr>
        <w:t>Agencia Internacional de Energía (IEA)</w:t>
      </w:r>
      <w:r w:rsidRPr="00D875B1">
        <w:rPr>
          <w:rFonts w:ascii="Arial" w:eastAsiaTheme="minorEastAsia" w:hAnsi="Arial" w:cs="Arial"/>
          <w:color w:val="000000"/>
          <w:sz w:val="20"/>
          <w:szCs w:val="20"/>
          <w:lang w:eastAsia="es-ES" w:bidi="ar-SA"/>
        </w:rPr>
        <w:t>, las reservas mundiales de gas natural se estiman en alrededor de 7,000 billones de pies cúbicos (2021). Con un consumo anual de aproximadamente 140 billones de pies cúbicos, estas reservas podrían durar unos 50 años.</w:t>
      </w:r>
    </w:p>
    <w:p w14:paraId="29E57E04"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El gas natural es considerado un "combustible puente" en la transición energética, ya que emite menos CO2 que el petróleo o el carbón.</w:t>
      </w:r>
    </w:p>
    <w:p w14:paraId="64202057"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3F858EFC"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3. </w:t>
      </w:r>
      <w:r w:rsidRPr="00D875B1">
        <w:rPr>
          <w:rFonts w:ascii="Arial" w:eastAsiaTheme="minorEastAsia" w:hAnsi="Arial" w:cs="Arial"/>
          <w:color w:val="000000"/>
          <w:sz w:val="20"/>
          <w:szCs w:val="20"/>
          <w:u w:val="single"/>
          <w:lang w:eastAsia="es-ES" w:bidi="ar-SA"/>
        </w:rPr>
        <w:t>Carbón</w:t>
      </w:r>
    </w:p>
    <w:p w14:paraId="01CB2A2D"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 El carbón es el hidrocarburo más abundante. Según el </w:t>
      </w:r>
      <w:r w:rsidRPr="00D875B1">
        <w:rPr>
          <w:rFonts w:ascii="Arial" w:eastAsiaTheme="minorEastAsia" w:hAnsi="Arial" w:cs="Arial"/>
          <w:i/>
          <w:iCs/>
          <w:color w:val="000000"/>
          <w:sz w:val="20"/>
          <w:szCs w:val="20"/>
          <w:lang w:eastAsia="es-ES" w:bidi="ar-SA"/>
        </w:rPr>
        <w:t>World Energy Council</w:t>
      </w:r>
      <w:r w:rsidRPr="00D875B1">
        <w:rPr>
          <w:rFonts w:ascii="Arial" w:eastAsiaTheme="minorEastAsia" w:hAnsi="Arial" w:cs="Arial"/>
          <w:color w:val="000000"/>
          <w:sz w:val="20"/>
          <w:szCs w:val="20"/>
          <w:lang w:eastAsia="es-ES" w:bidi="ar-SA"/>
        </w:rPr>
        <w:t>, las reservas mundiales de carbón podrían durar más de 150 años al ritmo actual de consumo.</w:t>
      </w:r>
    </w:p>
    <w:p w14:paraId="6A1D9E8B"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Sin embargo, el carbón es el combustible fósil más contaminante, y su uso está siendo reducido en muchos países debido a preocupaciones ambientales y climáticas.</w:t>
      </w:r>
    </w:p>
    <w:p w14:paraId="0D581C0F"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0839229A"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4. </w:t>
      </w:r>
      <w:r w:rsidRPr="00D875B1">
        <w:rPr>
          <w:rFonts w:ascii="Arial" w:eastAsiaTheme="minorEastAsia" w:hAnsi="Arial" w:cs="Arial"/>
          <w:color w:val="000000"/>
          <w:sz w:val="20"/>
          <w:szCs w:val="20"/>
          <w:u w:val="single"/>
          <w:lang w:eastAsia="es-ES" w:bidi="ar-SA"/>
        </w:rPr>
        <w:t>Factores que influyen en la duración de los hidrocarburos</w:t>
      </w:r>
    </w:p>
    <w:p w14:paraId="12F11570"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Descubrimiento de nuevas reservas: La exploración y el avance tecnológico pueden extender la vida útil de los hidrocarburos.</w:t>
      </w:r>
    </w:p>
    <w:p w14:paraId="45D0129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lastRenderedPageBreak/>
        <w:t xml:space="preserve">   - Transición energética: El aumento de las energías renovables (solar, eólica, etc.) y las políticas de </w:t>
      </w:r>
      <w:proofErr w:type="spellStart"/>
      <w:r w:rsidRPr="00D875B1">
        <w:rPr>
          <w:rFonts w:ascii="Arial" w:eastAsiaTheme="minorEastAsia" w:hAnsi="Arial" w:cs="Arial"/>
          <w:color w:val="000000"/>
          <w:sz w:val="20"/>
          <w:szCs w:val="20"/>
          <w:lang w:eastAsia="es-ES" w:bidi="ar-SA"/>
        </w:rPr>
        <w:t>descarbonización</w:t>
      </w:r>
      <w:proofErr w:type="spellEnd"/>
      <w:r w:rsidRPr="00D875B1">
        <w:rPr>
          <w:rFonts w:ascii="Arial" w:eastAsiaTheme="minorEastAsia" w:hAnsi="Arial" w:cs="Arial"/>
          <w:color w:val="000000"/>
          <w:sz w:val="20"/>
          <w:szCs w:val="20"/>
          <w:lang w:eastAsia="es-ES" w:bidi="ar-SA"/>
        </w:rPr>
        <w:t xml:space="preserve"> podrían reducir la dependencia de los hidrocarburos.</w:t>
      </w:r>
    </w:p>
    <w:p w14:paraId="5A66582A"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Cambios en el consumo: El crecimiento económico y poblacional en países en desarrollo podría aumentar la demanda, mientras que la eficiencia energética podría reducirla.</w:t>
      </w:r>
    </w:p>
    <w:p w14:paraId="23512245"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A9C70D4" w14:textId="77777777" w:rsidR="00D875B1" w:rsidRPr="00D875B1" w:rsidRDefault="00D875B1" w:rsidP="00465844">
      <w:pPr>
        <w:suppressAutoHyphens w:val="0"/>
        <w:autoSpaceDN/>
        <w:spacing w:before="240" w:after="80"/>
        <w:textAlignment w:val="auto"/>
        <w:outlineLvl w:val="3"/>
        <w:divId w:val="1639263421"/>
        <w:rPr>
          <w:rFonts w:ascii="Times New Roman" w:eastAsia="Times New Roman" w:hAnsi="Times New Roman" w:cs="Times New Roman"/>
          <w:b/>
          <w:bCs/>
          <w:lang w:eastAsia="es-ES" w:bidi="ar-SA"/>
        </w:rPr>
      </w:pPr>
      <w:r w:rsidRPr="00D875B1">
        <w:rPr>
          <w:rFonts w:ascii="Arial" w:eastAsia="Times New Roman" w:hAnsi="Arial" w:cs="Arial"/>
          <w:b/>
          <w:bCs/>
          <w:color w:val="000000"/>
          <w:lang w:eastAsia="es-ES" w:bidi="ar-SA"/>
        </w:rPr>
        <w:t>¿Qué aspectos se deben considerar para montar una fábrica de semiconductores en el sur del país?</w:t>
      </w:r>
    </w:p>
    <w:p w14:paraId="5EA164F5"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Para montar una fábrica de semiconductores en el sur de un país, es esencial considerar varios aspectos clave, como la infraestructura, el acceso a recursos, la mano de obra calificada, los incentivos gubernamentales y el impacto ambiental. A continuación, te proporciono algunas fuentes confiables con terminación .edu o .org que pueden ofrecer información detallada sobre estos temas:</w:t>
      </w:r>
    </w:p>
    <w:p w14:paraId="70AAF314"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693C2B91"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1. </w:t>
      </w:r>
      <w:r w:rsidRPr="00D875B1">
        <w:rPr>
          <w:rFonts w:ascii="Arial" w:eastAsiaTheme="minorEastAsia" w:hAnsi="Arial" w:cs="Arial"/>
          <w:color w:val="000000"/>
          <w:sz w:val="20"/>
          <w:szCs w:val="20"/>
          <w:u w:val="single"/>
          <w:lang w:eastAsia="es-ES" w:bidi="ar-SA"/>
        </w:rPr>
        <w:t>Infraestructura y logística:</w:t>
      </w:r>
    </w:p>
    <w:p w14:paraId="446049B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El Instituto Tecnológico de Massachusetts (MIT) ofrece investigaciones y análisis sobre la infraestructura necesaria para la fabricación de semiconductores.</w:t>
      </w:r>
    </w:p>
    <w:p w14:paraId="3CF7FA58"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La Universidad de Stanford tiene publicaciones sobre la logística y la cadena de suministro en la industria de semiconductores.</w:t>
      </w:r>
    </w:p>
    <w:p w14:paraId="104BE327"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4A56193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2. </w:t>
      </w:r>
      <w:r w:rsidRPr="00D875B1">
        <w:rPr>
          <w:rFonts w:ascii="Arial" w:eastAsiaTheme="minorEastAsia" w:hAnsi="Arial" w:cs="Arial"/>
          <w:color w:val="000000"/>
          <w:sz w:val="20"/>
          <w:szCs w:val="20"/>
          <w:u w:val="single"/>
          <w:lang w:eastAsia="es-ES" w:bidi="ar-SA"/>
        </w:rPr>
        <w:t>Recursos y materiales:</w:t>
      </w:r>
    </w:p>
    <w:p w14:paraId="64117EAF"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 </w:t>
      </w:r>
      <w:proofErr w:type="spellStart"/>
      <w:r w:rsidRPr="00D875B1">
        <w:rPr>
          <w:rFonts w:ascii="Arial" w:eastAsiaTheme="minorEastAsia" w:hAnsi="Arial" w:cs="Arial"/>
          <w:color w:val="000000"/>
          <w:sz w:val="20"/>
          <w:szCs w:val="20"/>
          <w:lang w:eastAsia="es-ES" w:bidi="ar-SA"/>
        </w:rPr>
        <w:t>Nature</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Conservancy</w:t>
      </w:r>
      <w:proofErr w:type="spellEnd"/>
      <w:r w:rsidRPr="00D875B1">
        <w:rPr>
          <w:rFonts w:ascii="Arial" w:eastAsiaTheme="minorEastAsia" w:hAnsi="Arial" w:cs="Arial"/>
          <w:color w:val="000000"/>
          <w:sz w:val="20"/>
          <w:szCs w:val="20"/>
          <w:lang w:eastAsia="es-ES" w:bidi="ar-SA"/>
        </w:rPr>
        <w:t xml:space="preserve"> ofrece información sobre la sostenibilidad y el uso responsable de recursos naturales en la fabricación de semiconductores.</w:t>
      </w:r>
    </w:p>
    <w:p w14:paraId="0E35F285"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 </w:t>
      </w:r>
      <w:proofErr w:type="spellStart"/>
      <w:r w:rsidRPr="00D875B1">
        <w:rPr>
          <w:rFonts w:ascii="Arial" w:eastAsiaTheme="minorEastAsia" w:hAnsi="Arial" w:cs="Arial"/>
          <w:color w:val="000000"/>
          <w:sz w:val="20"/>
          <w:szCs w:val="20"/>
          <w:lang w:eastAsia="es-ES" w:bidi="ar-SA"/>
        </w:rPr>
        <w:t>ScienceDirect</w:t>
      </w:r>
      <w:proofErr w:type="spellEnd"/>
      <w:r w:rsidRPr="00D875B1">
        <w:rPr>
          <w:rFonts w:ascii="Arial" w:eastAsiaTheme="minorEastAsia" w:hAnsi="Arial" w:cs="Arial"/>
          <w:color w:val="000000"/>
          <w:sz w:val="20"/>
          <w:szCs w:val="20"/>
          <w:lang w:eastAsia="es-ES" w:bidi="ar-SA"/>
        </w:rPr>
        <w:t xml:space="preserve"> es una plataforma confiable que ofrece acceso a artículos científicos sobre materiales y recursos necesarios para la fabricación de semiconductores.</w:t>
      </w:r>
    </w:p>
    <w:p w14:paraId="46A57DDB"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55DA147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3. </w:t>
      </w:r>
      <w:r w:rsidRPr="00D875B1">
        <w:rPr>
          <w:rFonts w:ascii="Arial" w:eastAsiaTheme="minorEastAsia" w:hAnsi="Arial" w:cs="Arial"/>
          <w:color w:val="000000"/>
          <w:sz w:val="20"/>
          <w:szCs w:val="20"/>
          <w:u w:val="single"/>
          <w:lang w:eastAsia="es-ES" w:bidi="ar-SA"/>
        </w:rPr>
        <w:t>Mano de obra calificada:</w:t>
      </w:r>
    </w:p>
    <w:p w14:paraId="2A503E9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La Universidad de Harvard tiene estudios sobre la educación y capacitación necesaria para la mano de obra en la industria de semiconductores.</w:t>
      </w:r>
    </w:p>
    <w:p w14:paraId="637E48D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El Instituto de Ingenieros Eléctricos y Electrónicos (IEEE) ofrece recursos sobre la formación y certificación de profesionales en este campo.</w:t>
      </w:r>
    </w:p>
    <w:p w14:paraId="7EBDA1CB"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4BF4D757"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4. </w:t>
      </w:r>
      <w:r w:rsidRPr="00D875B1">
        <w:rPr>
          <w:rFonts w:ascii="Arial" w:eastAsiaTheme="minorEastAsia" w:hAnsi="Arial" w:cs="Arial"/>
          <w:color w:val="000000"/>
          <w:sz w:val="20"/>
          <w:szCs w:val="20"/>
          <w:u w:val="single"/>
          <w:lang w:eastAsia="es-ES" w:bidi="ar-SA"/>
        </w:rPr>
        <w:t>Incentivos gubernamentales y políticas:</w:t>
      </w:r>
    </w:p>
    <w:p w14:paraId="0AF60258"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 Brookings </w:t>
      </w:r>
      <w:proofErr w:type="spellStart"/>
      <w:r w:rsidRPr="00D875B1">
        <w:rPr>
          <w:rFonts w:ascii="Arial" w:eastAsiaTheme="minorEastAsia" w:hAnsi="Arial" w:cs="Arial"/>
          <w:color w:val="000000"/>
          <w:sz w:val="20"/>
          <w:szCs w:val="20"/>
          <w:lang w:eastAsia="es-ES" w:bidi="ar-SA"/>
        </w:rPr>
        <w:t>Institution</w:t>
      </w:r>
      <w:proofErr w:type="spellEnd"/>
      <w:r w:rsidRPr="00D875B1">
        <w:rPr>
          <w:rFonts w:ascii="Arial" w:eastAsiaTheme="minorEastAsia" w:hAnsi="Arial" w:cs="Arial"/>
          <w:color w:val="000000"/>
          <w:sz w:val="20"/>
          <w:szCs w:val="20"/>
          <w:lang w:eastAsia="es-ES" w:bidi="ar-SA"/>
        </w:rPr>
        <w:t xml:space="preserve"> proporciona análisis sobre políticas públicas e incentivos gubernamentales para la industria de semiconductores.</w:t>
      </w:r>
    </w:p>
    <w:p w14:paraId="1AC4A65D"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El Banco Mundial ofrece informes sobre políticas de desarrollo industrial y apoyo gubernamental en diferentes regiones.</w:t>
      </w:r>
    </w:p>
    <w:p w14:paraId="052F00B3"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73A8E5E"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5. </w:t>
      </w:r>
      <w:r w:rsidRPr="00D875B1">
        <w:rPr>
          <w:rFonts w:ascii="Arial" w:eastAsiaTheme="minorEastAsia" w:hAnsi="Arial" w:cs="Arial"/>
          <w:color w:val="000000"/>
          <w:sz w:val="20"/>
          <w:szCs w:val="20"/>
          <w:u w:val="single"/>
          <w:lang w:eastAsia="es-ES" w:bidi="ar-SA"/>
        </w:rPr>
        <w:t>Impacto ambiental y sostenibilidad:</w:t>
      </w:r>
    </w:p>
    <w:p w14:paraId="1C74A6F5"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 La agencia de Protección Ambiental de los Estados Unidos ofrece guías y regulaciones sobre el impacto ambiental de la fabricación de semiconductores.</w:t>
      </w:r>
    </w:p>
    <w:p w14:paraId="4235D3C1"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lastRenderedPageBreak/>
        <w:t>   - Greenpeace ofrece informes sobre prácticas sostenibles y el impacto ambiental de la industria tecnológica.</w:t>
      </w:r>
    </w:p>
    <w:p w14:paraId="26096948"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5218C4A6" w14:textId="77777777" w:rsidR="00D875B1" w:rsidRPr="00D875B1" w:rsidRDefault="00D875B1" w:rsidP="00465844">
      <w:pPr>
        <w:suppressAutoHyphens w:val="0"/>
        <w:autoSpaceDN/>
        <w:spacing w:before="240" w:after="80"/>
        <w:textAlignment w:val="auto"/>
        <w:outlineLvl w:val="3"/>
        <w:divId w:val="1639263421"/>
        <w:rPr>
          <w:rFonts w:ascii="Times New Roman" w:eastAsia="Times New Roman" w:hAnsi="Times New Roman" w:cs="Times New Roman"/>
          <w:b/>
          <w:bCs/>
          <w:lang w:eastAsia="es-ES" w:bidi="ar-SA"/>
        </w:rPr>
      </w:pPr>
      <w:r w:rsidRPr="00D875B1">
        <w:rPr>
          <w:rFonts w:ascii="Arial" w:eastAsia="Times New Roman" w:hAnsi="Arial" w:cs="Arial"/>
          <w:b/>
          <w:bCs/>
          <w:color w:val="000000"/>
          <w:lang w:eastAsia="es-ES" w:bidi="ar-SA"/>
        </w:rPr>
        <w:t>¿Cuál es el principal mineral en la fábrica de celulares y cual es su proceso de extracción?</w:t>
      </w:r>
    </w:p>
    <w:p w14:paraId="1B3CF7D0"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El principal mineral utilizado en la fabricación de celulares es el </w:t>
      </w:r>
      <w:proofErr w:type="spellStart"/>
      <w:r w:rsidRPr="00D875B1">
        <w:rPr>
          <w:rFonts w:ascii="Arial" w:eastAsiaTheme="minorEastAsia" w:hAnsi="Arial" w:cs="Arial"/>
          <w:color w:val="000000"/>
          <w:sz w:val="20"/>
          <w:szCs w:val="20"/>
          <w:lang w:eastAsia="es-ES" w:bidi="ar-SA"/>
        </w:rPr>
        <w:t>coltán</w:t>
      </w:r>
      <w:proofErr w:type="spellEnd"/>
      <w:r w:rsidRPr="00D875B1">
        <w:rPr>
          <w:rFonts w:ascii="Arial" w:eastAsiaTheme="minorEastAsia" w:hAnsi="Arial" w:cs="Arial"/>
          <w:color w:val="000000"/>
          <w:sz w:val="20"/>
          <w:szCs w:val="20"/>
          <w:lang w:eastAsia="es-ES" w:bidi="ar-SA"/>
        </w:rPr>
        <w:t xml:space="preserve"> (abreviatura de </w:t>
      </w:r>
      <w:proofErr w:type="spellStart"/>
      <w:r w:rsidRPr="00D875B1">
        <w:rPr>
          <w:rFonts w:ascii="Arial" w:eastAsiaTheme="minorEastAsia" w:hAnsi="Arial" w:cs="Arial"/>
          <w:color w:val="000000"/>
          <w:sz w:val="20"/>
          <w:szCs w:val="20"/>
          <w:lang w:eastAsia="es-ES" w:bidi="ar-SA"/>
        </w:rPr>
        <w:t>columbita-tantalita</w:t>
      </w:r>
      <w:proofErr w:type="spellEnd"/>
      <w:r w:rsidRPr="00D875B1">
        <w:rPr>
          <w:rFonts w:ascii="Arial" w:eastAsiaTheme="minorEastAsia" w:hAnsi="Arial" w:cs="Arial"/>
          <w:color w:val="000000"/>
          <w:sz w:val="20"/>
          <w:szCs w:val="20"/>
          <w:lang w:eastAsia="es-ES" w:bidi="ar-SA"/>
        </w:rPr>
        <w:t>), que es una fuente clave de tantalio. El tantalio es esencial para la producción de condensadores electrolíticos de tantalio, que son componentes críticos en los circuitos electrónicos de los dispositivos móviles debido a su alta eficiencia y capacidad para almacenar carga eléctrica.</w:t>
      </w:r>
    </w:p>
    <w:p w14:paraId="0CFBA26F"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265E347B" w14:textId="4AF3183D" w:rsidR="00D875B1" w:rsidRPr="00735DA2"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u w:val="single"/>
          <w:lang w:eastAsia="es-ES" w:bidi="ar-SA"/>
        </w:rPr>
        <w:t xml:space="preserve">Proceso de extracción del </w:t>
      </w:r>
      <w:proofErr w:type="spellStart"/>
      <w:r w:rsidRPr="00D875B1">
        <w:rPr>
          <w:rFonts w:ascii="Arial" w:eastAsiaTheme="minorEastAsia" w:hAnsi="Arial" w:cs="Arial"/>
          <w:color w:val="000000"/>
          <w:sz w:val="22"/>
          <w:szCs w:val="22"/>
          <w:u w:val="single"/>
          <w:lang w:eastAsia="es-ES" w:bidi="ar-SA"/>
        </w:rPr>
        <w:t>coltán</w:t>
      </w:r>
      <w:proofErr w:type="spellEnd"/>
    </w:p>
    <w:p w14:paraId="0710248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1. </w:t>
      </w:r>
      <w:r w:rsidRPr="00D875B1">
        <w:rPr>
          <w:rFonts w:ascii="Arial" w:eastAsiaTheme="minorEastAsia" w:hAnsi="Arial" w:cs="Arial"/>
          <w:color w:val="000000"/>
          <w:sz w:val="22"/>
          <w:szCs w:val="22"/>
          <w:u w:val="single"/>
          <w:lang w:eastAsia="es-ES" w:bidi="ar-SA"/>
        </w:rPr>
        <w:t>Localización y exploración:</w:t>
      </w:r>
      <w:r w:rsidRPr="00D875B1">
        <w:rPr>
          <w:rFonts w:ascii="Arial" w:eastAsiaTheme="minorEastAsia" w:hAnsi="Arial" w:cs="Arial"/>
          <w:color w:val="000000"/>
          <w:sz w:val="22"/>
          <w:szCs w:val="22"/>
          <w:lang w:eastAsia="es-ES" w:bidi="ar-SA"/>
        </w:rPr>
        <w:t xml:space="preserve"> Se identifican yacimientos de </w:t>
      </w:r>
      <w:proofErr w:type="spellStart"/>
      <w:r w:rsidRPr="00D875B1">
        <w:rPr>
          <w:rFonts w:ascii="Arial" w:eastAsiaTheme="minorEastAsia" w:hAnsi="Arial" w:cs="Arial"/>
          <w:color w:val="000000"/>
          <w:sz w:val="22"/>
          <w:szCs w:val="22"/>
          <w:lang w:eastAsia="es-ES" w:bidi="ar-SA"/>
        </w:rPr>
        <w:t>coltán</w:t>
      </w:r>
      <w:proofErr w:type="spellEnd"/>
      <w:r w:rsidRPr="00D875B1">
        <w:rPr>
          <w:rFonts w:ascii="Arial" w:eastAsiaTheme="minorEastAsia" w:hAnsi="Arial" w:cs="Arial"/>
          <w:color w:val="000000"/>
          <w:sz w:val="22"/>
          <w:szCs w:val="22"/>
          <w:lang w:eastAsia="es-ES" w:bidi="ar-SA"/>
        </w:rPr>
        <w:t>, principalmente en países como la República Democrática del Congo, Australia, Brasil y otros.</w:t>
      </w:r>
    </w:p>
    <w:p w14:paraId="11555031"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2. </w:t>
      </w:r>
      <w:r w:rsidRPr="00D875B1">
        <w:rPr>
          <w:rFonts w:ascii="Arial" w:eastAsiaTheme="minorEastAsia" w:hAnsi="Arial" w:cs="Arial"/>
          <w:color w:val="000000"/>
          <w:sz w:val="22"/>
          <w:szCs w:val="22"/>
          <w:u w:val="single"/>
          <w:lang w:eastAsia="es-ES" w:bidi="ar-SA"/>
        </w:rPr>
        <w:t>Extracción minera:</w:t>
      </w:r>
      <w:r w:rsidRPr="00D875B1">
        <w:rPr>
          <w:rFonts w:ascii="Arial" w:eastAsiaTheme="minorEastAsia" w:hAnsi="Arial" w:cs="Arial"/>
          <w:color w:val="000000"/>
          <w:sz w:val="22"/>
          <w:szCs w:val="22"/>
          <w:lang w:eastAsia="es-ES" w:bidi="ar-SA"/>
        </w:rPr>
        <w:t xml:space="preserve"> El </w:t>
      </w:r>
      <w:proofErr w:type="spellStart"/>
      <w:r w:rsidRPr="00D875B1">
        <w:rPr>
          <w:rFonts w:ascii="Arial" w:eastAsiaTheme="minorEastAsia" w:hAnsi="Arial" w:cs="Arial"/>
          <w:color w:val="000000"/>
          <w:sz w:val="22"/>
          <w:szCs w:val="22"/>
          <w:lang w:eastAsia="es-ES" w:bidi="ar-SA"/>
        </w:rPr>
        <w:t>coltán</w:t>
      </w:r>
      <w:proofErr w:type="spellEnd"/>
      <w:r w:rsidRPr="00D875B1">
        <w:rPr>
          <w:rFonts w:ascii="Arial" w:eastAsiaTheme="minorEastAsia" w:hAnsi="Arial" w:cs="Arial"/>
          <w:color w:val="000000"/>
          <w:sz w:val="22"/>
          <w:szCs w:val="22"/>
          <w:lang w:eastAsia="es-ES" w:bidi="ar-SA"/>
        </w:rPr>
        <w:t xml:space="preserve"> se extrae mediante minería a cielo abierto o subterránea, dependiendo de la ubicación del yacimiento.</w:t>
      </w:r>
    </w:p>
    <w:p w14:paraId="10F22DC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3. </w:t>
      </w:r>
      <w:r w:rsidRPr="00D875B1">
        <w:rPr>
          <w:rFonts w:ascii="Arial" w:eastAsiaTheme="minorEastAsia" w:hAnsi="Arial" w:cs="Arial"/>
          <w:color w:val="000000"/>
          <w:sz w:val="22"/>
          <w:szCs w:val="22"/>
          <w:u w:val="single"/>
          <w:lang w:eastAsia="es-ES" w:bidi="ar-SA"/>
        </w:rPr>
        <w:t>Separación y concentración:</w:t>
      </w:r>
      <w:r w:rsidRPr="00D875B1">
        <w:rPr>
          <w:rFonts w:ascii="Arial" w:eastAsiaTheme="minorEastAsia" w:hAnsi="Arial" w:cs="Arial"/>
          <w:color w:val="000000"/>
          <w:sz w:val="22"/>
          <w:szCs w:val="22"/>
          <w:lang w:eastAsia="es-ES" w:bidi="ar-SA"/>
        </w:rPr>
        <w:t xml:space="preserve"> El mineral se procesa para separar la </w:t>
      </w:r>
      <w:proofErr w:type="spellStart"/>
      <w:r w:rsidRPr="00D875B1">
        <w:rPr>
          <w:rFonts w:ascii="Arial" w:eastAsiaTheme="minorEastAsia" w:hAnsi="Arial" w:cs="Arial"/>
          <w:color w:val="000000"/>
          <w:sz w:val="22"/>
          <w:szCs w:val="22"/>
          <w:lang w:eastAsia="es-ES" w:bidi="ar-SA"/>
        </w:rPr>
        <w:t>columbita</w:t>
      </w:r>
      <w:proofErr w:type="spellEnd"/>
      <w:r w:rsidRPr="00D875B1">
        <w:rPr>
          <w:rFonts w:ascii="Arial" w:eastAsiaTheme="minorEastAsia" w:hAnsi="Arial" w:cs="Arial"/>
          <w:color w:val="000000"/>
          <w:sz w:val="22"/>
          <w:szCs w:val="22"/>
          <w:lang w:eastAsia="es-ES" w:bidi="ar-SA"/>
        </w:rPr>
        <w:t xml:space="preserve"> (que contiene niobio) de la </w:t>
      </w:r>
      <w:proofErr w:type="spellStart"/>
      <w:r w:rsidRPr="00D875B1">
        <w:rPr>
          <w:rFonts w:ascii="Arial" w:eastAsiaTheme="minorEastAsia" w:hAnsi="Arial" w:cs="Arial"/>
          <w:color w:val="000000"/>
          <w:sz w:val="22"/>
          <w:szCs w:val="22"/>
          <w:lang w:eastAsia="es-ES" w:bidi="ar-SA"/>
        </w:rPr>
        <w:t>tantalita</w:t>
      </w:r>
      <w:proofErr w:type="spellEnd"/>
      <w:r w:rsidRPr="00D875B1">
        <w:rPr>
          <w:rFonts w:ascii="Arial" w:eastAsiaTheme="minorEastAsia" w:hAnsi="Arial" w:cs="Arial"/>
          <w:color w:val="000000"/>
          <w:sz w:val="22"/>
          <w:szCs w:val="22"/>
          <w:lang w:eastAsia="es-ES" w:bidi="ar-SA"/>
        </w:rPr>
        <w:t xml:space="preserve"> (que contiene tantalio).</w:t>
      </w:r>
    </w:p>
    <w:p w14:paraId="35D34486"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4. </w:t>
      </w:r>
      <w:r w:rsidRPr="00D875B1">
        <w:rPr>
          <w:rFonts w:ascii="Arial" w:eastAsiaTheme="minorEastAsia" w:hAnsi="Arial" w:cs="Arial"/>
          <w:color w:val="000000"/>
          <w:sz w:val="22"/>
          <w:szCs w:val="22"/>
          <w:u w:val="single"/>
          <w:lang w:eastAsia="es-ES" w:bidi="ar-SA"/>
        </w:rPr>
        <w:t>Refinación:</w:t>
      </w:r>
      <w:r w:rsidRPr="00D875B1">
        <w:rPr>
          <w:rFonts w:ascii="Arial" w:eastAsiaTheme="minorEastAsia" w:hAnsi="Arial" w:cs="Arial"/>
          <w:color w:val="000000"/>
          <w:sz w:val="22"/>
          <w:szCs w:val="22"/>
          <w:lang w:eastAsia="es-ES" w:bidi="ar-SA"/>
        </w:rPr>
        <w:t xml:space="preserve"> El tantalio se extrae de la </w:t>
      </w:r>
      <w:proofErr w:type="spellStart"/>
      <w:r w:rsidRPr="00D875B1">
        <w:rPr>
          <w:rFonts w:ascii="Arial" w:eastAsiaTheme="minorEastAsia" w:hAnsi="Arial" w:cs="Arial"/>
          <w:color w:val="000000"/>
          <w:sz w:val="22"/>
          <w:szCs w:val="22"/>
          <w:lang w:eastAsia="es-ES" w:bidi="ar-SA"/>
        </w:rPr>
        <w:t>tantalita</w:t>
      </w:r>
      <w:proofErr w:type="spellEnd"/>
      <w:r w:rsidRPr="00D875B1">
        <w:rPr>
          <w:rFonts w:ascii="Arial" w:eastAsiaTheme="minorEastAsia" w:hAnsi="Arial" w:cs="Arial"/>
          <w:color w:val="000000"/>
          <w:sz w:val="22"/>
          <w:szCs w:val="22"/>
          <w:lang w:eastAsia="es-ES" w:bidi="ar-SA"/>
        </w:rPr>
        <w:t xml:space="preserve"> mediante procesos químicos, como la fusión alcalina o la lixiviación ácida.</w:t>
      </w:r>
    </w:p>
    <w:p w14:paraId="04F88D9E"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2"/>
          <w:szCs w:val="22"/>
          <w:lang w:eastAsia="es-ES" w:bidi="ar-SA"/>
        </w:rPr>
        <w:t xml:space="preserve">5. </w:t>
      </w:r>
      <w:r w:rsidRPr="00D875B1">
        <w:rPr>
          <w:rFonts w:ascii="Arial" w:eastAsiaTheme="minorEastAsia" w:hAnsi="Arial" w:cs="Arial"/>
          <w:color w:val="000000"/>
          <w:sz w:val="22"/>
          <w:szCs w:val="22"/>
          <w:u w:val="single"/>
          <w:lang w:eastAsia="es-ES" w:bidi="ar-SA"/>
        </w:rPr>
        <w:t>Purificación:</w:t>
      </w:r>
      <w:r w:rsidRPr="00D875B1">
        <w:rPr>
          <w:rFonts w:ascii="Arial" w:eastAsiaTheme="minorEastAsia" w:hAnsi="Arial" w:cs="Arial"/>
          <w:color w:val="000000"/>
          <w:sz w:val="22"/>
          <w:szCs w:val="22"/>
          <w:lang w:eastAsia="es-ES" w:bidi="ar-SA"/>
        </w:rPr>
        <w:t xml:space="preserve"> El tantalio se purifica para obtener el metal en su forma más pura, que luego se utiliza en la fabricación de componentes electrónicos.</w:t>
      </w:r>
    </w:p>
    <w:p w14:paraId="4E5D9E12"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7885F0CD" w14:textId="77777777" w:rsidR="00D875B1" w:rsidRPr="00D875B1" w:rsidRDefault="00D875B1" w:rsidP="00465844">
      <w:pPr>
        <w:suppressAutoHyphens w:val="0"/>
        <w:autoSpaceDN/>
        <w:spacing w:before="240" w:after="80"/>
        <w:textAlignment w:val="auto"/>
        <w:outlineLvl w:val="3"/>
        <w:divId w:val="1639263421"/>
        <w:rPr>
          <w:rFonts w:ascii="Times New Roman" w:eastAsia="Times New Roman" w:hAnsi="Times New Roman" w:cs="Times New Roman"/>
          <w:b/>
          <w:bCs/>
          <w:lang w:eastAsia="es-ES" w:bidi="ar-SA"/>
        </w:rPr>
      </w:pPr>
      <w:r w:rsidRPr="00D875B1">
        <w:rPr>
          <w:rFonts w:ascii="Arial" w:eastAsia="Times New Roman" w:hAnsi="Arial" w:cs="Arial"/>
          <w:b/>
          <w:bCs/>
          <w:color w:val="000000"/>
          <w:lang w:eastAsia="es-ES" w:bidi="ar-SA"/>
        </w:rPr>
        <w:t>¿En qué circunstancias el vapor resulta más eficiente que la combustión interna?</w:t>
      </w:r>
    </w:p>
    <w:p w14:paraId="4573E7A0"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El vapor puede resultar más eficiente que la combustión interna en ciertas circunstancias, especialmente en aplicaciones donde se requiere una gran cantidad de energía térmica o en sistemas que operan a escala industrial. </w:t>
      </w:r>
    </w:p>
    <w:p w14:paraId="0A89C869"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62DA0B1B"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1. </w:t>
      </w:r>
      <w:r w:rsidRPr="00D875B1">
        <w:rPr>
          <w:rFonts w:ascii="Arial" w:eastAsiaTheme="minorEastAsia" w:hAnsi="Arial" w:cs="Arial"/>
          <w:color w:val="000000"/>
          <w:sz w:val="20"/>
          <w:szCs w:val="20"/>
          <w:u w:val="single"/>
          <w:lang w:eastAsia="es-ES" w:bidi="ar-SA"/>
        </w:rPr>
        <w:t>Generación de energía a gran escala:</w:t>
      </w:r>
      <w:r w:rsidRPr="00D875B1">
        <w:rPr>
          <w:rFonts w:ascii="Arial" w:eastAsiaTheme="minorEastAsia" w:hAnsi="Arial" w:cs="Arial"/>
          <w:color w:val="000000"/>
          <w:sz w:val="20"/>
          <w:szCs w:val="20"/>
          <w:lang w:eastAsia="es-ES" w:bidi="ar-SA"/>
        </w:rPr>
        <w:t>  </w:t>
      </w:r>
    </w:p>
    <w:p w14:paraId="61E8F607"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Las plantas de energía que utilizan turbinas de vapor (como las centrales termoeléctricas) pueden ser más eficientes que los motores de combustión interna para generar electricidad a gran escala. Esto se debe a que el vapor puede aprovechar el calor residual y operar en ciclos combinados, aumentando la eficiencia térmica.  </w:t>
      </w:r>
    </w:p>
    <w:p w14:paraId="413367F9"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w:t>
      </w:r>
    </w:p>
    <w:p w14:paraId="6C2897D7"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2. </w:t>
      </w:r>
      <w:r w:rsidRPr="00D875B1">
        <w:rPr>
          <w:rFonts w:ascii="Arial" w:eastAsiaTheme="minorEastAsia" w:hAnsi="Arial" w:cs="Arial"/>
          <w:color w:val="000000"/>
          <w:sz w:val="20"/>
          <w:szCs w:val="20"/>
          <w:u w:val="single"/>
          <w:lang w:eastAsia="es-ES" w:bidi="ar-SA"/>
        </w:rPr>
        <w:t>Aplicaciones industriales con calor residual:  </w:t>
      </w:r>
    </w:p>
    <w:p w14:paraId="6C5611E2"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En industrias como la química, petroquímica o de manufactura, el vapor es más eficiente porque puede utilizar calor residual de otros procesos, lo que no es posible con motores de combustión interna. </w:t>
      </w:r>
    </w:p>
    <w:p w14:paraId="3CF8F1D4"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35622D0E"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3. </w:t>
      </w:r>
      <w:r w:rsidRPr="00D875B1">
        <w:rPr>
          <w:rFonts w:ascii="Arial" w:eastAsiaTheme="minorEastAsia" w:hAnsi="Arial" w:cs="Arial"/>
          <w:color w:val="000000"/>
          <w:sz w:val="20"/>
          <w:szCs w:val="20"/>
          <w:u w:val="single"/>
          <w:lang w:eastAsia="es-ES" w:bidi="ar-SA"/>
        </w:rPr>
        <w:t>Transporte marítimo:  </w:t>
      </w:r>
    </w:p>
    <w:p w14:paraId="1267402A"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En el pasado, los barcos impulsados por turbinas de vapor eran más eficientes para viajes largos y cargas pesadas en comparación con los motores de combustión interna. Aunque hoy en día se usan motores diésel, el vapor sigue siendo relevante en aplicaciones específicas, como los reactores nucleares en portaaviones.  </w:t>
      </w:r>
    </w:p>
    <w:p w14:paraId="1E154913"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31A1321F"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lastRenderedPageBreak/>
        <w:t xml:space="preserve">4. </w:t>
      </w:r>
      <w:r w:rsidRPr="00D875B1">
        <w:rPr>
          <w:rFonts w:ascii="Arial" w:eastAsiaTheme="minorEastAsia" w:hAnsi="Arial" w:cs="Arial"/>
          <w:color w:val="000000"/>
          <w:sz w:val="20"/>
          <w:szCs w:val="20"/>
          <w:u w:val="single"/>
          <w:lang w:eastAsia="es-ES" w:bidi="ar-SA"/>
        </w:rPr>
        <w:t xml:space="preserve">Ciclos </w:t>
      </w:r>
      <w:proofErr w:type="spellStart"/>
      <w:r w:rsidRPr="00D875B1">
        <w:rPr>
          <w:rFonts w:ascii="Arial" w:eastAsiaTheme="minorEastAsia" w:hAnsi="Arial" w:cs="Arial"/>
          <w:color w:val="000000"/>
          <w:sz w:val="20"/>
          <w:szCs w:val="20"/>
          <w:u w:val="single"/>
          <w:lang w:eastAsia="es-ES" w:bidi="ar-SA"/>
        </w:rPr>
        <w:t>termodinámicos</w:t>
      </w:r>
      <w:proofErr w:type="spellEnd"/>
      <w:r w:rsidRPr="00D875B1">
        <w:rPr>
          <w:rFonts w:ascii="Arial" w:eastAsiaTheme="minorEastAsia" w:hAnsi="Arial" w:cs="Arial"/>
          <w:color w:val="000000"/>
          <w:sz w:val="20"/>
          <w:szCs w:val="20"/>
          <w:u w:val="single"/>
          <w:lang w:eastAsia="es-ES" w:bidi="ar-SA"/>
        </w:rPr>
        <w:t xml:space="preserve"> avanzados:  </w:t>
      </w:r>
    </w:p>
    <w:p w14:paraId="100CAF66"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Los ciclos de vapor, como el ciclo </w:t>
      </w:r>
      <w:proofErr w:type="spellStart"/>
      <w:r w:rsidRPr="00D875B1">
        <w:rPr>
          <w:rFonts w:ascii="Arial" w:eastAsiaTheme="minorEastAsia" w:hAnsi="Arial" w:cs="Arial"/>
          <w:color w:val="000000"/>
          <w:sz w:val="20"/>
          <w:szCs w:val="20"/>
          <w:lang w:eastAsia="es-ES" w:bidi="ar-SA"/>
        </w:rPr>
        <w:t>Rankine</w:t>
      </w:r>
      <w:proofErr w:type="spellEnd"/>
      <w:r w:rsidRPr="00D875B1">
        <w:rPr>
          <w:rFonts w:ascii="Arial" w:eastAsiaTheme="minorEastAsia" w:hAnsi="Arial" w:cs="Arial"/>
          <w:color w:val="000000"/>
          <w:sz w:val="20"/>
          <w:szCs w:val="20"/>
          <w:lang w:eastAsia="es-ES" w:bidi="ar-SA"/>
        </w:rPr>
        <w:t xml:space="preserve">, pueden ser más eficientes que los motores de combustión interna cuando se combinan con tecnologías como la </w:t>
      </w:r>
      <w:proofErr w:type="spellStart"/>
      <w:r w:rsidRPr="00D875B1">
        <w:rPr>
          <w:rFonts w:ascii="Arial" w:eastAsiaTheme="minorEastAsia" w:hAnsi="Arial" w:cs="Arial"/>
          <w:color w:val="000000"/>
          <w:sz w:val="20"/>
          <w:szCs w:val="20"/>
          <w:lang w:eastAsia="es-ES" w:bidi="ar-SA"/>
        </w:rPr>
        <w:t>cogeneración</w:t>
      </w:r>
      <w:proofErr w:type="spellEnd"/>
      <w:r w:rsidRPr="00D875B1">
        <w:rPr>
          <w:rFonts w:ascii="Arial" w:eastAsiaTheme="minorEastAsia" w:hAnsi="Arial" w:cs="Arial"/>
          <w:color w:val="000000"/>
          <w:sz w:val="20"/>
          <w:szCs w:val="20"/>
          <w:lang w:eastAsia="es-ES" w:bidi="ar-SA"/>
        </w:rPr>
        <w:t xml:space="preserve"> o la recuperación de calor.  </w:t>
      </w:r>
    </w:p>
    <w:p w14:paraId="51B19141"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w:t>
      </w:r>
    </w:p>
    <w:p w14:paraId="241E431B"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xml:space="preserve"> 5. </w:t>
      </w:r>
      <w:r w:rsidRPr="00D875B1">
        <w:rPr>
          <w:rFonts w:ascii="Arial" w:eastAsiaTheme="minorEastAsia" w:hAnsi="Arial" w:cs="Arial"/>
          <w:color w:val="000000"/>
          <w:sz w:val="20"/>
          <w:szCs w:val="20"/>
          <w:u w:val="single"/>
          <w:lang w:eastAsia="es-ES" w:bidi="ar-SA"/>
        </w:rPr>
        <w:t>Uso en energías renovables</w:t>
      </w:r>
      <w:r w:rsidRPr="00D875B1">
        <w:rPr>
          <w:rFonts w:ascii="Arial" w:eastAsiaTheme="minorEastAsia" w:hAnsi="Arial" w:cs="Arial"/>
          <w:color w:val="000000"/>
          <w:sz w:val="20"/>
          <w:szCs w:val="20"/>
          <w:lang w:eastAsia="es-ES" w:bidi="ar-SA"/>
        </w:rPr>
        <w:t>:  </w:t>
      </w:r>
    </w:p>
    <w:p w14:paraId="38012A24"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En plantas de energía solar térmica o geotérmica, el vapor es más eficiente porque aprovecha directamente el calor para generar electricidad, mientras que los motores de combustión interna requieren combustibles fósiles.  </w:t>
      </w:r>
    </w:p>
    <w:p w14:paraId="1FBA7DEC" w14:textId="77777777" w:rsidR="00D875B1" w:rsidRPr="00D875B1" w:rsidRDefault="00D875B1" w:rsidP="00465844">
      <w:pPr>
        <w:suppressAutoHyphens w:val="0"/>
        <w:autoSpaceDN/>
        <w:spacing w:before="240"/>
        <w:textAlignment w:val="auto"/>
        <w:divId w:val="1639263421"/>
        <w:rPr>
          <w:rFonts w:ascii="Times New Roman" w:eastAsiaTheme="minorEastAsia" w:hAnsi="Times New Roman" w:cs="Times New Roman"/>
          <w:lang w:eastAsia="es-ES" w:bidi="ar-SA"/>
        </w:rPr>
      </w:pPr>
      <w:r w:rsidRPr="00D875B1">
        <w:rPr>
          <w:rFonts w:ascii="Arial" w:eastAsiaTheme="minorEastAsia" w:hAnsi="Arial" w:cs="Arial"/>
          <w:color w:val="000000"/>
          <w:sz w:val="20"/>
          <w:szCs w:val="20"/>
          <w:lang w:eastAsia="es-ES" w:bidi="ar-SA"/>
        </w:rPr>
        <w:t> </w:t>
      </w:r>
    </w:p>
    <w:p w14:paraId="507D8E37" w14:textId="77777777" w:rsidR="00D875B1" w:rsidRPr="00D875B1" w:rsidRDefault="00D875B1" w:rsidP="00465844">
      <w:pPr>
        <w:suppressAutoHyphens w:val="0"/>
        <w:autoSpaceDN/>
        <w:spacing w:before="240" w:after="80"/>
        <w:textAlignment w:val="auto"/>
        <w:outlineLvl w:val="3"/>
        <w:divId w:val="1639263421"/>
        <w:rPr>
          <w:rFonts w:ascii="Times New Roman" w:eastAsia="Times New Roman" w:hAnsi="Times New Roman" w:cs="Times New Roman"/>
          <w:b/>
          <w:bCs/>
          <w:lang w:eastAsia="es-ES" w:bidi="ar-SA"/>
        </w:rPr>
      </w:pPr>
      <w:r w:rsidRPr="00D875B1">
        <w:rPr>
          <w:rFonts w:ascii="Arial" w:eastAsia="Times New Roman" w:hAnsi="Arial" w:cs="Arial"/>
          <w:b/>
          <w:bCs/>
          <w:color w:val="000000"/>
          <w:lang w:eastAsia="es-ES" w:bidi="ar-SA"/>
        </w:rPr>
        <w:t>Fuentes</w:t>
      </w:r>
    </w:p>
    <w:p w14:paraId="7BC5B8C1"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NREL (National </w:t>
      </w:r>
      <w:proofErr w:type="spellStart"/>
      <w:r w:rsidRPr="00D875B1">
        <w:rPr>
          <w:rFonts w:ascii="Arial" w:eastAsiaTheme="minorEastAsia" w:hAnsi="Arial" w:cs="Arial"/>
          <w:color w:val="000000"/>
          <w:sz w:val="20"/>
          <w:szCs w:val="20"/>
          <w:lang w:eastAsia="es-ES" w:bidi="ar-SA"/>
        </w:rPr>
        <w:t>Renewable</w:t>
      </w:r>
      <w:proofErr w:type="spellEnd"/>
      <w:r w:rsidRPr="00D875B1">
        <w:rPr>
          <w:rFonts w:ascii="Arial" w:eastAsiaTheme="minorEastAsia" w:hAnsi="Arial" w:cs="Arial"/>
          <w:color w:val="000000"/>
          <w:sz w:val="20"/>
          <w:szCs w:val="20"/>
          <w:lang w:eastAsia="es-ES" w:bidi="ar-SA"/>
        </w:rPr>
        <w:t xml:space="preserve"> Energy Laboratory). (s.f.). Recuperado el 16 de mayo de 2024, de </w:t>
      </w:r>
      <w:hyperlink r:id="rId8" w:history="1">
        <w:r w:rsidRPr="00D875B1">
          <w:rPr>
            <w:rFonts w:ascii="Arial" w:eastAsiaTheme="minorEastAsia" w:hAnsi="Arial" w:cs="Arial"/>
            <w:color w:val="1155CC"/>
            <w:sz w:val="20"/>
            <w:szCs w:val="20"/>
            <w:u w:val="single"/>
            <w:lang w:eastAsia="es-ES" w:bidi="ar-SA"/>
          </w:rPr>
          <w:t>https://www.nrel.gov/</w:t>
        </w:r>
      </w:hyperlink>
    </w:p>
    <w:p w14:paraId="6B4DD014"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U.S. </w:t>
      </w:r>
      <w:proofErr w:type="spellStart"/>
      <w:r w:rsidRPr="00D875B1">
        <w:rPr>
          <w:rFonts w:ascii="Arial" w:eastAsiaTheme="minorEastAsia" w:hAnsi="Arial" w:cs="Arial"/>
          <w:color w:val="000000"/>
          <w:sz w:val="20"/>
          <w:szCs w:val="20"/>
          <w:lang w:eastAsia="es-ES" w:bidi="ar-SA"/>
        </w:rPr>
        <w:t>Department</w:t>
      </w:r>
      <w:proofErr w:type="spellEnd"/>
      <w:r w:rsidRPr="00D875B1">
        <w:rPr>
          <w:rFonts w:ascii="Arial" w:eastAsiaTheme="minorEastAsia" w:hAnsi="Arial" w:cs="Arial"/>
          <w:color w:val="000000"/>
          <w:sz w:val="20"/>
          <w:szCs w:val="20"/>
          <w:lang w:eastAsia="es-ES" w:bidi="ar-SA"/>
        </w:rPr>
        <w:t xml:space="preserve"> of Energy. (s.f.). Recuperado el 16 de mayo de 2024, de </w:t>
      </w:r>
      <w:hyperlink r:id="rId9" w:history="1">
        <w:r w:rsidRPr="00D875B1">
          <w:rPr>
            <w:rFonts w:ascii="Arial" w:eastAsiaTheme="minorEastAsia" w:hAnsi="Arial" w:cs="Arial"/>
            <w:color w:val="1155CC"/>
            <w:sz w:val="20"/>
            <w:szCs w:val="20"/>
            <w:u w:val="single"/>
            <w:lang w:eastAsia="es-ES" w:bidi="ar-SA"/>
          </w:rPr>
          <w:t>https://www.energy.gov/</w:t>
        </w:r>
      </w:hyperlink>
    </w:p>
    <w:p w14:paraId="233474CC"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IPCC (</w:t>
      </w:r>
      <w:proofErr w:type="spellStart"/>
      <w:r w:rsidRPr="00D875B1">
        <w:rPr>
          <w:rFonts w:ascii="Arial" w:eastAsiaTheme="minorEastAsia" w:hAnsi="Arial" w:cs="Arial"/>
          <w:color w:val="000000"/>
          <w:sz w:val="20"/>
          <w:szCs w:val="20"/>
          <w:lang w:eastAsia="es-ES" w:bidi="ar-SA"/>
        </w:rPr>
        <w:t>Intergovernmental</w:t>
      </w:r>
      <w:proofErr w:type="spellEnd"/>
      <w:r w:rsidRPr="00D875B1">
        <w:rPr>
          <w:rFonts w:ascii="Arial" w:eastAsiaTheme="minorEastAsia" w:hAnsi="Arial" w:cs="Arial"/>
          <w:color w:val="000000"/>
          <w:sz w:val="20"/>
          <w:szCs w:val="20"/>
          <w:lang w:eastAsia="es-ES" w:bidi="ar-SA"/>
        </w:rPr>
        <w:t xml:space="preserve"> Panel on </w:t>
      </w:r>
      <w:proofErr w:type="spellStart"/>
      <w:r w:rsidRPr="00D875B1">
        <w:rPr>
          <w:rFonts w:ascii="Arial" w:eastAsiaTheme="minorEastAsia" w:hAnsi="Arial" w:cs="Arial"/>
          <w:color w:val="000000"/>
          <w:sz w:val="20"/>
          <w:szCs w:val="20"/>
          <w:lang w:eastAsia="es-ES" w:bidi="ar-SA"/>
        </w:rPr>
        <w:t>Climate</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Change</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10" w:history="1">
        <w:r w:rsidRPr="00D875B1">
          <w:rPr>
            <w:rFonts w:ascii="Arial" w:eastAsiaTheme="minorEastAsia" w:hAnsi="Arial" w:cs="Arial"/>
            <w:color w:val="1155CC"/>
            <w:sz w:val="20"/>
            <w:szCs w:val="20"/>
            <w:u w:val="single"/>
            <w:lang w:eastAsia="es-ES" w:bidi="ar-SA"/>
          </w:rPr>
          <w:t>https://www.ipcc.ch/</w:t>
        </w:r>
      </w:hyperlink>
    </w:p>
    <w:p w14:paraId="2E716E62"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Stanford University. (s.f.). Recuperado el 16 de mayo de 2024, de </w:t>
      </w:r>
      <w:hyperlink r:id="rId11" w:history="1">
        <w:r w:rsidRPr="00D875B1">
          <w:rPr>
            <w:rFonts w:ascii="Arial" w:eastAsiaTheme="minorEastAsia" w:hAnsi="Arial" w:cs="Arial"/>
            <w:color w:val="1155CC"/>
            <w:sz w:val="20"/>
            <w:szCs w:val="20"/>
            <w:u w:val="single"/>
            <w:lang w:eastAsia="es-ES" w:bidi="ar-SA"/>
          </w:rPr>
          <w:t>https://energy.stanford.edu/</w:t>
        </w:r>
      </w:hyperlink>
    </w:p>
    <w:p w14:paraId="50A468E3"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EIA (U.S. Energy </w:t>
      </w:r>
      <w:proofErr w:type="spellStart"/>
      <w:r w:rsidRPr="00D875B1">
        <w:rPr>
          <w:rFonts w:ascii="Arial" w:eastAsiaTheme="minorEastAsia" w:hAnsi="Arial" w:cs="Arial"/>
          <w:color w:val="000000"/>
          <w:sz w:val="20"/>
          <w:szCs w:val="20"/>
          <w:lang w:eastAsia="es-ES" w:bidi="ar-SA"/>
        </w:rPr>
        <w:t>Information</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Administration</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12" w:history="1">
        <w:r w:rsidRPr="00D875B1">
          <w:rPr>
            <w:rFonts w:ascii="Arial" w:eastAsiaTheme="minorEastAsia" w:hAnsi="Arial" w:cs="Arial"/>
            <w:color w:val="1155CC"/>
            <w:sz w:val="20"/>
            <w:szCs w:val="20"/>
            <w:u w:val="single"/>
            <w:lang w:eastAsia="es-ES" w:bidi="ar-SA"/>
          </w:rPr>
          <w:t>https://www.eia.gov/</w:t>
        </w:r>
      </w:hyperlink>
    </w:p>
    <w:p w14:paraId="4E58AAA6"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World Energy Council. (s.f.). Recuperado el 16 de mayo de 2024, de </w:t>
      </w:r>
      <w:hyperlink r:id="rId13" w:history="1">
        <w:r w:rsidRPr="00D875B1">
          <w:rPr>
            <w:rFonts w:ascii="Arial" w:eastAsiaTheme="minorEastAsia" w:hAnsi="Arial" w:cs="Arial"/>
            <w:color w:val="1155CC"/>
            <w:sz w:val="20"/>
            <w:szCs w:val="20"/>
            <w:u w:val="single"/>
            <w:lang w:eastAsia="es-ES" w:bidi="ar-SA"/>
          </w:rPr>
          <w:t>https://www.worldenergy.org/</w:t>
        </w:r>
      </w:hyperlink>
    </w:p>
    <w:p w14:paraId="3A978882"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IEA (International Energy Agency). (s.f.). Recuperado el 16 de mayo de 2024, de </w:t>
      </w:r>
      <w:hyperlink r:id="rId14" w:history="1">
        <w:r w:rsidRPr="00D875B1">
          <w:rPr>
            <w:rFonts w:ascii="Arial" w:eastAsiaTheme="minorEastAsia" w:hAnsi="Arial" w:cs="Arial"/>
            <w:color w:val="1155CC"/>
            <w:sz w:val="20"/>
            <w:szCs w:val="20"/>
            <w:u w:val="single"/>
            <w:lang w:eastAsia="es-ES" w:bidi="ar-SA"/>
          </w:rPr>
          <w:t>https://www.iea.org/</w:t>
        </w:r>
      </w:hyperlink>
    </w:p>
    <w:p w14:paraId="625CB3C6"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MIT (Massachusetts Institute of Technology). (s.f.). Recuperado el 16 de mayo de 2024, de </w:t>
      </w:r>
      <w:hyperlink r:id="rId15" w:history="1">
        <w:r w:rsidRPr="00D875B1">
          <w:rPr>
            <w:rFonts w:ascii="Arial" w:eastAsiaTheme="minorEastAsia" w:hAnsi="Arial" w:cs="Arial"/>
            <w:color w:val="1155CC"/>
            <w:sz w:val="20"/>
            <w:szCs w:val="20"/>
            <w:u w:val="single"/>
            <w:lang w:eastAsia="es-ES" w:bidi="ar-SA"/>
          </w:rPr>
          <w:t>https://www.mit.edu/</w:t>
        </w:r>
      </w:hyperlink>
    </w:p>
    <w:p w14:paraId="196996E3"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Stanford University. (s.f.). Recuperado el 16 de mayo de 2024, de </w:t>
      </w:r>
      <w:hyperlink r:id="rId16" w:history="1">
        <w:r w:rsidRPr="00D875B1">
          <w:rPr>
            <w:rFonts w:ascii="Arial" w:eastAsiaTheme="minorEastAsia" w:hAnsi="Arial" w:cs="Arial"/>
            <w:color w:val="1155CC"/>
            <w:sz w:val="20"/>
            <w:szCs w:val="20"/>
            <w:u w:val="single"/>
            <w:lang w:eastAsia="es-ES" w:bidi="ar-SA"/>
          </w:rPr>
          <w:t>https://www.stanford.edu/</w:t>
        </w:r>
      </w:hyperlink>
    </w:p>
    <w:p w14:paraId="02CE41C9"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proofErr w:type="spellStart"/>
      <w:r w:rsidRPr="00D875B1">
        <w:rPr>
          <w:rFonts w:ascii="Arial" w:eastAsiaTheme="minorEastAsia" w:hAnsi="Arial" w:cs="Arial"/>
          <w:color w:val="000000"/>
          <w:sz w:val="20"/>
          <w:szCs w:val="20"/>
          <w:lang w:eastAsia="es-ES" w:bidi="ar-SA"/>
        </w:rPr>
        <w:t>Nature</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Conservancy</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17" w:history="1">
        <w:r w:rsidRPr="00D875B1">
          <w:rPr>
            <w:rFonts w:ascii="Arial" w:eastAsiaTheme="minorEastAsia" w:hAnsi="Arial" w:cs="Arial"/>
            <w:color w:val="1155CC"/>
            <w:sz w:val="20"/>
            <w:szCs w:val="20"/>
            <w:u w:val="single"/>
            <w:lang w:eastAsia="es-ES" w:bidi="ar-SA"/>
          </w:rPr>
          <w:t>https://www.nature.org/</w:t>
        </w:r>
      </w:hyperlink>
    </w:p>
    <w:p w14:paraId="3DBE5BCA"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proofErr w:type="spellStart"/>
      <w:r w:rsidRPr="00D875B1">
        <w:rPr>
          <w:rFonts w:ascii="Arial" w:eastAsiaTheme="minorEastAsia" w:hAnsi="Arial" w:cs="Arial"/>
          <w:color w:val="000000"/>
          <w:sz w:val="20"/>
          <w:szCs w:val="20"/>
          <w:lang w:eastAsia="es-ES" w:bidi="ar-SA"/>
        </w:rPr>
        <w:t>ScienceDirect</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18" w:history="1">
        <w:r w:rsidRPr="00D875B1">
          <w:rPr>
            <w:rFonts w:ascii="Arial" w:eastAsiaTheme="minorEastAsia" w:hAnsi="Arial" w:cs="Arial"/>
            <w:color w:val="1155CC"/>
            <w:sz w:val="20"/>
            <w:szCs w:val="20"/>
            <w:u w:val="single"/>
            <w:lang w:eastAsia="es-ES" w:bidi="ar-SA"/>
          </w:rPr>
          <w:t>https://www.sciencedirect.com/</w:t>
        </w:r>
      </w:hyperlink>
    </w:p>
    <w:p w14:paraId="4AD42ED3"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Harvard University. (s.f.). Recuperado el 16 de mayo de 2024, de </w:t>
      </w:r>
      <w:hyperlink r:id="rId19" w:history="1">
        <w:r w:rsidRPr="00D875B1">
          <w:rPr>
            <w:rFonts w:ascii="Arial" w:eastAsiaTheme="minorEastAsia" w:hAnsi="Arial" w:cs="Arial"/>
            <w:color w:val="1155CC"/>
            <w:sz w:val="20"/>
            <w:szCs w:val="20"/>
            <w:u w:val="single"/>
            <w:lang w:eastAsia="es-ES" w:bidi="ar-SA"/>
          </w:rPr>
          <w:t>https://www.harvard.edu/</w:t>
        </w:r>
      </w:hyperlink>
    </w:p>
    <w:p w14:paraId="49152859"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IEEE (Institute of </w:t>
      </w:r>
      <w:proofErr w:type="spellStart"/>
      <w:r w:rsidRPr="00D875B1">
        <w:rPr>
          <w:rFonts w:ascii="Arial" w:eastAsiaTheme="minorEastAsia" w:hAnsi="Arial" w:cs="Arial"/>
          <w:color w:val="000000"/>
          <w:sz w:val="20"/>
          <w:szCs w:val="20"/>
          <w:lang w:eastAsia="es-ES" w:bidi="ar-SA"/>
        </w:rPr>
        <w:t>Electrical</w:t>
      </w:r>
      <w:proofErr w:type="spellEnd"/>
      <w:r w:rsidRPr="00D875B1">
        <w:rPr>
          <w:rFonts w:ascii="Arial" w:eastAsiaTheme="minorEastAsia" w:hAnsi="Arial" w:cs="Arial"/>
          <w:color w:val="000000"/>
          <w:sz w:val="20"/>
          <w:szCs w:val="20"/>
          <w:lang w:eastAsia="es-ES" w:bidi="ar-SA"/>
        </w:rPr>
        <w:t xml:space="preserve"> and </w:t>
      </w:r>
      <w:proofErr w:type="spellStart"/>
      <w:r w:rsidRPr="00D875B1">
        <w:rPr>
          <w:rFonts w:ascii="Arial" w:eastAsiaTheme="minorEastAsia" w:hAnsi="Arial" w:cs="Arial"/>
          <w:color w:val="000000"/>
          <w:sz w:val="20"/>
          <w:szCs w:val="20"/>
          <w:lang w:eastAsia="es-ES" w:bidi="ar-SA"/>
        </w:rPr>
        <w:t>Electronics</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Engineers</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20" w:history="1">
        <w:r w:rsidRPr="00D875B1">
          <w:rPr>
            <w:rFonts w:ascii="Arial" w:eastAsiaTheme="minorEastAsia" w:hAnsi="Arial" w:cs="Arial"/>
            <w:color w:val="1155CC"/>
            <w:sz w:val="20"/>
            <w:szCs w:val="20"/>
            <w:u w:val="single"/>
            <w:lang w:eastAsia="es-ES" w:bidi="ar-SA"/>
          </w:rPr>
          <w:t>https://www.ieee.org/</w:t>
        </w:r>
      </w:hyperlink>
    </w:p>
    <w:p w14:paraId="4BB9B40D"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Brookings </w:t>
      </w:r>
      <w:proofErr w:type="spellStart"/>
      <w:r w:rsidRPr="00D875B1">
        <w:rPr>
          <w:rFonts w:ascii="Arial" w:eastAsiaTheme="minorEastAsia" w:hAnsi="Arial" w:cs="Arial"/>
          <w:color w:val="000000"/>
          <w:sz w:val="20"/>
          <w:szCs w:val="20"/>
          <w:lang w:eastAsia="es-ES" w:bidi="ar-SA"/>
        </w:rPr>
        <w:t>Institution</w:t>
      </w:r>
      <w:proofErr w:type="spellEnd"/>
      <w:r w:rsidRPr="00D875B1">
        <w:rPr>
          <w:rFonts w:ascii="Arial" w:eastAsiaTheme="minorEastAsia" w:hAnsi="Arial" w:cs="Arial"/>
          <w:color w:val="000000"/>
          <w:sz w:val="20"/>
          <w:szCs w:val="20"/>
          <w:lang w:eastAsia="es-ES" w:bidi="ar-SA"/>
        </w:rPr>
        <w:t xml:space="preserve">. (s.f.). Recuperado el 16 de mayo de 2024, de </w:t>
      </w:r>
      <w:hyperlink r:id="rId21" w:history="1">
        <w:r w:rsidRPr="00D875B1">
          <w:rPr>
            <w:rFonts w:ascii="Arial" w:eastAsiaTheme="minorEastAsia" w:hAnsi="Arial" w:cs="Arial"/>
            <w:color w:val="1155CC"/>
            <w:sz w:val="20"/>
            <w:szCs w:val="20"/>
            <w:u w:val="single"/>
            <w:lang w:eastAsia="es-ES" w:bidi="ar-SA"/>
          </w:rPr>
          <w:t>https://www.brookings.edu/</w:t>
        </w:r>
      </w:hyperlink>
    </w:p>
    <w:p w14:paraId="2E3D28C5"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World Bank. (s.f.). Recuperado el 16 de mayo de 2024, de </w:t>
      </w:r>
      <w:hyperlink r:id="rId22" w:history="1">
        <w:r w:rsidRPr="00D875B1">
          <w:rPr>
            <w:rFonts w:ascii="Arial" w:eastAsiaTheme="minorEastAsia" w:hAnsi="Arial" w:cs="Arial"/>
            <w:color w:val="1155CC"/>
            <w:sz w:val="20"/>
            <w:szCs w:val="20"/>
            <w:u w:val="single"/>
            <w:lang w:eastAsia="es-ES" w:bidi="ar-SA"/>
          </w:rPr>
          <w:t>https://www.worldbank.org/</w:t>
        </w:r>
      </w:hyperlink>
    </w:p>
    <w:p w14:paraId="7B51E36E"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EPA (U.S. </w:t>
      </w:r>
      <w:proofErr w:type="spellStart"/>
      <w:r w:rsidRPr="00D875B1">
        <w:rPr>
          <w:rFonts w:ascii="Arial" w:eastAsiaTheme="minorEastAsia" w:hAnsi="Arial" w:cs="Arial"/>
          <w:color w:val="000000"/>
          <w:sz w:val="20"/>
          <w:szCs w:val="20"/>
          <w:lang w:eastAsia="es-ES" w:bidi="ar-SA"/>
        </w:rPr>
        <w:t>Environmental</w:t>
      </w:r>
      <w:proofErr w:type="spellEnd"/>
      <w:r w:rsidRPr="00D875B1">
        <w:rPr>
          <w:rFonts w:ascii="Arial" w:eastAsiaTheme="minorEastAsia" w:hAnsi="Arial" w:cs="Arial"/>
          <w:color w:val="000000"/>
          <w:sz w:val="20"/>
          <w:szCs w:val="20"/>
          <w:lang w:eastAsia="es-ES" w:bidi="ar-SA"/>
        </w:rPr>
        <w:t xml:space="preserve"> </w:t>
      </w:r>
      <w:proofErr w:type="spellStart"/>
      <w:r w:rsidRPr="00D875B1">
        <w:rPr>
          <w:rFonts w:ascii="Arial" w:eastAsiaTheme="minorEastAsia" w:hAnsi="Arial" w:cs="Arial"/>
          <w:color w:val="000000"/>
          <w:sz w:val="20"/>
          <w:szCs w:val="20"/>
          <w:lang w:eastAsia="es-ES" w:bidi="ar-SA"/>
        </w:rPr>
        <w:t>Protection</w:t>
      </w:r>
      <w:proofErr w:type="spellEnd"/>
      <w:r w:rsidRPr="00D875B1">
        <w:rPr>
          <w:rFonts w:ascii="Arial" w:eastAsiaTheme="minorEastAsia" w:hAnsi="Arial" w:cs="Arial"/>
          <w:color w:val="000000"/>
          <w:sz w:val="20"/>
          <w:szCs w:val="20"/>
          <w:lang w:eastAsia="es-ES" w:bidi="ar-SA"/>
        </w:rPr>
        <w:t xml:space="preserve"> Agency). (s.f.). Recuperado el 16 de mayo de 2024, de </w:t>
      </w:r>
      <w:hyperlink r:id="rId23" w:history="1">
        <w:r w:rsidRPr="00D875B1">
          <w:rPr>
            <w:rFonts w:ascii="Arial" w:eastAsiaTheme="minorEastAsia" w:hAnsi="Arial" w:cs="Arial"/>
            <w:color w:val="1155CC"/>
            <w:sz w:val="20"/>
            <w:szCs w:val="20"/>
            <w:u w:val="single"/>
            <w:lang w:eastAsia="es-ES" w:bidi="ar-SA"/>
          </w:rPr>
          <w:t>https://www.epa.gov/</w:t>
        </w:r>
      </w:hyperlink>
    </w:p>
    <w:p w14:paraId="0F8EF950"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Greenpeace. (s.f.). Recuperado el 16 de mayo de 2024, de </w:t>
      </w:r>
      <w:hyperlink r:id="rId24" w:history="1">
        <w:r w:rsidRPr="00D875B1">
          <w:rPr>
            <w:rFonts w:ascii="Arial" w:eastAsiaTheme="minorEastAsia" w:hAnsi="Arial" w:cs="Arial"/>
            <w:color w:val="1155CC"/>
            <w:sz w:val="20"/>
            <w:szCs w:val="20"/>
            <w:u w:val="single"/>
            <w:lang w:eastAsia="es-ES" w:bidi="ar-SA"/>
          </w:rPr>
          <w:t>https://www.greenpeace.org/</w:t>
        </w:r>
      </w:hyperlink>
    </w:p>
    <w:p w14:paraId="7AFF1966"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MIT Materials Research Laboratory. (s.f.). Recuperado el 16 de mayo de 2024, de </w:t>
      </w:r>
      <w:hyperlink r:id="rId25" w:history="1">
        <w:r w:rsidRPr="00D875B1">
          <w:rPr>
            <w:rFonts w:ascii="Arial" w:eastAsiaTheme="minorEastAsia" w:hAnsi="Arial" w:cs="Arial"/>
            <w:color w:val="1155CC"/>
            <w:sz w:val="20"/>
            <w:szCs w:val="20"/>
            <w:u w:val="single"/>
            <w:lang w:eastAsia="es-ES" w:bidi="ar-SA"/>
          </w:rPr>
          <w:t>https://mrl.mit.edu/</w:t>
        </w:r>
      </w:hyperlink>
    </w:p>
    <w:p w14:paraId="277E45C2" w14:textId="77777777" w:rsidR="00D875B1" w:rsidRPr="00D875B1" w:rsidRDefault="00D875B1" w:rsidP="00465844">
      <w:pPr>
        <w:numPr>
          <w:ilvl w:val="0"/>
          <w:numId w:val="1"/>
        </w:numPr>
        <w:suppressAutoHyphens w:val="0"/>
        <w:autoSpaceDN/>
        <w:spacing w:before="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USGS (U.S. </w:t>
      </w:r>
      <w:proofErr w:type="spellStart"/>
      <w:r w:rsidRPr="00D875B1">
        <w:rPr>
          <w:rFonts w:ascii="Arial" w:eastAsiaTheme="minorEastAsia" w:hAnsi="Arial" w:cs="Arial"/>
          <w:color w:val="000000"/>
          <w:sz w:val="20"/>
          <w:szCs w:val="20"/>
          <w:lang w:eastAsia="es-ES" w:bidi="ar-SA"/>
        </w:rPr>
        <w:t>Geological</w:t>
      </w:r>
      <w:proofErr w:type="spellEnd"/>
      <w:r w:rsidRPr="00D875B1">
        <w:rPr>
          <w:rFonts w:ascii="Arial" w:eastAsiaTheme="minorEastAsia" w:hAnsi="Arial" w:cs="Arial"/>
          <w:color w:val="000000"/>
          <w:sz w:val="20"/>
          <w:szCs w:val="20"/>
          <w:lang w:eastAsia="es-ES" w:bidi="ar-SA"/>
        </w:rPr>
        <w:t xml:space="preserve"> Survey). (s.f.). Recuperado el 16 de mayo de 2024, de </w:t>
      </w:r>
      <w:hyperlink r:id="rId26" w:history="1">
        <w:r w:rsidRPr="00D875B1">
          <w:rPr>
            <w:rFonts w:ascii="Arial" w:eastAsiaTheme="minorEastAsia" w:hAnsi="Arial" w:cs="Arial"/>
            <w:color w:val="1155CC"/>
            <w:sz w:val="20"/>
            <w:szCs w:val="20"/>
            <w:u w:val="single"/>
            <w:lang w:eastAsia="es-ES" w:bidi="ar-SA"/>
          </w:rPr>
          <w:t>https://www.usgs.gov/</w:t>
        </w:r>
      </w:hyperlink>
    </w:p>
    <w:p w14:paraId="3246E5F0" w14:textId="77777777" w:rsidR="00D875B1" w:rsidRPr="00D875B1" w:rsidRDefault="00D875B1" w:rsidP="00465844">
      <w:pPr>
        <w:numPr>
          <w:ilvl w:val="0"/>
          <w:numId w:val="1"/>
        </w:numPr>
        <w:suppressAutoHyphens w:val="0"/>
        <w:autoSpaceDN/>
        <w:spacing w:before="240" w:after="240"/>
        <w:divId w:val="1639263421"/>
        <w:rPr>
          <w:rFonts w:ascii="Arial" w:eastAsiaTheme="minorEastAsia" w:hAnsi="Arial" w:cs="Arial"/>
          <w:color w:val="000000"/>
          <w:sz w:val="20"/>
          <w:szCs w:val="20"/>
          <w:lang w:eastAsia="es-ES" w:bidi="ar-SA"/>
        </w:rPr>
      </w:pPr>
      <w:r w:rsidRPr="00D875B1">
        <w:rPr>
          <w:rFonts w:ascii="Arial" w:eastAsiaTheme="minorEastAsia" w:hAnsi="Arial" w:cs="Arial"/>
          <w:color w:val="000000"/>
          <w:sz w:val="20"/>
          <w:szCs w:val="20"/>
          <w:lang w:eastAsia="es-ES" w:bidi="ar-SA"/>
        </w:rPr>
        <w:t xml:space="preserve">Geology.com. (s.f.). Recuperado el 16 de mayo de 2024, de </w:t>
      </w:r>
      <w:hyperlink r:id="rId27" w:history="1">
        <w:r w:rsidRPr="00D875B1">
          <w:rPr>
            <w:rFonts w:ascii="Arial" w:eastAsiaTheme="minorEastAsia" w:hAnsi="Arial" w:cs="Arial"/>
            <w:color w:val="1155CC"/>
            <w:sz w:val="20"/>
            <w:szCs w:val="20"/>
            <w:u w:val="single"/>
            <w:lang w:eastAsia="es-ES" w:bidi="ar-SA"/>
          </w:rPr>
          <w:t>https://geology.com/</w:t>
        </w:r>
      </w:hyperlink>
    </w:p>
    <w:p w14:paraId="64F00672" w14:textId="77777777" w:rsidR="00D875B1" w:rsidRPr="00D875B1" w:rsidRDefault="00D875B1" w:rsidP="00465844">
      <w:pPr>
        <w:suppressAutoHyphens w:val="0"/>
        <w:autoSpaceDN/>
        <w:spacing w:before="240"/>
        <w:textAlignment w:val="auto"/>
        <w:divId w:val="1639263421"/>
        <w:rPr>
          <w:rFonts w:ascii="Times New Roman" w:eastAsia="Times New Roman" w:hAnsi="Times New Roman" w:cs="Times New Roman"/>
          <w:lang w:eastAsia="es-ES" w:bidi="ar-SA"/>
        </w:rPr>
      </w:pPr>
    </w:p>
    <w:p w14:paraId="219D55EA" w14:textId="77777777" w:rsidR="00EA134D" w:rsidRDefault="00EA134D" w:rsidP="00465844">
      <w:pPr>
        <w:pStyle w:val="Standard"/>
        <w:spacing w:before="240"/>
      </w:pPr>
    </w:p>
    <w:sectPr w:rsidR="00EA134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F788C" w14:textId="77777777" w:rsidR="00D35F86" w:rsidRDefault="00D35F86">
      <w:r>
        <w:separator/>
      </w:r>
    </w:p>
  </w:endnote>
  <w:endnote w:type="continuationSeparator" w:id="0">
    <w:p w14:paraId="4E62241E" w14:textId="77777777" w:rsidR="00D35F86" w:rsidRDefault="00D3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auto"/>
    <w:pitch w:val="variable"/>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Linux Libertine G">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94CEA" w14:textId="77777777" w:rsidR="00D35F86" w:rsidRDefault="00D35F86">
      <w:r>
        <w:rPr>
          <w:color w:val="000000"/>
        </w:rPr>
        <w:separator/>
      </w:r>
    </w:p>
  </w:footnote>
  <w:footnote w:type="continuationSeparator" w:id="0">
    <w:p w14:paraId="590BB9F4" w14:textId="77777777" w:rsidR="00D35F86" w:rsidRDefault="00D35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D765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45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4D"/>
    <w:rsid w:val="00105268"/>
    <w:rsid w:val="001215C9"/>
    <w:rsid w:val="001D0C80"/>
    <w:rsid w:val="00216E47"/>
    <w:rsid w:val="0024706B"/>
    <w:rsid w:val="00411493"/>
    <w:rsid w:val="00412C41"/>
    <w:rsid w:val="00465844"/>
    <w:rsid w:val="005747B4"/>
    <w:rsid w:val="005C3BF4"/>
    <w:rsid w:val="006904FF"/>
    <w:rsid w:val="00735DA2"/>
    <w:rsid w:val="007758D2"/>
    <w:rsid w:val="007A37E8"/>
    <w:rsid w:val="0080069E"/>
    <w:rsid w:val="00AC08B1"/>
    <w:rsid w:val="00B44A32"/>
    <w:rsid w:val="00B53537"/>
    <w:rsid w:val="00BD56F0"/>
    <w:rsid w:val="00C14BAC"/>
    <w:rsid w:val="00D35F86"/>
    <w:rsid w:val="00D5106E"/>
    <w:rsid w:val="00D85E59"/>
    <w:rsid w:val="00D875B1"/>
    <w:rsid w:val="00E57F12"/>
    <w:rsid w:val="00EA134D"/>
    <w:rsid w:val="00F92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5BD654"/>
  <w15:docId w15:val="{261C527B-F31C-45A6-A423-D1A32578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s-MX"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4">
    <w:name w:val="heading 4"/>
    <w:basedOn w:val="Normal"/>
    <w:next w:val="Normal"/>
    <w:link w:val="Ttulo4Car"/>
    <w:uiPriority w:val="9"/>
    <w:unhideWhenUsed/>
    <w:qFormat/>
    <w:rsid w:val="00D875B1"/>
    <w:pPr>
      <w:keepNext/>
      <w:keepLines/>
      <w:spacing w:before="80" w:after="40"/>
      <w:outlineLvl w:val="3"/>
    </w:pPr>
    <w:rPr>
      <w:rFonts w:asciiTheme="minorHAnsi" w:eastAsiaTheme="majorEastAsia" w:hAnsiTheme="min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Standard"/>
    <w:pPr>
      <w:keepNext/>
      <w:keepLines/>
      <w:spacing w:before="480" w:after="120"/>
      <w:outlineLvl w:val="0"/>
    </w:pPr>
    <w:rPr>
      <w:b/>
      <w:sz w:val="48"/>
      <w:szCs w:val="48"/>
    </w:rPr>
  </w:style>
  <w:style w:type="paragraph" w:customStyle="1" w:styleId="Ttulo21">
    <w:name w:val="Título 21"/>
    <w:basedOn w:val="Normal"/>
    <w:next w:val="Standard"/>
    <w:pPr>
      <w:keepNext/>
      <w:keepLines/>
      <w:spacing w:before="360" w:after="80"/>
      <w:outlineLvl w:val="1"/>
    </w:pPr>
    <w:rPr>
      <w:b/>
      <w:sz w:val="36"/>
      <w:szCs w:val="36"/>
    </w:rPr>
  </w:style>
  <w:style w:type="paragraph" w:customStyle="1" w:styleId="Ttulo31">
    <w:name w:val="Título 31"/>
    <w:basedOn w:val="Normal"/>
    <w:next w:val="Standard"/>
    <w:pPr>
      <w:keepNext/>
      <w:keepLines/>
      <w:spacing w:before="280" w:after="80"/>
      <w:outlineLvl w:val="2"/>
    </w:pPr>
    <w:rPr>
      <w:b/>
      <w:sz w:val="28"/>
      <w:szCs w:val="28"/>
    </w:rPr>
  </w:style>
  <w:style w:type="paragraph" w:customStyle="1" w:styleId="Ttulo41">
    <w:name w:val="Título 41"/>
    <w:basedOn w:val="Normal"/>
    <w:next w:val="Standard"/>
    <w:pPr>
      <w:keepNext/>
      <w:keepLines/>
      <w:spacing w:before="240" w:after="40"/>
      <w:outlineLvl w:val="3"/>
    </w:pPr>
    <w:rPr>
      <w:b/>
    </w:rPr>
  </w:style>
  <w:style w:type="paragraph" w:customStyle="1" w:styleId="Ttulo51">
    <w:name w:val="Título 51"/>
    <w:basedOn w:val="Normal"/>
    <w:next w:val="Standard"/>
    <w:pPr>
      <w:keepNext/>
      <w:keepLines/>
      <w:spacing w:before="220" w:after="40"/>
      <w:outlineLvl w:val="4"/>
    </w:pPr>
    <w:rPr>
      <w:b/>
      <w:sz w:val="22"/>
      <w:szCs w:val="22"/>
    </w:rPr>
  </w:style>
  <w:style w:type="paragraph" w:customStyle="1" w:styleId="Ttulo61">
    <w:name w:val="Título 61"/>
    <w:basedOn w:val="Normal"/>
    <w:next w:val="Standard"/>
    <w:pPr>
      <w:keepNext/>
      <w:keepLines/>
      <w:spacing w:before="200" w:after="40"/>
      <w:outlineLvl w:val="5"/>
    </w:pPr>
    <w:rPr>
      <w:b/>
      <w:sz w:val="20"/>
      <w:szCs w:val="20"/>
    </w:rPr>
  </w:style>
  <w:style w:type="character" w:customStyle="1" w:styleId="Fuentedeprrafopredeter1">
    <w:name w:val="Fuente de párrafo predeter.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tulo1">
    <w:name w:val="Título1"/>
    <w:basedOn w:val="Normal"/>
    <w:next w:val="Standard"/>
    <w:pPr>
      <w:keepNext/>
      <w:keepLines/>
      <w:spacing w:before="480" w:after="120"/>
    </w:pPr>
    <w:rPr>
      <w:b/>
      <w:sz w:val="72"/>
      <w:szCs w:val="72"/>
    </w:rPr>
  </w:style>
  <w:style w:type="paragraph" w:customStyle="1" w:styleId="Subttulo1">
    <w:name w:val="Subtítulo1"/>
    <w:basedOn w:val="Normal"/>
    <w:next w:val="Standard"/>
    <w:pPr>
      <w:keepNext/>
      <w:keepLines/>
      <w:spacing w:before="360" w:after="80"/>
    </w:pPr>
    <w:rPr>
      <w:rFonts w:ascii="Georgia" w:eastAsia="Georgia" w:hAnsi="Georgia" w:cs="Georgia"/>
      <w:i/>
      <w:color w:val="666666"/>
      <w:sz w:val="48"/>
      <w:szCs w:val="48"/>
    </w:rPr>
  </w:style>
  <w:style w:type="character" w:customStyle="1" w:styleId="Ttulo4Car">
    <w:name w:val="Título 4 Car"/>
    <w:basedOn w:val="Fuentedeprrafopredeter"/>
    <w:link w:val="Ttulo4"/>
    <w:uiPriority w:val="9"/>
    <w:semiHidden/>
    <w:rsid w:val="00D875B1"/>
    <w:rPr>
      <w:rFonts w:asciiTheme="minorHAnsi" w:eastAsiaTheme="majorEastAsia" w:hAnsiTheme="minorHAnsi" w:cs="Mangal"/>
      <w:i/>
      <w:iCs/>
      <w:color w:val="2F5496" w:themeColor="accent1" w:themeShade="BF"/>
      <w:szCs w:val="21"/>
    </w:rPr>
  </w:style>
  <w:style w:type="paragraph" w:styleId="NormalWeb">
    <w:name w:val="Normal (Web)"/>
    <w:basedOn w:val="Normal"/>
    <w:uiPriority w:val="99"/>
    <w:semiHidden/>
    <w:unhideWhenUsed/>
    <w:rsid w:val="00D875B1"/>
    <w:pPr>
      <w:suppressAutoHyphens w:val="0"/>
      <w:autoSpaceDN/>
      <w:spacing w:before="100" w:beforeAutospacing="1" w:after="100" w:afterAutospacing="1"/>
      <w:textAlignment w:val="auto"/>
    </w:pPr>
    <w:rPr>
      <w:rFonts w:ascii="Times New Roman" w:eastAsiaTheme="minorEastAsia" w:hAnsi="Times New Roman" w:cs="Times New Roman"/>
      <w:lang w:eastAsia="es-ES" w:bidi="ar-SA"/>
    </w:rPr>
  </w:style>
  <w:style w:type="character" w:styleId="Hipervnculo">
    <w:name w:val="Hyperlink"/>
    <w:basedOn w:val="Fuentedeprrafopredeter"/>
    <w:uiPriority w:val="99"/>
    <w:semiHidden/>
    <w:unhideWhenUsed/>
    <w:rsid w:val="00D8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63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rel.gov/" TargetMode="External"/><Relationship Id="rId13" Type="http://schemas.openxmlformats.org/officeDocument/2006/relationships/hyperlink" Target="https://www.worldenergy.org/" TargetMode="External"/><Relationship Id="rId18" Type="http://schemas.openxmlformats.org/officeDocument/2006/relationships/hyperlink" Target="https://www.sciencedirect.com/" TargetMode="External"/><Relationship Id="rId26" Type="http://schemas.openxmlformats.org/officeDocument/2006/relationships/hyperlink" Target="https://www.usgs.gov/" TargetMode="External"/><Relationship Id="rId3" Type="http://schemas.openxmlformats.org/officeDocument/2006/relationships/settings" Target="settings.xml"/><Relationship Id="rId21" Type="http://schemas.openxmlformats.org/officeDocument/2006/relationships/hyperlink" Target="https://www.brookings.edu/" TargetMode="External"/><Relationship Id="rId7" Type="http://schemas.openxmlformats.org/officeDocument/2006/relationships/image" Target="media/image1.jpeg"/><Relationship Id="rId12" Type="http://schemas.openxmlformats.org/officeDocument/2006/relationships/hyperlink" Target="https://www.eia.gov/" TargetMode="External"/><Relationship Id="rId17" Type="http://schemas.openxmlformats.org/officeDocument/2006/relationships/hyperlink" Target="https://www.nature.org/" TargetMode="External"/><Relationship Id="rId25" Type="http://schemas.openxmlformats.org/officeDocument/2006/relationships/hyperlink" Target="https://mrl.mit.edu/" TargetMode="External"/><Relationship Id="rId2" Type="http://schemas.openxmlformats.org/officeDocument/2006/relationships/styles" Target="styles.xml"/><Relationship Id="rId16" Type="http://schemas.openxmlformats.org/officeDocument/2006/relationships/hyperlink" Target="https://www.stanford.edu/" TargetMode="External"/><Relationship Id="rId20" Type="http://schemas.openxmlformats.org/officeDocument/2006/relationships/hyperlink" Target="https://www.ieee.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y.stanford.edu/" TargetMode="External"/><Relationship Id="rId24" Type="http://schemas.openxmlformats.org/officeDocument/2006/relationships/hyperlink" Target="https://www.google.com/search?q=https://www.greenpeace.org/" TargetMode="External"/><Relationship Id="rId5" Type="http://schemas.openxmlformats.org/officeDocument/2006/relationships/footnotes" Target="footnotes.xml"/><Relationship Id="rId15" Type="http://schemas.openxmlformats.org/officeDocument/2006/relationships/hyperlink" Target="https://www.mit.edu/" TargetMode="External"/><Relationship Id="rId23" Type="http://schemas.openxmlformats.org/officeDocument/2006/relationships/hyperlink" Target="https://www.epa.gov/" TargetMode="External"/><Relationship Id="rId28" Type="http://schemas.openxmlformats.org/officeDocument/2006/relationships/fontTable" Target="fontTable.xml"/><Relationship Id="rId10" Type="http://schemas.openxmlformats.org/officeDocument/2006/relationships/hyperlink" Target="https://www.ipcc.ch/" TargetMode="External"/><Relationship Id="rId19" Type="http://schemas.openxmlformats.org/officeDocument/2006/relationships/hyperlink" Target="https://www.harvard.edu/" TargetMode="External"/><Relationship Id="rId4" Type="http://schemas.openxmlformats.org/officeDocument/2006/relationships/webSettings" Target="webSettings.xml"/><Relationship Id="rId9" Type="http://schemas.openxmlformats.org/officeDocument/2006/relationships/hyperlink" Target="https://www.energy.gov/" TargetMode="External"/><Relationship Id="rId14" Type="http://schemas.openxmlformats.org/officeDocument/2006/relationships/hyperlink" Target="https://www.iea.org/" TargetMode="External"/><Relationship Id="rId22" Type="http://schemas.openxmlformats.org/officeDocument/2006/relationships/hyperlink" Target="https://www.worldbank.org/" TargetMode="External"/><Relationship Id="rId27" Type="http://schemas.openxmlformats.org/officeDocument/2006/relationships/hyperlink" Target="https://ge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2064</Words>
  <Characters>11357</Characters>
  <Application>Microsoft Office Word</Application>
  <DocSecurity>0</DocSecurity>
  <Lines>94</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Barrera</cp:lastModifiedBy>
  <cp:revision>2</cp:revision>
  <dcterms:created xsi:type="dcterms:W3CDTF">2025-02-17T16:13:00Z</dcterms:created>
  <dcterms:modified xsi:type="dcterms:W3CDTF">2025-02-17T16:13:00Z</dcterms:modified>
</cp:coreProperties>
</file>