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C93C3" w14:textId="77777777" w:rsidR="003B0A03" w:rsidRPr="00017FB6" w:rsidRDefault="00017FB6">
      <w:pPr>
        <w:rPr>
          <w:sz w:val="32"/>
          <w:szCs w:val="32"/>
        </w:rPr>
      </w:pPr>
      <w:r w:rsidRPr="00017FB6">
        <w:rPr>
          <w:rFonts w:hint="eastAsia"/>
          <w:sz w:val="32"/>
          <w:szCs w:val="32"/>
        </w:rPr>
        <w:t>啓蒙の弁証法　哲学的断層</w:t>
      </w:r>
    </w:p>
    <w:p w14:paraId="00DD855F" w14:textId="77777777" w:rsidR="00017FB6" w:rsidRPr="00017FB6" w:rsidRDefault="00017FB6">
      <w:pPr>
        <w:rPr>
          <w:sz w:val="20"/>
          <w:szCs w:val="20"/>
        </w:rPr>
      </w:pPr>
      <w:r w:rsidRPr="00017FB6">
        <w:rPr>
          <w:rFonts w:hint="eastAsia"/>
          <w:sz w:val="20"/>
          <w:szCs w:val="20"/>
        </w:rPr>
        <w:t>ホルクハイマー、アドルノ著　徳永恂訳</w:t>
      </w:r>
    </w:p>
    <w:p w14:paraId="4D5245B5" w14:textId="77777777" w:rsidR="00017FB6" w:rsidRDefault="00017FB6">
      <w:pPr>
        <w:rPr>
          <w:sz w:val="16"/>
          <w:szCs w:val="16"/>
        </w:rPr>
      </w:pPr>
      <w:r>
        <w:rPr>
          <w:rFonts w:hint="eastAsia"/>
        </w:rPr>
        <w:t xml:space="preserve">　　　</w:t>
      </w:r>
      <w:r w:rsidR="00C2249E" w:rsidRPr="00C2249E">
        <w:rPr>
          <w:sz w:val="16"/>
          <w:szCs w:val="16"/>
        </w:rPr>
        <w:t xml:space="preserve">2007 1/16 </w:t>
      </w:r>
      <w:r w:rsidR="00C2249E" w:rsidRPr="00C2249E">
        <w:rPr>
          <w:rFonts w:hint="eastAsia"/>
          <w:sz w:val="16"/>
          <w:szCs w:val="16"/>
        </w:rPr>
        <w:t>岩波書店</w:t>
      </w:r>
      <w:r w:rsidR="00C2249E">
        <w:rPr>
          <w:rFonts w:hint="eastAsia"/>
        </w:rPr>
        <w:t xml:space="preserve">　　　　　　　　　　　　　</w:t>
      </w:r>
      <w:r w:rsidRPr="00017FB6">
        <w:rPr>
          <w:rFonts w:hint="eastAsia"/>
          <w:sz w:val="16"/>
          <w:szCs w:val="16"/>
        </w:rPr>
        <w:t>報告　松本倫明</w:t>
      </w:r>
    </w:p>
    <w:p w14:paraId="6849136F" w14:textId="77777777" w:rsidR="00017FB6" w:rsidRPr="00146437" w:rsidRDefault="00146437">
      <w:pPr>
        <w:rPr>
          <w:rFonts w:hint="eastAsia"/>
          <w:sz w:val="16"/>
          <w:szCs w:val="16"/>
        </w:rPr>
      </w:pPr>
      <w:r w:rsidRPr="00146437">
        <w:rPr>
          <w:rFonts w:hint="eastAsia"/>
          <w:sz w:val="16"/>
          <w:szCs w:val="16"/>
        </w:rPr>
        <w:t>著者紹介</w:t>
      </w:r>
    </w:p>
    <w:p w14:paraId="567B7718" w14:textId="77777777" w:rsidR="00146437" w:rsidRPr="00146437" w:rsidRDefault="00146437">
      <w:pPr>
        <w:rPr>
          <w:rFonts w:hint="eastAsia"/>
          <w:sz w:val="16"/>
          <w:szCs w:val="16"/>
        </w:rPr>
      </w:pPr>
      <w:r w:rsidRPr="00146437">
        <w:rPr>
          <w:rFonts w:hint="eastAsia"/>
          <w:sz w:val="16"/>
          <w:szCs w:val="16"/>
        </w:rPr>
        <w:t>マックス・ホルクハイマー</w:t>
      </w:r>
    </w:p>
    <w:p w14:paraId="5994B187" w14:textId="77777777" w:rsidR="00146437" w:rsidRPr="00146437" w:rsidRDefault="00146437" w:rsidP="00146437">
      <w:pPr>
        <w:pStyle w:val="a3"/>
        <w:numPr>
          <w:ilvl w:val="0"/>
          <w:numId w:val="1"/>
        </w:numPr>
        <w:ind w:leftChars="0"/>
        <w:rPr>
          <w:rFonts w:hint="eastAsia"/>
          <w:sz w:val="16"/>
          <w:szCs w:val="16"/>
        </w:rPr>
      </w:pPr>
      <w:r w:rsidRPr="00146437">
        <w:rPr>
          <w:rFonts w:hint="eastAsia"/>
          <w:sz w:val="16"/>
          <w:szCs w:val="16"/>
        </w:rPr>
        <w:t>ドイツの哲学者、社会学者</w:t>
      </w:r>
    </w:p>
    <w:p w14:paraId="386B71C4" w14:textId="77777777" w:rsidR="00146437" w:rsidRPr="00146437" w:rsidRDefault="00146437" w:rsidP="00146437">
      <w:pPr>
        <w:pStyle w:val="a3"/>
        <w:numPr>
          <w:ilvl w:val="0"/>
          <w:numId w:val="1"/>
        </w:numPr>
        <w:ind w:leftChars="0"/>
        <w:rPr>
          <w:rFonts w:hint="eastAsia"/>
          <w:sz w:val="16"/>
          <w:szCs w:val="16"/>
        </w:rPr>
      </w:pPr>
      <w:r w:rsidRPr="00146437">
        <w:rPr>
          <w:rFonts w:hint="eastAsia"/>
          <w:sz w:val="16"/>
          <w:szCs w:val="16"/>
        </w:rPr>
        <w:t>『理性の腐敗』</w:t>
      </w:r>
    </w:p>
    <w:p w14:paraId="0CF8515C" w14:textId="77777777" w:rsidR="00146437" w:rsidRPr="00146437" w:rsidRDefault="00146437" w:rsidP="00146437">
      <w:pPr>
        <w:pStyle w:val="a3"/>
        <w:numPr>
          <w:ilvl w:val="0"/>
          <w:numId w:val="1"/>
        </w:numPr>
        <w:ind w:leftChars="0"/>
        <w:rPr>
          <w:rFonts w:hint="eastAsia"/>
          <w:sz w:val="16"/>
          <w:szCs w:val="16"/>
        </w:rPr>
      </w:pPr>
      <w:r w:rsidRPr="00146437">
        <w:rPr>
          <w:rFonts w:hint="eastAsia"/>
          <w:sz w:val="16"/>
          <w:szCs w:val="16"/>
        </w:rPr>
        <w:t>『権威と家族』</w:t>
      </w:r>
    </w:p>
    <w:p w14:paraId="2D55F224" w14:textId="77777777" w:rsidR="00146437" w:rsidRPr="00146437" w:rsidRDefault="00146437" w:rsidP="00146437">
      <w:pPr>
        <w:pStyle w:val="a3"/>
        <w:numPr>
          <w:ilvl w:val="0"/>
          <w:numId w:val="1"/>
        </w:numPr>
        <w:ind w:leftChars="0"/>
        <w:rPr>
          <w:rFonts w:hint="eastAsia"/>
          <w:sz w:val="16"/>
          <w:szCs w:val="16"/>
        </w:rPr>
      </w:pPr>
      <w:r w:rsidRPr="00146437">
        <w:rPr>
          <w:rFonts w:hint="eastAsia"/>
          <w:sz w:val="16"/>
          <w:szCs w:val="16"/>
        </w:rPr>
        <w:t>『哲学の社会学的機能』</w:t>
      </w:r>
    </w:p>
    <w:p w14:paraId="55372000" w14:textId="77777777" w:rsidR="00146437" w:rsidRPr="00146437" w:rsidRDefault="00146437" w:rsidP="00146437">
      <w:pPr>
        <w:rPr>
          <w:rFonts w:hint="eastAsia"/>
          <w:sz w:val="16"/>
          <w:szCs w:val="16"/>
        </w:rPr>
      </w:pPr>
      <w:r w:rsidRPr="00146437">
        <w:rPr>
          <w:rFonts w:hint="eastAsia"/>
          <w:sz w:val="16"/>
          <w:szCs w:val="16"/>
        </w:rPr>
        <w:t>テオドール・アドルノ</w:t>
      </w:r>
    </w:p>
    <w:p w14:paraId="3ED3806F" w14:textId="77777777" w:rsidR="00146437" w:rsidRPr="00146437" w:rsidRDefault="00146437" w:rsidP="00146437">
      <w:pPr>
        <w:pStyle w:val="a3"/>
        <w:numPr>
          <w:ilvl w:val="0"/>
          <w:numId w:val="1"/>
        </w:numPr>
        <w:ind w:leftChars="0"/>
        <w:rPr>
          <w:rFonts w:hint="eastAsia"/>
          <w:sz w:val="16"/>
          <w:szCs w:val="16"/>
        </w:rPr>
      </w:pPr>
      <w:r w:rsidRPr="00146437">
        <w:rPr>
          <w:rFonts w:hint="eastAsia"/>
          <w:sz w:val="16"/>
          <w:szCs w:val="16"/>
        </w:rPr>
        <w:t>ドイツの社会学者、哲学者、作曲家</w:t>
      </w:r>
    </w:p>
    <w:p w14:paraId="52F2F365" w14:textId="77777777" w:rsidR="00146437" w:rsidRPr="00146437" w:rsidRDefault="00146437" w:rsidP="00146437">
      <w:pPr>
        <w:pStyle w:val="a3"/>
        <w:numPr>
          <w:ilvl w:val="0"/>
          <w:numId w:val="1"/>
        </w:numPr>
        <w:ind w:leftChars="0"/>
        <w:rPr>
          <w:rFonts w:hint="eastAsia"/>
          <w:sz w:val="16"/>
          <w:szCs w:val="16"/>
        </w:rPr>
      </w:pPr>
      <w:r w:rsidRPr="00146437">
        <w:rPr>
          <w:rFonts w:hint="eastAsia"/>
          <w:sz w:val="16"/>
          <w:szCs w:val="16"/>
        </w:rPr>
        <w:t>『プリズム——文化批判と社会』</w:t>
      </w:r>
    </w:p>
    <w:p w14:paraId="4D70580F" w14:textId="77777777" w:rsidR="00146437" w:rsidRPr="00146437" w:rsidRDefault="00146437" w:rsidP="00146437">
      <w:pPr>
        <w:rPr>
          <w:rFonts w:hint="eastAsia"/>
          <w:sz w:val="16"/>
          <w:szCs w:val="16"/>
        </w:rPr>
      </w:pPr>
    </w:p>
    <w:p w14:paraId="69EF26A4" w14:textId="77777777" w:rsidR="00146437" w:rsidRPr="00146437" w:rsidRDefault="00146437" w:rsidP="00146437">
      <w:pPr>
        <w:rPr>
          <w:rFonts w:hint="eastAsia"/>
          <w:sz w:val="16"/>
          <w:szCs w:val="16"/>
        </w:rPr>
      </w:pPr>
    </w:p>
    <w:p w14:paraId="16AA50B3" w14:textId="77777777" w:rsidR="00146437" w:rsidRPr="00146437" w:rsidRDefault="00146437" w:rsidP="00146437">
      <w:pPr>
        <w:rPr>
          <w:rFonts w:hint="eastAsia"/>
          <w:sz w:val="16"/>
          <w:szCs w:val="16"/>
        </w:rPr>
      </w:pPr>
    </w:p>
    <w:p w14:paraId="1EE6A4D1" w14:textId="77777777" w:rsidR="00146437" w:rsidRPr="00146437" w:rsidRDefault="00146437" w:rsidP="00146437">
      <w:pPr>
        <w:rPr>
          <w:rFonts w:hint="eastAsia"/>
          <w:sz w:val="16"/>
          <w:szCs w:val="16"/>
        </w:rPr>
      </w:pPr>
    </w:p>
    <w:p w14:paraId="114DABD6" w14:textId="77777777" w:rsidR="00146437" w:rsidRPr="00146437" w:rsidRDefault="00146437" w:rsidP="00146437">
      <w:pPr>
        <w:rPr>
          <w:rFonts w:hint="eastAsia"/>
          <w:sz w:val="16"/>
          <w:szCs w:val="16"/>
        </w:rPr>
      </w:pPr>
    </w:p>
    <w:p w14:paraId="6BC5F646" w14:textId="77777777" w:rsidR="00146437" w:rsidRPr="00146437" w:rsidRDefault="00146437" w:rsidP="00146437">
      <w:pPr>
        <w:rPr>
          <w:rFonts w:hint="eastAsia"/>
          <w:sz w:val="16"/>
          <w:szCs w:val="16"/>
        </w:rPr>
      </w:pPr>
    </w:p>
    <w:p w14:paraId="2485CADA" w14:textId="77777777" w:rsidR="00146437" w:rsidRPr="00146437" w:rsidRDefault="00146437" w:rsidP="00146437">
      <w:pPr>
        <w:rPr>
          <w:rFonts w:hint="eastAsia"/>
          <w:sz w:val="16"/>
          <w:szCs w:val="16"/>
        </w:rPr>
      </w:pPr>
    </w:p>
    <w:p w14:paraId="3BC3C491" w14:textId="77777777" w:rsidR="00146437" w:rsidRPr="00146437" w:rsidRDefault="00146437" w:rsidP="00146437">
      <w:pPr>
        <w:rPr>
          <w:rFonts w:hint="eastAsia"/>
          <w:sz w:val="16"/>
          <w:szCs w:val="16"/>
        </w:rPr>
      </w:pPr>
    </w:p>
    <w:p w14:paraId="6058D16E" w14:textId="77777777" w:rsidR="00146437" w:rsidRPr="00146437" w:rsidRDefault="00146437" w:rsidP="00146437">
      <w:pPr>
        <w:rPr>
          <w:rFonts w:hint="eastAsia"/>
          <w:sz w:val="16"/>
          <w:szCs w:val="16"/>
        </w:rPr>
      </w:pPr>
    </w:p>
    <w:p w14:paraId="4A67523C" w14:textId="77777777" w:rsidR="00146437" w:rsidRPr="00146437" w:rsidRDefault="00146437" w:rsidP="00146437">
      <w:pPr>
        <w:rPr>
          <w:rFonts w:hint="eastAsia"/>
          <w:sz w:val="16"/>
          <w:szCs w:val="16"/>
        </w:rPr>
      </w:pPr>
    </w:p>
    <w:p w14:paraId="78CAA980" w14:textId="77777777" w:rsidR="00146437" w:rsidRPr="00146437" w:rsidRDefault="00146437" w:rsidP="00146437">
      <w:pPr>
        <w:rPr>
          <w:rFonts w:hint="eastAsia"/>
          <w:sz w:val="16"/>
          <w:szCs w:val="16"/>
        </w:rPr>
      </w:pPr>
    </w:p>
    <w:p w14:paraId="11D58E50" w14:textId="77777777" w:rsidR="00146437" w:rsidRPr="00146437" w:rsidRDefault="00146437" w:rsidP="00146437">
      <w:pPr>
        <w:rPr>
          <w:rFonts w:hint="eastAsia"/>
          <w:sz w:val="16"/>
          <w:szCs w:val="16"/>
        </w:rPr>
      </w:pPr>
    </w:p>
    <w:p w14:paraId="48C13B73" w14:textId="77777777" w:rsidR="00146437" w:rsidRDefault="00C55EA6" w:rsidP="00146437">
      <w:pPr>
        <w:rPr>
          <w:rFonts w:hint="eastAsia"/>
        </w:rPr>
      </w:pPr>
      <w:r>
        <w:rPr>
          <w:rFonts w:hint="eastAsia"/>
        </w:rPr>
        <w:lastRenderedPageBreak/>
        <w:t>~</w:t>
      </w:r>
      <w:r w:rsidR="00146437">
        <w:rPr>
          <w:rFonts w:hint="eastAsia"/>
        </w:rPr>
        <w:t>序文</w:t>
      </w:r>
      <w:r>
        <w:rPr>
          <w:rFonts w:hint="eastAsia"/>
        </w:rPr>
        <w:t>~</w:t>
      </w:r>
    </w:p>
    <w:p w14:paraId="381280F2" w14:textId="77777777" w:rsidR="00146437" w:rsidRPr="00146437" w:rsidRDefault="00146437" w:rsidP="00146437">
      <w:pPr>
        <w:rPr>
          <w:rFonts w:hint="eastAsia"/>
          <w:u w:val="double"/>
        </w:rPr>
      </w:pPr>
      <w:r w:rsidRPr="00146437">
        <w:rPr>
          <w:rFonts w:hint="eastAsia"/>
          <w:u w:val="double"/>
        </w:rPr>
        <w:t>啓蒙とは</w:t>
      </w:r>
    </w:p>
    <w:p w14:paraId="38E99968" w14:textId="77777777" w:rsidR="00146437" w:rsidRPr="00C55EA6" w:rsidRDefault="00146437" w:rsidP="00146437">
      <w:pPr>
        <w:rPr>
          <w:rFonts w:hint="eastAsia"/>
          <w:sz w:val="16"/>
          <w:szCs w:val="16"/>
        </w:rPr>
      </w:pPr>
      <w:r w:rsidRPr="00C55EA6">
        <w:rPr>
          <w:rFonts w:hint="eastAsia"/>
          <w:sz w:val="16"/>
          <w:szCs w:val="16"/>
        </w:rPr>
        <w:t>本書では、特に定義づけされていないが、啓蒙の一般的意味を明確にしておくことは本書の理解の一助となる。</w:t>
      </w:r>
    </w:p>
    <w:p w14:paraId="74AF0E48" w14:textId="77777777" w:rsidR="00146437" w:rsidRPr="00C55EA6" w:rsidRDefault="00146437" w:rsidP="00146437">
      <w:pPr>
        <w:rPr>
          <w:rFonts w:hint="eastAsia"/>
          <w:sz w:val="16"/>
          <w:szCs w:val="16"/>
        </w:rPr>
      </w:pPr>
      <w:r w:rsidRPr="00C55EA6">
        <w:rPr>
          <w:rFonts w:hint="eastAsia"/>
          <w:sz w:val="16"/>
          <w:szCs w:val="16"/>
        </w:rPr>
        <w:t>啓蒙とは「広い視野に立って合理的な判断ができるように導くこと」</w:t>
      </w:r>
      <w:r w:rsidRPr="00C55EA6">
        <w:rPr>
          <w:rStyle w:val="a6"/>
          <w:sz w:val="16"/>
          <w:szCs w:val="16"/>
        </w:rPr>
        <w:footnoteReference w:id="1"/>
      </w:r>
      <w:r w:rsidRPr="00C55EA6">
        <w:rPr>
          <w:rFonts w:hint="eastAsia"/>
          <w:sz w:val="16"/>
          <w:szCs w:val="16"/>
        </w:rPr>
        <w:t>である。</w:t>
      </w:r>
      <w:r w:rsidR="00D54FE2" w:rsidRPr="00C55EA6">
        <w:rPr>
          <w:rFonts w:hint="eastAsia"/>
          <w:sz w:val="16"/>
          <w:szCs w:val="16"/>
        </w:rPr>
        <w:t>この啓蒙は近現代思想に大きく影響を与える。</w:t>
      </w:r>
    </w:p>
    <w:p w14:paraId="7AC3E8BF" w14:textId="77777777" w:rsidR="00C2249E" w:rsidRPr="00C55EA6" w:rsidRDefault="00C2249E" w:rsidP="00146437">
      <w:pPr>
        <w:rPr>
          <w:rFonts w:hint="eastAsia"/>
          <w:sz w:val="16"/>
          <w:szCs w:val="16"/>
          <w:u w:val="double"/>
        </w:rPr>
      </w:pPr>
      <w:r w:rsidRPr="00C55EA6">
        <w:rPr>
          <w:rFonts w:hint="eastAsia"/>
          <w:sz w:val="16"/>
          <w:szCs w:val="16"/>
          <w:u w:val="double"/>
        </w:rPr>
        <w:t>啓蒙の退行</w:t>
      </w:r>
      <w:r w:rsidRPr="00C55EA6">
        <w:rPr>
          <w:rFonts w:hint="eastAsia"/>
          <w:sz w:val="16"/>
          <w:szCs w:val="16"/>
          <w:u w:val="double"/>
        </w:rPr>
        <w:t>(=</w:t>
      </w:r>
      <w:r w:rsidR="00D54FE2" w:rsidRPr="00C55EA6">
        <w:rPr>
          <w:rFonts w:hint="eastAsia"/>
          <w:sz w:val="16"/>
          <w:szCs w:val="16"/>
          <w:u w:val="double"/>
        </w:rPr>
        <w:t>非合理</w:t>
      </w:r>
      <w:r w:rsidRPr="00C55EA6">
        <w:rPr>
          <w:rFonts w:hint="eastAsia"/>
          <w:sz w:val="16"/>
          <w:szCs w:val="16"/>
          <w:u w:val="double"/>
        </w:rPr>
        <w:t>の進歩</w:t>
      </w:r>
      <w:r w:rsidRPr="00C55EA6">
        <w:rPr>
          <w:rFonts w:hint="eastAsia"/>
          <w:sz w:val="16"/>
          <w:szCs w:val="16"/>
          <w:u w:val="double"/>
        </w:rPr>
        <w:t>)</w:t>
      </w:r>
    </w:p>
    <w:tbl>
      <w:tblPr>
        <w:tblStyle w:val="a7"/>
        <w:tblW w:w="0" w:type="auto"/>
        <w:tblLook w:val="04A0" w:firstRow="1" w:lastRow="0" w:firstColumn="1" w:lastColumn="0" w:noHBand="0" w:noVBand="1"/>
      </w:tblPr>
      <w:tblGrid>
        <w:gridCol w:w="7555"/>
      </w:tblGrid>
      <w:tr w:rsidR="00C2249E" w:rsidRPr="00C55EA6" w14:paraId="45B8D4CF" w14:textId="77777777" w:rsidTr="00C2249E">
        <w:tc>
          <w:tcPr>
            <w:tcW w:w="7555" w:type="dxa"/>
          </w:tcPr>
          <w:p w14:paraId="48C4ECAF" w14:textId="77777777" w:rsidR="00C2249E" w:rsidRPr="00C55EA6" w:rsidRDefault="00C2249E" w:rsidP="00146437">
            <w:pPr>
              <w:rPr>
                <w:sz w:val="16"/>
                <w:szCs w:val="16"/>
              </w:rPr>
            </w:pPr>
            <w:r w:rsidRPr="00C55EA6">
              <w:rPr>
                <w:rFonts w:hint="eastAsia"/>
                <w:sz w:val="16"/>
                <w:szCs w:val="16"/>
              </w:rPr>
              <w:t>何故に人類は、真に人間的な状態に踏み入っていく代りに、一種の新しい野蛮状態へ落ち込んでいくのか</w:t>
            </w:r>
            <w:r w:rsidRPr="00C55EA6">
              <w:rPr>
                <w:sz w:val="16"/>
                <w:szCs w:val="16"/>
              </w:rPr>
              <w:t>(P7)</w:t>
            </w:r>
          </w:p>
        </w:tc>
      </w:tr>
    </w:tbl>
    <w:p w14:paraId="5EC8DDDE" w14:textId="77777777" w:rsidR="00C2249E" w:rsidRPr="00C55EA6" w:rsidRDefault="00C2249E" w:rsidP="00146437">
      <w:pPr>
        <w:rPr>
          <w:rFonts w:hint="eastAsia"/>
          <w:sz w:val="16"/>
          <w:szCs w:val="16"/>
        </w:rPr>
      </w:pPr>
      <w:r w:rsidRPr="00C55EA6">
        <w:rPr>
          <w:rFonts w:hint="eastAsia"/>
          <w:sz w:val="16"/>
          <w:szCs w:val="16"/>
        </w:rPr>
        <w:t>思想は、時代精神の習性や方向とは分離するべきである。それは実証主義が学問を不要としたり、市民的文明が崩壊し、学問の意義自体が疑われたりする中、啓蒙が退行しているからである。</w:t>
      </w:r>
      <w:r w:rsidR="00D54FE2" w:rsidRPr="00C55EA6">
        <w:rPr>
          <w:rFonts w:hint="eastAsia"/>
          <w:sz w:val="16"/>
          <w:szCs w:val="16"/>
        </w:rPr>
        <w:t>つまり思想は益々、非合理的になる。</w:t>
      </w:r>
    </w:p>
    <w:p w14:paraId="5AF4713A" w14:textId="77777777" w:rsidR="00D54FE2" w:rsidRPr="00C55EA6" w:rsidRDefault="00D54FE2" w:rsidP="00146437">
      <w:pPr>
        <w:rPr>
          <w:rFonts w:hint="eastAsia"/>
          <w:sz w:val="16"/>
          <w:szCs w:val="16"/>
        </w:rPr>
      </w:pPr>
      <w:r w:rsidRPr="00C55EA6">
        <w:rPr>
          <w:rFonts w:hint="eastAsia"/>
          <w:sz w:val="16"/>
          <w:szCs w:val="16"/>
        </w:rPr>
        <w:t>進歩には破壊的側面がつきものである。然し啓蒙の退化により、思想は矛盾の止揚という本性を失い、真理への関わりさえも失ってしまう。これが専制主義への服従や民族主義等の、理論的秩序の薄弱さを生み出している。</w:t>
      </w:r>
    </w:p>
    <w:p w14:paraId="6EA8A744" w14:textId="77777777" w:rsidR="00D54FE2" w:rsidRPr="00C55EA6" w:rsidRDefault="00D54FE2" w:rsidP="00146437">
      <w:pPr>
        <w:rPr>
          <w:rFonts w:hint="eastAsia"/>
          <w:sz w:val="16"/>
          <w:szCs w:val="16"/>
        </w:rPr>
      </w:pPr>
    </w:p>
    <w:p w14:paraId="5725DCCE" w14:textId="77777777" w:rsidR="00C55EA6" w:rsidRPr="00C55EA6" w:rsidRDefault="00C55EA6" w:rsidP="00146437">
      <w:pPr>
        <w:rPr>
          <w:rFonts w:hint="eastAsia"/>
          <w:sz w:val="16"/>
          <w:szCs w:val="16"/>
        </w:rPr>
      </w:pPr>
    </w:p>
    <w:p w14:paraId="6294A379" w14:textId="77777777" w:rsidR="00C55EA6" w:rsidRPr="00C55EA6" w:rsidRDefault="00C55EA6" w:rsidP="00146437">
      <w:pPr>
        <w:rPr>
          <w:rFonts w:hint="eastAsia"/>
          <w:sz w:val="16"/>
          <w:szCs w:val="16"/>
        </w:rPr>
      </w:pPr>
    </w:p>
    <w:p w14:paraId="7B505496" w14:textId="77777777" w:rsidR="00C55EA6" w:rsidRPr="00C55EA6" w:rsidRDefault="00C55EA6" w:rsidP="00146437">
      <w:pPr>
        <w:rPr>
          <w:rFonts w:hint="eastAsia"/>
          <w:sz w:val="16"/>
          <w:szCs w:val="16"/>
        </w:rPr>
      </w:pPr>
    </w:p>
    <w:p w14:paraId="53C9F374" w14:textId="77777777" w:rsidR="00C55EA6" w:rsidRPr="00C55EA6" w:rsidRDefault="00C55EA6" w:rsidP="00146437">
      <w:pPr>
        <w:rPr>
          <w:rFonts w:hint="eastAsia"/>
          <w:sz w:val="16"/>
          <w:szCs w:val="16"/>
        </w:rPr>
      </w:pPr>
    </w:p>
    <w:p w14:paraId="058D97D0" w14:textId="77777777" w:rsidR="00C55EA6" w:rsidRPr="00C55EA6" w:rsidRDefault="00C55EA6" w:rsidP="00146437">
      <w:pPr>
        <w:rPr>
          <w:rFonts w:hint="eastAsia"/>
          <w:sz w:val="16"/>
          <w:szCs w:val="16"/>
        </w:rPr>
      </w:pPr>
    </w:p>
    <w:p w14:paraId="2405C4E8" w14:textId="77777777" w:rsidR="00C55EA6" w:rsidRPr="00C55EA6" w:rsidRDefault="00C55EA6" w:rsidP="00146437">
      <w:pPr>
        <w:rPr>
          <w:rFonts w:hint="eastAsia"/>
          <w:sz w:val="16"/>
          <w:szCs w:val="16"/>
        </w:rPr>
      </w:pPr>
    </w:p>
    <w:p w14:paraId="0C5FB08E" w14:textId="77777777" w:rsidR="00C55EA6" w:rsidRDefault="00C55EA6" w:rsidP="00146437">
      <w:pPr>
        <w:rPr>
          <w:rFonts w:hint="eastAsia"/>
        </w:rPr>
      </w:pPr>
      <w:bookmarkStart w:id="0" w:name="_GoBack"/>
      <w:bookmarkEnd w:id="0"/>
    </w:p>
    <w:p w14:paraId="4E04FADF" w14:textId="77777777" w:rsidR="00C55EA6" w:rsidRDefault="00C55EA6" w:rsidP="00146437">
      <w:pPr>
        <w:rPr>
          <w:rFonts w:hint="eastAsia"/>
        </w:rPr>
      </w:pPr>
    </w:p>
    <w:p w14:paraId="30191B33" w14:textId="77777777" w:rsidR="00C55EA6" w:rsidRPr="00017FB6" w:rsidRDefault="00C55EA6" w:rsidP="00146437">
      <w:pPr>
        <w:rPr>
          <w:rFonts w:hint="eastAsia"/>
        </w:rPr>
      </w:pPr>
    </w:p>
    <w:sectPr w:rsidR="00C55EA6" w:rsidRPr="00017FB6" w:rsidSect="00017FB6">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55D67" w14:textId="77777777" w:rsidR="00D54FE2" w:rsidRDefault="00D54FE2" w:rsidP="00146437">
      <w:r>
        <w:separator/>
      </w:r>
    </w:p>
  </w:endnote>
  <w:endnote w:type="continuationSeparator" w:id="0">
    <w:p w14:paraId="629980D4" w14:textId="77777777" w:rsidR="00D54FE2" w:rsidRDefault="00D54FE2" w:rsidP="0014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5335E" w14:textId="77777777" w:rsidR="00D54FE2" w:rsidRDefault="00D54FE2" w:rsidP="00146437">
      <w:r>
        <w:separator/>
      </w:r>
    </w:p>
  </w:footnote>
  <w:footnote w:type="continuationSeparator" w:id="0">
    <w:p w14:paraId="2D7D299F" w14:textId="77777777" w:rsidR="00D54FE2" w:rsidRDefault="00D54FE2" w:rsidP="00146437">
      <w:r>
        <w:continuationSeparator/>
      </w:r>
    </w:p>
  </w:footnote>
  <w:footnote w:id="1">
    <w:p w14:paraId="30B0C29C" w14:textId="77777777" w:rsidR="00D54FE2" w:rsidRPr="00C2249E" w:rsidRDefault="00D54FE2">
      <w:pPr>
        <w:pStyle w:val="a4"/>
        <w:rPr>
          <w:rFonts w:hint="eastAsia"/>
          <w:sz w:val="16"/>
          <w:szCs w:val="16"/>
        </w:rPr>
      </w:pPr>
      <w:r w:rsidRPr="00C2249E">
        <w:rPr>
          <w:rStyle w:val="a6"/>
          <w:sz w:val="16"/>
          <w:szCs w:val="16"/>
        </w:rPr>
        <w:footnoteRef/>
      </w:r>
      <w:r w:rsidRPr="00C2249E">
        <w:rPr>
          <w:sz w:val="16"/>
          <w:szCs w:val="16"/>
        </w:rPr>
        <w:t xml:space="preserve"> </w:t>
      </w:r>
      <w:r w:rsidRPr="00C2249E">
        <w:rPr>
          <w:rFonts w:hint="eastAsia"/>
          <w:sz w:val="16"/>
          <w:szCs w:val="16"/>
        </w:rPr>
        <w:t>ベネッセ表現読解国語辞典</w:t>
      </w:r>
      <w:r w:rsidRPr="00C2249E">
        <w:rPr>
          <w:rFonts w:hint="eastAsia"/>
          <w:sz w:val="16"/>
          <w:szCs w:val="16"/>
        </w:rPr>
        <w:t>(2004)</w:t>
      </w:r>
      <w:r w:rsidRPr="00C2249E">
        <w:rPr>
          <w:rFonts w:hint="eastAsia"/>
          <w:sz w:val="16"/>
          <w:szCs w:val="16"/>
        </w:rPr>
        <w:t>沖森卓也・中村幸弘編著</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6523D"/>
    <w:multiLevelType w:val="hybridMultilevel"/>
    <w:tmpl w:val="29DA185C"/>
    <w:lvl w:ilvl="0" w:tplc="AD0C35C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146437"/>
    <w:rsid w:val="003B0A03"/>
    <w:rsid w:val="0065674E"/>
    <w:rsid w:val="00C2249E"/>
    <w:rsid w:val="00C55EA6"/>
    <w:rsid w:val="00D54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89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437"/>
    <w:pPr>
      <w:ind w:leftChars="400" w:left="960"/>
    </w:pPr>
  </w:style>
  <w:style w:type="paragraph" w:styleId="a4">
    <w:name w:val="footnote text"/>
    <w:basedOn w:val="a"/>
    <w:link w:val="a5"/>
    <w:uiPriority w:val="99"/>
    <w:unhideWhenUsed/>
    <w:rsid w:val="00146437"/>
    <w:pPr>
      <w:snapToGrid w:val="0"/>
      <w:jc w:val="left"/>
    </w:pPr>
  </w:style>
  <w:style w:type="character" w:customStyle="1" w:styleId="a5">
    <w:name w:val="脚注文字列 (文字)"/>
    <w:basedOn w:val="a0"/>
    <w:link w:val="a4"/>
    <w:uiPriority w:val="99"/>
    <w:rsid w:val="00146437"/>
  </w:style>
  <w:style w:type="character" w:styleId="a6">
    <w:name w:val="footnote reference"/>
    <w:basedOn w:val="a0"/>
    <w:uiPriority w:val="99"/>
    <w:unhideWhenUsed/>
    <w:rsid w:val="00146437"/>
    <w:rPr>
      <w:vertAlign w:val="superscript"/>
    </w:rPr>
  </w:style>
  <w:style w:type="table" w:styleId="a7">
    <w:name w:val="Table Grid"/>
    <w:basedOn w:val="a1"/>
    <w:uiPriority w:val="59"/>
    <w:rsid w:val="00C2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437"/>
    <w:pPr>
      <w:ind w:leftChars="400" w:left="960"/>
    </w:pPr>
  </w:style>
  <w:style w:type="paragraph" w:styleId="a4">
    <w:name w:val="footnote text"/>
    <w:basedOn w:val="a"/>
    <w:link w:val="a5"/>
    <w:uiPriority w:val="99"/>
    <w:unhideWhenUsed/>
    <w:rsid w:val="00146437"/>
    <w:pPr>
      <w:snapToGrid w:val="0"/>
      <w:jc w:val="left"/>
    </w:pPr>
  </w:style>
  <w:style w:type="character" w:customStyle="1" w:styleId="a5">
    <w:name w:val="脚注文字列 (文字)"/>
    <w:basedOn w:val="a0"/>
    <w:link w:val="a4"/>
    <w:uiPriority w:val="99"/>
    <w:rsid w:val="00146437"/>
  </w:style>
  <w:style w:type="character" w:styleId="a6">
    <w:name w:val="footnote reference"/>
    <w:basedOn w:val="a0"/>
    <w:uiPriority w:val="99"/>
    <w:unhideWhenUsed/>
    <w:rsid w:val="00146437"/>
    <w:rPr>
      <w:vertAlign w:val="superscript"/>
    </w:rPr>
  </w:style>
  <w:style w:type="table" w:styleId="a7">
    <w:name w:val="Table Grid"/>
    <w:basedOn w:val="a1"/>
    <w:uiPriority w:val="59"/>
    <w:rsid w:val="00C2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872AA-6E4C-224E-AF81-C5B5A309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87</Words>
  <Characters>500</Characters>
  <Application>Microsoft Macintosh Word</Application>
  <DocSecurity>0</DocSecurity>
  <Lines>4</Lines>
  <Paragraphs>1</Paragraphs>
  <ScaleCrop>false</ScaleCrop>
  <Company>慶應義塾大学　総合政策学部</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2014-12-28T06:00:00Z</dcterms:created>
  <dcterms:modified xsi:type="dcterms:W3CDTF">2014-12-28T06:58:00Z</dcterms:modified>
</cp:coreProperties>
</file>