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E53" w:rsidRDefault="00585E53" w:rsidP="00585E53">
      <w:pPr>
        <w:rPr>
          <w:sz w:val="22"/>
          <w:szCs w:val="22"/>
        </w:rPr>
      </w:pPr>
      <w:r>
        <w:rPr>
          <w:rFonts w:hint="eastAsia"/>
          <w:sz w:val="22"/>
          <w:szCs w:val="22"/>
        </w:rPr>
        <w:t>~</w:t>
      </w:r>
      <w:r>
        <w:rPr>
          <w:rFonts w:hint="eastAsia"/>
          <w:sz w:val="22"/>
          <w:szCs w:val="22"/>
        </w:rPr>
        <w:t>二　世界宗教の経済倫理　序論</w:t>
      </w:r>
      <w:r>
        <w:rPr>
          <w:rFonts w:hint="eastAsia"/>
          <w:sz w:val="22"/>
          <w:szCs w:val="22"/>
        </w:rPr>
        <w:t>~</w:t>
      </w:r>
    </w:p>
    <w:p w:rsidR="00585E53" w:rsidRDefault="00585E53" w:rsidP="00585E53">
      <w:pPr>
        <w:rPr>
          <w:rFonts w:hint="eastAsia"/>
          <w:sz w:val="16"/>
          <w:szCs w:val="16"/>
        </w:rPr>
      </w:pPr>
      <w:r>
        <w:rPr>
          <w:rFonts w:hint="eastAsia"/>
          <w:sz w:val="16"/>
          <w:szCs w:val="16"/>
        </w:rPr>
        <w:t>まず本書で扱われる用語の解説をする。</w:t>
      </w:r>
    </w:p>
    <w:p w:rsidR="00585E53" w:rsidRPr="0034417E" w:rsidRDefault="00585E53" w:rsidP="00585E53">
      <w:pPr>
        <w:rPr>
          <w:sz w:val="16"/>
          <w:szCs w:val="16"/>
          <w:u w:val="double"/>
        </w:rPr>
      </w:pPr>
      <w:r w:rsidRPr="0034417E">
        <w:rPr>
          <w:rFonts w:hint="eastAsia"/>
          <w:sz w:val="16"/>
          <w:szCs w:val="16"/>
        </w:rPr>
        <w:t>世界宗教とは、儒</w:t>
      </w:r>
      <w:r>
        <w:rPr>
          <w:rFonts w:hint="eastAsia"/>
          <w:sz w:val="16"/>
          <w:szCs w:val="16"/>
        </w:rPr>
        <w:t>教、ヒンドゥー教、仏教、キリスト教、イスラム教、ユダヤ教を指す。</w:t>
      </w:r>
    </w:p>
    <w:p w:rsidR="003B0A03" w:rsidRDefault="00585E53">
      <w:pPr>
        <w:rPr>
          <w:rFonts w:hint="eastAsia"/>
        </w:rPr>
      </w:pPr>
      <w:r>
        <w:rPr>
          <w:rFonts w:hint="eastAsia"/>
        </w:rPr>
        <w:t>宗教的経済倫理とは、ある行為を実践させる、宗教を根底とした機動力を指す。経済倫理とは主に経済地理や経済史により規定されるものであるが、倫理に基づいて実践される生活様式は宗教によって規定されている。よって、本書では宗教倫理に最も影響を与えた社会層の生活態度を決定した要因を分析していく。</w:t>
      </w:r>
    </w:p>
    <w:p w:rsidR="00585E53" w:rsidRPr="00585E53" w:rsidRDefault="00585E53">
      <w:pPr>
        <w:rPr>
          <w:rFonts w:hint="eastAsia"/>
          <w:u w:val="double"/>
        </w:rPr>
      </w:pPr>
      <w:r w:rsidRPr="00585E53">
        <w:rPr>
          <w:rFonts w:hint="eastAsia"/>
          <w:u w:val="double"/>
        </w:rPr>
        <w:t>各宗教の主な社会層</w:t>
      </w:r>
    </w:p>
    <w:p w:rsidR="00585E53" w:rsidRDefault="00585E53">
      <w:pPr>
        <w:rPr>
          <w:rFonts w:hint="eastAsia"/>
        </w:rPr>
      </w:pPr>
      <w:r>
        <w:rPr>
          <w:rFonts w:hint="eastAsia"/>
        </w:rPr>
        <w:t>儒教……宦官</w:t>
      </w:r>
    </w:p>
    <w:p w:rsidR="00585E53" w:rsidRDefault="00585E53">
      <w:pPr>
        <w:rPr>
          <w:rFonts w:hint="eastAsia"/>
        </w:rPr>
      </w:pPr>
      <w:r>
        <w:rPr>
          <w:rFonts w:hint="eastAsia"/>
        </w:rPr>
        <w:t>ヒンドゥー教……ブラフマン</w:t>
      </w:r>
      <w:r>
        <w:rPr>
          <w:rFonts w:hint="eastAsia"/>
        </w:rPr>
        <w:t>(</w:t>
      </w:r>
      <w:r>
        <w:rPr>
          <w:rFonts w:hint="eastAsia"/>
        </w:rPr>
        <w:t>教養者</w:t>
      </w:r>
      <w:r>
        <w:rPr>
          <w:rFonts w:hint="eastAsia"/>
        </w:rPr>
        <w:t>)</w:t>
      </w:r>
      <w:r>
        <w:rPr>
          <w:rFonts w:hint="eastAsia"/>
        </w:rPr>
        <w:t>が秩序を形成</w:t>
      </w:r>
    </w:p>
    <w:p w:rsidR="00585E53" w:rsidRDefault="00585E53">
      <w:pPr>
        <w:rPr>
          <w:rFonts w:hint="eastAsia"/>
        </w:rPr>
      </w:pPr>
      <w:r>
        <w:rPr>
          <w:rFonts w:hint="eastAsia"/>
        </w:rPr>
        <w:t xml:space="preserve">　　　　　　　　　→平民的秘教者の登場</w:t>
      </w:r>
      <w:r>
        <w:rPr>
          <w:rFonts w:hint="eastAsia"/>
        </w:rPr>
        <w:t>(</w:t>
      </w:r>
      <w:r>
        <w:rPr>
          <w:rFonts w:hint="eastAsia"/>
        </w:rPr>
        <w:t>救世主信仰</w:t>
      </w:r>
      <w:r>
        <w:rPr>
          <w:rFonts w:hint="eastAsia"/>
        </w:rPr>
        <w:t>)</w:t>
      </w:r>
    </w:p>
    <w:p w:rsidR="00585E53" w:rsidRDefault="00585E53">
      <w:pPr>
        <w:rPr>
          <w:rFonts w:hint="eastAsia"/>
        </w:rPr>
      </w:pPr>
      <w:r>
        <w:rPr>
          <w:rFonts w:hint="eastAsia"/>
        </w:rPr>
        <w:t>仏教……托鉢僧</w:t>
      </w:r>
    </w:p>
    <w:p w:rsidR="00585E53" w:rsidRDefault="00585E53">
      <w:pPr>
        <w:rPr>
          <w:rFonts w:hint="eastAsia"/>
        </w:rPr>
      </w:pPr>
      <w:r>
        <w:rPr>
          <w:rFonts w:hint="eastAsia"/>
        </w:rPr>
        <w:t>イスラム教……訓練を積んだ信仰の戦士→スーフィー派下層市民指導者</w:t>
      </w:r>
    </w:p>
    <w:p w:rsidR="00585E53" w:rsidRDefault="00585E53">
      <w:pPr>
        <w:rPr>
          <w:rFonts w:hint="eastAsia"/>
        </w:rPr>
      </w:pPr>
      <w:r>
        <w:rPr>
          <w:rFonts w:hint="eastAsia"/>
        </w:rPr>
        <w:t>ユダヤ教……賤民民族</w:t>
      </w:r>
    </w:p>
    <w:p w:rsidR="00585E53" w:rsidRDefault="00585E53">
      <w:pPr>
        <w:rPr>
          <w:rFonts w:hint="eastAsia"/>
        </w:rPr>
      </w:pPr>
      <w:r>
        <w:rPr>
          <w:rFonts w:hint="eastAsia"/>
        </w:rPr>
        <w:t>キリスト教……都市市民</w:t>
      </w:r>
    </w:p>
    <w:p w:rsidR="00585E53" w:rsidRPr="00585E53" w:rsidRDefault="00585E53">
      <w:pPr>
        <w:rPr>
          <w:rFonts w:hint="eastAsia"/>
          <w:u w:val="double"/>
        </w:rPr>
      </w:pPr>
      <w:r w:rsidRPr="00585E53">
        <w:rPr>
          <w:rFonts w:hint="eastAsia"/>
          <w:u w:val="double"/>
        </w:rPr>
        <w:t>宗教倫理に影響を与えるものは</w:t>
      </w:r>
      <w:r w:rsidRPr="00585E53">
        <w:rPr>
          <w:rFonts w:hint="eastAsia"/>
          <w:u w:val="double"/>
        </w:rPr>
        <w:t>?</w:t>
      </w:r>
      <w:r w:rsidRPr="00585E53">
        <w:rPr>
          <w:rFonts w:hint="eastAsia"/>
          <w:u w:val="double"/>
        </w:rPr>
        <w:t>—————下部構造の分析</w:t>
      </w:r>
    </w:p>
    <w:p w:rsidR="00585E53" w:rsidRDefault="00585E53">
      <w:pPr>
        <w:rPr>
          <w:rFonts w:hint="eastAsia"/>
        </w:rPr>
      </w:pPr>
      <w:r>
        <w:rPr>
          <w:rFonts w:hint="eastAsia"/>
        </w:rPr>
        <w:t>宗教倫理は一次的には、告知や約束という形で、宗教的な必要に適合されるものである。一方、社会構造によって宗教が規定されると言う説明もある</w:t>
      </w:r>
      <w:r>
        <w:rPr>
          <w:rFonts w:hint="eastAsia"/>
        </w:rPr>
        <w:t>(</w:t>
      </w:r>
      <w:r>
        <w:rPr>
          <w:rFonts w:hint="eastAsia"/>
        </w:rPr>
        <w:t>ルサンティマン等</w:t>
      </w:r>
      <w:r>
        <w:rPr>
          <w:rFonts w:hint="eastAsia"/>
        </w:rPr>
        <w:t>)</w:t>
      </w:r>
      <w:r>
        <w:rPr>
          <w:rFonts w:hint="eastAsia"/>
        </w:rPr>
        <w:t>。しかしその射程は検討すべきである。下部構造が宗教倫理に与える影響は苦難の評価に見られる。</w:t>
      </w:r>
    </w:p>
    <w:p w:rsidR="00585E53" w:rsidRPr="00585E53" w:rsidRDefault="00585E53" w:rsidP="00585E53">
      <w:pPr>
        <w:pStyle w:val="a3"/>
        <w:numPr>
          <w:ilvl w:val="0"/>
          <w:numId w:val="1"/>
        </w:numPr>
        <w:ind w:leftChars="0"/>
        <w:rPr>
          <w:rFonts w:hint="eastAsia"/>
          <w:u w:val="dotDotDash"/>
        </w:rPr>
      </w:pPr>
      <w:r w:rsidRPr="00585E53">
        <w:rPr>
          <w:rFonts w:hint="eastAsia"/>
          <w:u w:val="dotDotDash"/>
        </w:rPr>
        <w:t>苦難</w:t>
      </w:r>
      <w:r w:rsidRPr="00585E53">
        <w:rPr>
          <w:rFonts w:hint="eastAsia"/>
          <w:u w:val="dotDotDash"/>
        </w:rPr>
        <w:t>=</w:t>
      </w:r>
      <w:r w:rsidRPr="00585E53">
        <w:rPr>
          <w:rFonts w:hint="eastAsia"/>
          <w:u w:val="dotDotDash"/>
        </w:rPr>
        <w:t>神の罰</w:t>
      </w:r>
      <w:r w:rsidRPr="00585E53">
        <w:rPr>
          <w:rFonts w:hint="eastAsia"/>
          <w:u w:val="dotDotDash"/>
        </w:rPr>
        <w:t>(</w:t>
      </w:r>
      <w:r w:rsidRPr="00585E53">
        <w:rPr>
          <w:rFonts w:hint="eastAsia"/>
          <w:u w:val="dotDotDash"/>
        </w:rPr>
        <w:t>幸福の神義論</w:t>
      </w:r>
      <w:r w:rsidRPr="00585E53">
        <w:rPr>
          <w:rFonts w:hint="eastAsia"/>
          <w:u w:val="dotDotDash"/>
        </w:rPr>
        <w:t>)</w:t>
      </w:r>
    </w:p>
    <w:p w:rsidR="00585E53" w:rsidRDefault="00585E53" w:rsidP="00585E53">
      <w:pPr>
        <w:pStyle w:val="a3"/>
        <w:ind w:leftChars="0" w:left="400"/>
        <w:rPr>
          <w:rFonts w:hint="eastAsia"/>
        </w:rPr>
      </w:pPr>
      <w:r>
        <w:rPr>
          <w:rFonts w:hint="eastAsia"/>
        </w:rPr>
        <w:t>幸福な人間は自分の幸福の正当性を求める。幸福が名誉や権力と結びつくならば、それは権力者の利害関心の正当化を導く。</w:t>
      </w:r>
    </w:p>
    <w:p w:rsidR="00585E53" w:rsidRPr="00585E53" w:rsidRDefault="00585E53" w:rsidP="00585E53">
      <w:pPr>
        <w:pStyle w:val="a3"/>
        <w:numPr>
          <w:ilvl w:val="0"/>
          <w:numId w:val="1"/>
        </w:numPr>
        <w:ind w:leftChars="0"/>
        <w:rPr>
          <w:rFonts w:hint="eastAsia"/>
          <w:u w:val="dotDotDash"/>
        </w:rPr>
      </w:pPr>
      <w:r w:rsidRPr="00585E53">
        <w:rPr>
          <w:rFonts w:hint="eastAsia"/>
          <w:u w:val="dotDotDash"/>
        </w:rPr>
        <w:lastRenderedPageBreak/>
        <w:t>苦難</w:t>
      </w:r>
      <w:r w:rsidRPr="00585E53">
        <w:rPr>
          <w:rFonts w:hint="eastAsia"/>
          <w:u w:val="dotDotDash"/>
        </w:rPr>
        <w:t>=</w:t>
      </w:r>
      <w:r w:rsidRPr="00585E53">
        <w:rPr>
          <w:rFonts w:hint="eastAsia"/>
          <w:u w:val="dotDotDash"/>
        </w:rPr>
        <w:t>聖</w:t>
      </w:r>
      <w:r w:rsidRPr="00585E53">
        <w:rPr>
          <w:rFonts w:hint="eastAsia"/>
          <w:u w:val="dotDotDash"/>
        </w:rPr>
        <w:t>(</w:t>
      </w:r>
      <w:r w:rsidRPr="00585E53">
        <w:rPr>
          <w:rFonts w:hint="eastAsia"/>
          <w:u w:val="dotDotDash"/>
        </w:rPr>
        <w:t>苦難の神義論</w:t>
      </w:r>
      <w:r w:rsidRPr="00585E53">
        <w:rPr>
          <w:rFonts w:hint="eastAsia"/>
          <w:u w:val="dotDotDash"/>
        </w:rPr>
        <w:t>)</w:t>
      </w:r>
    </w:p>
    <w:p w:rsidR="00585E53" w:rsidRDefault="00585E53" w:rsidP="00585E53">
      <w:pPr>
        <w:pStyle w:val="a3"/>
        <w:ind w:leftChars="0" w:left="400"/>
        <w:rPr>
          <w:rFonts w:hint="eastAsia"/>
        </w:rPr>
      </w:pPr>
      <w:r>
        <w:rPr>
          <w:rFonts w:hint="eastAsia"/>
        </w:rPr>
        <w:t>苦難は非日常的な経験であり、その非日常性は聖なるものと見做された。</w:t>
      </w:r>
      <w:r w:rsidR="00C43B78">
        <w:rPr>
          <w:rFonts w:hint="eastAsia"/>
        </w:rPr>
        <w:t>そしてその非日常性は苦行によって近づきうる。</w:t>
      </w:r>
    </w:p>
    <w:p w:rsidR="00C43B78" w:rsidRDefault="00C43B78" w:rsidP="00585E53">
      <w:pPr>
        <w:pStyle w:val="a3"/>
        <w:ind w:leftChars="0" w:left="400"/>
        <w:rPr>
          <w:rFonts w:hint="eastAsia"/>
        </w:rPr>
      </w:pPr>
      <w:r>
        <w:rPr>
          <w:rFonts w:hint="eastAsia"/>
        </w:rPr>
        <w:t>この苦難の経験は個人的な経験である。この個人的な宗教倫理が、共同態の宗教倫理</w:t>
      </w:r>
      <w:r>
        <w:rPr>
          <w:rFonts w:hint="eastAsia"/>
        </w:rPr>
        <w:t>(</w:t>
      </w:r>
      <w:r>
        <w:rPr>
          <w:rFonts w:hint="eastAsia"/>
        </w:rPr>
        <w:t>救済</w:t>
      </w:r>
      <w:r>
        <w:rPr>
          <w:rFonts w:hint="eastAsia"/>
        </w:rPr>
        <w:t>)</w:t>
      </w:r>
      <w:r>
        <w:rPr>
          <w:rFonts w:hint="eastAsia"/>
        </w:rPr>
        <w:t>と結合した時、教団などの組織、制度が発達した。この組織は大衆の救済を目指す</w:t>
      </w:r>
      <w:r>
        <w:rPr>
          <w:rFonts w:hint="eastAsia"/>
        </w:rPr>
        <w:t>(</w:t>
      </w:r>
      <w:r>
        <w:rPr>
          <w:rFonts w:hint="eastAsia"/>
        </w:rPr>
        <w:t>罪の告白等</w:t>
      </w:r>
      <w:r>
        <w:rPr>
          <w:rFonts w:hint="eastAsia"/>
        </w:rPr>
        <w:t>)</w:t>
      </w:r>
      <w:r>
        <w:rPr>
          <w:rFonts w:hint="eastAsia"/>
        </w:rPr>
        <w:t>。繰り返される困窮は集団的・</w:t>
      </w:r>
      <w:commentRangeStart w:id="0"/>
      <w:r>
        <w:rPr>
          <w:rFonts w:hint="eastAsia"/>
        </w:rPr>
        <w:t>合理的</w:t>
      </w:r>
      <w:commentRangeEnd w:id="0"/>
      <w:r>
        <w:rPr>
          <w:rStyle w:val="a4"/>
        </w:rPr>
        <w:commentReference w:id="0"/>
      </w:r>
      <w:r>
        <w:rPr>
          <w:rFonts w:hint="eastAsia"/>
        </w:rPr>
        <w:t>な「救世主」信仰へと繋がった。</w:t>
      </w:r>
    </w:p>
    <w:p w:rsidR="00C43B78" w:rsidRPr="00C43B78" w:rsidRDefault="00C43B78" w:rsidP="00C43B78">
      <w:pPr>
        <w:rPr>
          <w:rFonts w:hint="eastAsia"/>
          <w:u w:val="double"/>
        </w:rPr>
      </w:pPr>
      <w:r w:rsidRPr="00C43B78">
        <w:rPr>
          <w:rFonts w:hint="eastAsia"/>
          <w:u w:val="double"/>
        </w:rPr>
        <w:t>来世信仰の登場</w:t>
      </w:r>
    </w:p>
    <w:p w:rsidR="00C43B78" w:rsidRDefault="00C43B78" w:rsidP="00C43B78">
      <w:pPr>
        <w:rPr>
          <w:rFonts w:hint="eastAsia"/>
        </w:rPr>
      </w:pPr>
      <w:r>
        <w:rPr>
          <w:rFonts w:hint="eastAsia"/>
        </w:rPr>
        <w:t>世界観の合理化は幸福罪の意味に疑いを生じさせた。なぜなら、善人にとって、余りにも苦悩が多い割には、現世において成功を収める者は</w:t>
      </w:r>
      <w:r w:rsidR="006075BD">
        <w:rPr>
          <w:rFonts w:hint="eastAsia"/>
        </w:rPr>
        <w:t>「悪しき者」であったからである。これをうけて、宗教倫理は更に合理化する。つまり、インドの業や、予定説が説いた、来世での救済である。合理的宗教倫理の救いは、社会的に蔑視された層を基盤にした。現世で満ち足りた者は救いへの憧れに欠け、従って信仰に篤くないからである。こうして富・権力に対する不信が起こり、神に与えられた「使命」への信仰が起こる。</w:t>
      </w:r>
    </w:p>
    <w:p w:rsidR="006075BD" w:rsidRDefault="006075BD" w:rsidP="006075BD">
      <w:pPr>
        <w:pStyle w:val="a3"/>
        <w:numPr>
          <w:ilvl w:val="0"/>
          <w:numId w:val="2"/>
        </w:numPr>
        <w:ind w:leftChars="0"/>
        <w:rPr>
          <w:rFonts w:hint="eastAsia"/>
        </w:rPr>
      </w:pPr>
      <w:r>
        <w:rPr>
          <w:rFonts w:hint="eastAsia"/>
        </w:rPr>
        <w:t>然し乍ら、救済財は、キリスト教等一部を例外として、健康や長寿と言った、実質的・彼岸的なものであった。ある宗教において、最高善とされるものは、宗教意識の担い手の違いによって多様化したのである。</w:t>
      </w:r>
    </w:p>
    <w:p w:rsidR="006075BD" w:rsidRPr="006075BD" w:rsidRDefault="006075BD" w:rsidP="006075BD">
      <w:pPr>
        <w:rPr>
          <w:rFonts w:hint="eastAsia"/>
          <w:u w:val="double"/>
        </w:rPr>
      </w:pPr>
      <w:r w:rsidRPr="006075BD">
        <w:rPr>
          <w:rFonts w:hint="eastAsia"/>
          <w:u w:val="double"/>
        </w:rPr>
        <w:t>宗教意識の担い手層と世界像</w:t>
      </w:r>
    </w:p>
    <w:p w:rsidR="006075BD" w:rsidRDefault="006075BD" w:rsidP="006075BD">
      <w:pPr>
        <w:rPr>
          <w:rFonts w:hint="eastAsia"/>
        </w:rPr>
      </w:pPr>
      <w:r>
        <w:rPr>
          <w:rFonts w:hint="eastAsia"/>
        </w:rPr>
        <w:t>宗教意識の担い手は主に二つの集団に分けられる。</w:t>
      </w:r>
    </w:p>
    <w:tbl>
      <w:tblPr>
        <w:tblStyle w:val="ab"/>
        <w:tblW w:w="0" w:type="auto"/>
        <w:tblLook w:val="04A0" w:firstRow="1" w:lastRow="0" w:firstColumn="1" w:lastColumn="0" w:noHBand="0" w:noVBand="1"/>
      </w:tblPr>
      <w:tblGrid>
        <w:gridCol w:w="3777"/>
        <w:gridCol w:w="3778"/>
      </w:tblGrid>
      <w:tr w:rsidR="006075BD" w:rsidTr="006075BD">
        <w:tc>
          <w:tcPr>
            <w:tcW w:w="3777" w:type="dxa"/>
          </w:tcPr>
          <w:p w:rsidR="006075BD" w:rsidRDefault="00427A00" w:rsidP="006075BD">
            <w:pPr>
              <w:rPr>
                <w:rFonts w:hint="eastAsia"/>
              </w:rPr>
            </w:pPr>
            <w:r>
              <w:rPr>
                <w:rFonts w:hint="eastAsia"/>
              </w:rPr>
              <w:t>商工業者・知識人</w:t>
            </w:r>
          </w:p>
        </w:tc>
        <w:tc>
          <w:tcPr>
            <w:tcW w:w="3778" w:type="dxa"/>
          </w:tcPr>
          <w:p w:rsidR="006075BD" w:rsidRDefault="00427A00" w:rsidP="006075BD">
            <w:pPr>
              <w:rPr>
                <w:rFonts w:hint="eastAsia"/>
              </w:rPr>
            </w:pPr>
            <w:r>
              <w:rPr>
                <w:rFonts w:hint="eastAsia"/>
              </w:rPr>
              <w:t>騎士・農民・教権者</w:t>
            </w:r>
          </w:p>
        </w:tc>
      </w:tr>
    </w:tbl>
    <w:p w:rsidR="006075BD" w:rsidRDefault="00427A00" w:rsidP="00427A00">
      <w:pPr>
        <w:pStyle w:val="a3"/>
        <w:numPr>
          <w:ilvl w:val="0"/>
          <w:numId w:val="3"/>
        </w:numPr>
        <w:ind w:leftChars="0"/>
        <w:rPr>
          <w:rFonts w:hint="eastAsia"/>
        </w:rPr>
      </w:pPr>
      <w:r>
        <w:rPr>
          <w:rFonts w:hint="eastAsia"/>
        </w:rPr>
        <w:t>商工業者・知識人</w:t>
      </w:r>
    </w:p>
    <w:p w:rsidR="00427A00" w:rsidRDefault="00427A00" w:rsidP="00427A00">
      <w:pPr>
        <w:pStyle w:val="a3"/>
        <w:ind w:leftChars="0" w:left="520"/>
        <w:rPr>
          <w:rFonts w:hint="eastAsia"/>
        </w:rPr>
      </w:pPr>
      <w:r>
        <w:rPr>
          <w:rFonts w:hint="eastAsia"/>
        </w:rPr>
        <w:t>知識人は理論的合理主義の、商工業者は実践的合理主義の担い</w:t>
      </w:r>
      <w:r>
        <w:rPr>
          <w:rFonts w:hint="eastAsia"/>
        </w:rPr>
        <w:lastRenderedPageBreak/>
        <w:t>手としての役を果たした。</w:t>
      </w:r>
      <w:bookmarkStart w:id="1" w:name="_GoBack"/>
      <w:bookmarkEnd w:id="1"/>
    </w:p>
    <w:sectPr w:rsidR="00427A00" w:rsidSect="00585E53">
      <w:pgSz w:w="16840" w:h="11900" w:orient="landscape"/>
      <w:pgMar w:top="567" w:right="1134" w:bottom="1134" w:left="567" w:header="851" w:footer="992" w:gutter="0"/>
      <w:cols w:num="2"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松本 倫明" w:date="2014-12-20T14:40:00Z" w:initials="松本">
    <w:p w:rsidR="006075BD" w:rsidRDefault="006075BD">
      <w:pPr>
        <w:pStyle w:val="a5"/>
        <w:rPr>
          <w:rFonts w:hint="eastAsia"/>
        </w:rPr>
      </w:pPr>
      <w:r>
        <w:rPr>
          <w:rStyle w:val="a4"/>
        </w:rPr>
        <w:annotationRef/>
      </w:r>
      <w:r>
        <w:rPr>
          <w:rFonts w:hint="eastAsia"/>
        </w:rPr>
        <w:t>なぜ救世主信仰は合理的と言えるのか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73CE9"/>
    <w:multiLevelType w:val="hybridMultilevel"/>
    <w:tmpl w:val="ACC8FCE8"/>
    <w:lvl w:ilvl="0" w:tplc="80CC7BB0">
      <w:start w:val="1"/>
      <w:numFmt w:val="decimalFullWidth"/>
      <w:lvlText w:val="(%1)"/>
      <w:lvlJc w:val="left"/>
      <w:pPr>
        <w:ind w:left="520" w:hanging="5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4910F6D"/>
    <w:multiLevelType w:val="hybridMultilevel"/>
    <w:tmpl w:val="51B02314"/>
    <w:lvl w:ilvl="0" w:tplc="B896E13C">
      <w:start w:val="1"/>
      <w:numFmt w:val="decimalFullWidth"/>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7245059B"/>
    <w:multiLevelType w:val="hybridMultilevel"/>
    <w:tmpl w:val="8C68FAE6"/>
    <w:lvl w:ilvl="0" w:tplc="B8E4706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E53"/>
    <w:rsid w:val="003B0A03"/>
    <w:rsid w:val="00427A00"/>
    <w:rsid w:val="00585E53"/>
    <w:rsid w:val="006075BD"/>
    <w:rsid w:val="0065674E"/>
    <w:rsid w:val="00C43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E53"/>
    <w:pPr>
      <w:ind w:leftChars="400" w:left="960"/>
    </w:pPr>
  </w:style>
  <w:style w:type="character" w:styleId="a4">
    <w:name w:val="annotation reference"/>
    <w:basedOn w:val="a0"/>
    <w:uiPriority w:val="99"/>
    <w:semiHidden/>
    <w:unhideWhenUsed/>
    <w:rsid w:val="00C43B78"/>
    <w:rPr>
      <w:sz w:val="18"/>
      <w:szCs w:val="18"/>
    </w:rPr>
  </w:style>
  <w:style w:type="paragraph" w:styleId="a5">
    <w:name w:val="annotation text"/>
    <w:basedOn w:val="a"/>
    <w:link w:val="a6"/>
    <w:uiPriority w:val="99"/>
    <w:semiHidden/>
    <w:unhideWhenUsed/>
    <w:rsid w:val="00C43B78"/>
    <w:pPr>
      <w:jc w:val="left"/>
    </w:pPr>
  </w:style>
  <w:style w:type="character" w:customStyle="1" w:styleId="a6">
    <w:name w:val="コメント文字列 (文字)"/>
    <w:basedOn w:val="a0"/>
    <w:link w:val="a5"/>
    <w:uiPriority w:val="99"/>
    <w:semiHidden/>
    <w:rsid w:val="00C43B78"/>
  </w:style>
  <w:style w:type="paragraph" w:styleId="a7">
    <w:name w:val="annotation subject"/>
    <w:basedOn w:val="a5"/>
    <w:next w:val="a5"/>
    <w:link w:val="a8"/>
    <w:uiPriority w:val="99"/>
    <w:semiHidden/>
    <w:unhideWhenUsed/>
    <w:rsid w:val="00C43B78"/>
    <w:rPr>
      <w:b/>
      <w:bCs/>
    </w:rPr>
  </w:style>
  <w:style w:type="character" w:customStyle="1" w:styleId="a8">
    <w:name w:val="コメント内容 (文字)"/>
    <w:basedOn w:val="a6"/>
    <w:link w:val="a7"/>
    <w:uiPriority w:val="99"/>
    <w:semiHidden/>
    <w:rsid w:val="00C43B78"/>
    <w:rPr>
      <w:b/>
      <w:bCs/>
    </w:rPr>
  </w:style>
  <w:style w:type="paragraph" w:styleId="a9">
    <w:name w:val="Balloon Text"/>
    <w:basedOn w:val="a"/>
    <w:link w:val="aa"/>
    <w:uiPriority w:val="99"/>
    <w:semiHidden/>
    <w:unhideWhenUsed/>
    <w:rsid w:val="00C43B78"/>
    <w:rPr>
      <w:rFonts w:ascii="ヒラギノ角ゴ ProN W3" w:eastAsia="ヒラギノ角ゴ ProN W3"/>
      <w:sz w:val="18"/>
      <w:szCs w:val="18"/>
    </w:rPr>
  </w:style>
  <w:style w:type="character" w:customStyle="1" w:styleId="aa">
    <w:name w:val="吹き出し (文字)"/>
    <w:basedOn w:val="a0"/>
    <w:link w:val="a9"/>
    <w:uiPriority w:val="99"/>
    <w:semiHidden/>
    <w:rsid w:val="00C43B78"/>
    <w:rPr>
      <w:rFonts w:ascii="ヒラギノ角ゴ ProN W3" w:eastAsia="ヒラギノ角ゴ ProN W3"/>
      <w:sz w:val="18"/>
      <w:szCs w:val="18"/>
    </w:rPr>
  </w:style>
  <w:style w:type="table" w:styleId="ab">
    <w:name w:val="Table Grid"/>
    <w:basedOn w:val="a1"/>
    <w:uiPriority w:val="59"/>
    <w:rsid w:val="006075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E53"/>
    <w:pPr>
      <w:ind w:leftChars="400" w:left="960"/>
    </w:pPr>
  </w:style>
  <w:style w:type="character" w:styleId="a4">
    <w:name w:val="annotation reference"/>
    <w:basedOn w:val="a0"/>
    <w:uiPriority w:val="99"/>
    <w:semiHidden/>
    <w:unhideWhenUsed/>
    <w:rsid w:val="00C43B78"/>
    <w:rPr>
      <w:sz w:val="18"/>
      <w:szCs w:val="18"/>
    </w:rPr>
  </w:style>
  <w:style w:type="paragraph" w:styleId="a5">
    <w:name w:val="annotation text"/>
    <w:basedOn w:val="a"/>
    <w:link w:val="a6"/>
    <w:uiPriority w:val="99"/>
    <w:semiHidden/>
    <w:unhideWhenUsed/>
    <w:rsid w:val="00C43B78"/>
    <w:pPr>
      <w:jc w:val="left"/>
    </w:pPr>
  </w:style>
  <w:style w:type="character" w:customStyle="1" w:styleId="a6">
    <w:name w:val="コメント文字列 (文字)"/>
    <w:basedOn w:val="a0"/>
    <w:link w:val="a5"/>
    <w:uiPriority w:val="99"/>
    <w:semiHidden/>
    <w:rsid w:val="00C43B78"/>
  </w:style>
  <w:style w:type="paragraph" w:styleId="a7">
    <w:name w:val="annotation subject"/>
    <w:basedOn w:val="a5"/>
    <w:next w:val="a5"/>
    <w:link w:val="a8"/>
    <w:uiPriority w:val="99"/>
    <w:semiHidden/>
    <w:unhideWhenUsed/>
    <w:rsid w:val="00C43B78"/>
    <w:rPr>
      <w:b/>
      <w:bCs/>
    </w:rPr>
  </w:style>
  <w:style w:type="character" w:customStyle="1" w:styleId="a8">
    <w:name w:val="コメント内容 (文字)"/>
    <w:basedOn w:val="a6"/>
    <w:link w:val="a7"/>
    <w:uiPriority w:val="99"/>
    <w:semiHidden/>
    <w:rsid w:val="00C43B78"/>
    <w:rPr>
      <w:b/>
      <w:bCs/>
    </w:rPr>
  </w:style>
  <w:style w:type="paragraph" w:styleId="a9">
    <w:name w:val="Balloon Text"/>
    <w:basedOn w:val="a"/>
    <w:link w:val="aa"/>
    <w:uiPriority w:val="99"/>
    <w:semiHidden/>
    <w:unhideWhenUsed/>
    <w:rsid w:val="00C43B78"/>
    <w:rPr>
      <w:rFonts w:ascii="ヒラギノ角ゴ ProN W3" w:eastAsia="ヒラギノ角ゴ ProN W3"/>
      <w:sz w:val="18"/>
      <w:szCs w:val="18"/>
    </w:rPr>
  </w:style>
  <w:style w:type="character" w:customStyle="1" w:styleId="aa">
    <w:name w:val="吹き出し (文字)"/>
    <w:basedOn w:val="a0"/>
    <w:link w:val="a9"/>
    <w:uiPriority w:val="99"/>
    <w:semiHidden/>
    <w:rsid w:val="00C43B78"/>
    <w:rPr>
      <w:rFonts w:ascii="ヒラギノ角ゴ ProN W3" w:eastAsia="ヒラギノ角ゴ ProN W3"/>
      <w:sz w:val="18"/>
      <w:szCs w:val="18"/>
    </w:rPr>
  </w:style>
  <w:style w:type="table" w:styleId="ab">
    <w:name w:val="Table Grid"/>
    <w:basedOn w:val="a1"/>
    <w:uiPriority w:val="59"/>
    <w:rsid w:val="006075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180</Words>
  <Characters>1030</Characters>
  <Application>Microsoft Macintosh Word</Application>
  <DocSecurity>0</DocSecurity>
  <Lines>8</Lines>
  <Paragraphs>2</Paragraphs>
  <ScaleCrop>false</ScaleCrop>
  <Company>慶應義塾大学　総合政策学部</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2014-12-20T05:15:00Z</dcterms:created>
  <dcterms:modified xsi:type="dcterms:W3CDTF">2014-12-20T06:00:00Z</dcterms:modified>
</cp:coreProperties>
</file>