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22A6C" w14:textId="77777777" w:rsidR="003B0A03" w:rsidRDefault="00B55E1D">
      <w:pPr>
        <w:rPr>
          <w:sz w:val="28"/>
          <w:szCs w:val="28"/>
        </w:rPr>
      </w:pPr>
      <w:r w:rsidRPr="00B55E1D">
        <w:rPr>
          <w:rFonts w:hint="eastAsia"/>
          <w:sz w:val="28"/>
          <w:szCs w:val="28"/>
        </w:rPr>
        <w:t>オリエンタリズム</w:t>
      </w:r>
      <w:r w:rsidR="00C8148F">
        <w:rPr>
          <w:sz w:val="28"/>
          <w:szCs w:val="28"/>
        </w:rPr>
        <w:t xml:space="preserve"> </w:t>
      </w:r>
      <w:r w:rsidR="00C8148F">
        <w:rPr>
          <w:rFonts w:hint="eastAsia"/>
          <w:sz w:val="28"/>
          <w:szCs w:val="28"/>
        </w:rPr>
        <w:t>上・下</w:t>
      </w:r>
    </w:p>
    <w:p w14:paraId="7AD23724" w14:textId="77777777" w:rsidR="00B55E1D" w:rsidRDefault="00B55E1D">
      <w:pPr>
        <w:rPr>
          <w:sz w:val="20"/>
          <w:szCs w:val="20"/>
        </w:rPr>
      </w:pPr>
      <w:r>
        <w:rPr>
          <w:sz w:val="20"/>
          <w:szCs w:val="20"/>
        </w:rPr>
        <w:t>E</w:t>
      </w:r>
      <w:r>
        <w:rPr>
          <w:rFonts w:hint="eastAsia"/>
          <w:sz w:val="20"/>
          <w:szCs w:val="20"/>
        </w:rPr>
        <w:t>・</w:t>
      </w:r>
      <w:r>
        <w:rPr>
          <w:sz w:val="20"/>
          <w:szCs w:val="20"/>
        </w:rPr>
        <w:t>W</w:t>
      </w:r>
      <w:r>
        <w:rPr>
          <w:rFonts w:hint="eastAsia"/>
          <w:sz w:val="20"/>
          <w:szCs w:val="20"/>
        </w:rPr>
        <w:t>・サイード著　今沢紀子訳　　平凡社ライブラリー</w:t>
      </w:r>
      <w:r>
        <w:rPr>
          <w:rFonts w:hint="eastAsia"/>
          <w:sz w:val="20"/>
          <w:szCs w:val="20"/>
        </w:rPr>
        <w:t>1993</w:t>
      </w:r>
      <w:r>
        <w:rPr>
          <w:rFonts w:hint="eastAsia"/>
          <w:sz w:val="20"/>
          <w:szCs w:val="20"/>
        </w:rPr>
        <w:t>年</w:t>
      </w:r>
    </w:p>
    <w:p w14:paraId="6D9A4BF9" w14:textId="77777777" w:rsidR="00B55E1D" w:rsidRDefault="00B55E1D">
      <w:pPr>
        <w:rPr>
          <w:sz w:val="16"/>
          <w:szCs w:val="16"/>
        </w:rPr>
      </w:pPr>
      <w:r>
        <w:rPr>
          <w:rFonts w:hint="eastAsia"/>
          <w:sz w:val="20"/>
          <w:szCs w:val="20"/>
        </w:rPr>
        <w:t xml:space="preserve">　　　　　　</w:t>
      </w:r>
      <w:r>
        <w:rPr>
          <w:rFonts w:hint="eastAsia"/>
          <w:sz w:val="16"/>
          <w:szCs w:val="16"/>
        </w:rPr>
        <w:t xml:space="preserve">　　　　　　　　　　　　　　　　　　　　　　　　　　　　　報告　松本倫明</w:t>
      </w:r>
    </w:p>
    <w:p w14:paraId="53617EE0" w14:textId="77777777" w:rsidR="00B55E1D" w:rsidRPr="00B55E1D" w:rsidRDefault="00B55E1D">
      <w:pPr>
        <w:rPr>
          <w:sz w:val="22"/>
          <w:szCs w:val="22"/>
          <w:u w:val="double"/>
        </w:rPr>
      </w:pPr>
      <w:r w:rsidRPr="00B55E1D">
        <w:rPr>
          <w:rFonts w:hint="eastAsia"/>
          <w:sz w:val="22"/>
          <w:szCs w:val="22"/>
          <w:u w:val="double"/>
        </w:rPr>
        <w:t>序説</w:t>
      </w:r>
    </w:p>
    <w:p w14:paraId="5E4D351C" w14:textId="77777777" w:rsidR="00B55E1D" w:rsidRPr="00271153" w:rsidRDefault="0085356A" w:rsidP="0085356A">
      <w:pPr>
        <w:pStyle w:val="a3"/>
        <w:numPr>
          <w:ilvl w:val="0"/>
          <w:numId w:val="1"/>
        </w:numPr>
        <w:ind w:leftChars="0"/>
        <w:rPr>
          <w:sz w:val="16"/>
          <w:szCs w:val="16"/>
        </w:rPr>
      </w:pPr>
      <w:r w:rsidRPr="00271153">
        <w:rPr>
          <w:rFonts w:hint="eastAsia"/>
          <w:sz w:val="16"/>
          <w:szCs w:val="16"/>
        </w:rPr>
        <w:t>この項で、筆者は「オリエンタリズム」という言葉に複数の意味合いを与えていることを言明している。また「オリエンタリズム」と「オリエント」の言葉の違いも明確にせねばならない。本項であげられた定義、説明を簡単に纏める。</w:t>
      </w:r>
    </w:p>
    <w:tbl>
      <w:tblPr>
        <w:tblStyle w:val="a4"/>
        <w:tblW w:w="0" w:type="auto"/>
        <w:tblInd w:w="360" w:type="dxa"/>
        <w:tblLook w:val="04A0" w:firstRow="1" w:lastRow="0" w:firstColumn="1" w:lastColumn="0" w:noHBand="0" w:noVBand="1"/>
      </w:tblPr>
      <w:tblGrid>
        <w:gridCol w:w="1449"/>
        <w:gridCol w:w="5764"/>
      </w:tblGrid>
      <w:tr w:rsidR="0085356A" w:rsidRPr="00271153" w14:paraId="7A1E800E" w14:textId="77777777" w:rsidTr="0085356A">
        <w:tc>
          <w:tcPr>
            <w:tcW w:w="1449" w:type="dxa"/>
          </w:tcPr>
          <w:p w14:paraId="52FB55ED" w14:textId="77777777" w:rsidR="0085356A" w:rsidRPr="00271153" w:rsidRDefault="0085356A" w:rsidP="0085356A">
            <w:pPr>
              <w:pStyle w:val="a3"/>
              <w:ind w:leftChars="0" w:left="0"/>
              <w:rPr>
                <w:sz w:val="16"/>
                <w:szCs w:val="16"/>
              </w:rPr>
            </w:pPr>
            <w:r w:rsidRPr="00271153">
              <w:rPr>
                <w:rFonts w:hint="eastAsia"/>
                <w:sz w:val="16"/>
                <w:szCs w:val="16"/>
              </w:rPr>
              <w:t>オリエンタリズム</w:t>
            </w:r>
          </w:p>
        </w:tc>
        <w:tc>
          <w:tcPr>
            <w:tcW w:w="5764" w:type="dxa"/>
          </w:tcPr>
          <w:p w14:paraId="0F1C4E60" w14:textId="77777777" w:rsidR="0085356A" w:rsidRPr="00271153" w:rsidRDefault="00136FE9" w:rsidP="0085356A">
            <w:pPr>
              <w:pStyle w:val="a3"/>
              <w:ind w:leftChars="0" w:left="0"/>
              <w:rPr>
                <w:sz w:val="16"/>
                <w:szCs w:val="16"/>
              </w:rPr>
            </w:pPr>
            <w:r w:rsidRPr="00271153">
              <w:rPr>
                <w:rFonts w:hint="eastAsia"/>
                <w:sz w:val="16"/>
                <w:szCs w:val="16"/>
              </w:rPr>
              <w:t>オリエントの側面についての学問をする人物の行為</w:t>
            </w:r>
          </w:p>
          <w:p w14:paraId="4BF77438" w14:textId="77777777" w:rsidR="00136FE9" w:rsidRPr="00271153" w:rsidRDefault="00136FE9" w:rsidP="0085356A">
            <w:pPr>
              <w:pStyle w:val="a3"/>
              <w:ind w:leftChars="0" w:left="0"/>
              <w:rPr>
                <w:sz w:val="16"/>
                <w:szCs w:val="16"/>
              </w:rPr>
            </w:pPr>
            <w:r w:rsidRPr="00271153">
              <w:rPr>
                <w:rFonts w:hint="eastAsia"/>
                <w:sz w:val="16"/>
                <w:szCs w:val="16"/>
              </w:rPr>
              <w:t>「東洋」「西洋」の間の存在論・認識論的思考様式</w:t>
            </w:r>
          </w:p>
          <w:p w14:paraId="6F325CC9" w14:textId="77777777" w:rsidR="00136FE9" w:rsidRPr="00271153" w:rsidRDefault="00136FE9" w:rsidP="0085356A">
            <w:pPr>
              <w:pStyle w:val="a3"/>
              <w:ind w:leftChars="0" w:left="0"/>
              <w:rPr>
                <w:sz w:val="16"/>
                <w:szCs w:val="16"/>
              </w:rPr>
            </w:pPr>
            <w:r w:rsidRPr="00271153">
              <w:rPr>
                <w:rFonts w:hint="eastAsia"/>
                <w:sz w:val="16"/>
                <w:szCs w:val="16"/>
              </w:rPr>
              <w:t>オリエントを支配するための西洋の様式</w:t>
            </w:r>
          </w:p>
        </w:tc>
      </w:tr>
      <w:tr w:rsidR="0085356A" w:rsidRPr="00271153" w14:paraId="4EEE2CB2" w14:textId="77777777" w:rsidTr="0085356A">
        <w:tc>
          <w:tcPr>
            <w:tcW w:w="1449" w:type="dxa"/>
          </w:tcPr>
          <w:p w14:paraId="7F238ECB" w14:textId="77777777" w:rsidR="0085356A" w:rsidRPr="00271153" w:rsidRDefault="0085356A" w:rsidP="0085356A">
            <w:pPr>
              <w:pStyle w:val="a3"/>
              <w:ind w:leftChars="0" w:left="0"/>
              <w:rPr>
                <w:sz w:val="16"/>
                <w:szCs w:val="16"/>
              </w:rPr>
            </w:pPr>
            <w:r w:rsidRPr="00271153">
              <w:rPr>
                <w:rFonts w:hint="eastAsia"/>
                <w:sz w:val="16"/>
                <w:szCs w:val="16"/>
              </w:rPr>
              <w:t>オリエント</w:t>
            </w:r>
          </w:p>
        </w:tc>
        <w:tc>
          <w:tcPr>
            <w:tcW w:w="5764" w:type="dxa"/>
          </w:tcPr>
          <w:p w14:paraId="122A0FBD" w14:textId="77777777" w:rsidR="0085356A" w:rsidRPr="00271153" w:rsidRDefault="0085356A" w:rsidP="0085356A">
            <w:pPr>
              <w:pStyle w:val="a3"/>
              <w:ind w:leftChars="0" w:left="0"/>
              <w:rPr>
                <w:sz w:val="16"/>
                <w:szCs w:val="16"/>
              </w:rPr>
            </w:pPr>
            <w:r w:rsidRPr="00271153">
              <w:rPr>
                <w:rFonts w:hint="eastAsia"/>
                <w:sz w:val="16"/>
                <w:szCs w:val="16"/>
              </w:rPr>
              <w:t>広大、豊か、最古の植民地</w:t>
            </w:r>
          </w:p>
          <w:p w14:paraId="72AA813A" w14:textId="77777777" w:rsidR="0085356A" w:rsidRPr="00271153" w:rsidRDefault="0085356A" w:rsidP="0085356A">
            <w:pPr>
              <w:pStyle w:val="a3"/>
              <w:ind w:leftChars="0" w:left="0"/>
              <w:rPr>
                <w:sz w:val="16"/>
                <w:szCs w:val="16"/>
              </w:rPr>
            </w:pPr>
            <w:r w:rsidRPr="00271153">
              <w:rPr>
                <w:rFonts w:hint="eastAsia"/>
                <w:sz w:val="16"/>
                <w:szCs w:val="16"/>
              </w:rPr>
              <w:t>ヨーロッパ人の心の奥底に現れる他者のイメージ</w:t>
            </w:r>
          </w:p>
          <w:p w14:paraId="122C776C" w14:textId="77777777" w:rsidR="0085356A" w:rsidRPr="00271153" w:rsidRDefault="0085356A" w:rsidP="0085356A">
            <w:pPr>
              <w:pStyle w:val="a3"/>
              <w:ind w:leftChars="0" w:left="0"/>
              <w:rPr>
                <w:sz w:val="16"/>
                <w:szCs w:val="16"/>
              </w:rPr>
            </w:pPr>
            <w:r w:rsidRPr="00271153">
              <w:rPr>
                <w:rFonts w:hint="eastAsia"/>
                <w:sz w:val="16"/>
                <w:szCs w:val="16"/>
              </w:rPr>
              <w:t>ヨーロッパ人が自らを対照なものとして形成する元</w:t>
            </w:r>
          </w:p>
        </w:tc>
      </w:tr>
    </w:tbl>
    <w:p w14:paraId="223586ED" w14:textId="77777777" w:rsidR="0085356A" w:rsidRPr="00271153" w:rsidRDefault="00136FE9" w:rsidP="0085356A">
      <w:pPr>
        <w:pStyle w:val="a3"/>
        <w:ind w:leftChars="0" w:left="360"/>
        <w:rPr>
          <w:sz w:val="16"/>
          <w:szCs w:val="16"/>
        </w:rPr>
      </w:pPr>
      <w:r w:rsidRPr="00271153">
        <w:rPr>
          <w:rFonts w:hint="eastAsia"/>
          <w:sz w:val="16"/>
          <w:szCs w:val="16"/>
        </w:rPr>
        <w:t>オリエンタリズムの支配と言う側面に関して、サイードは「言説</w:t>
      </w:r>
      <w:r w:rsidR="00B25DE9">
        <w:rPr>
          <w:rStyle w:val="a7"/>
          <w:sz w:val="16"/>
          <w:szCs w:val="16"/>
        </w:rPr>
        <w:footnoteReference w:id="1"/>
      </w:r>
      <w:r w:rsidRPr="00271153">
        <w:rPr>
          <w:rFonts w:hint="eastAsia"/>
          <w:sz w:val="16"/>
          <w:szCs w:val="16"/>
        </w:rPr>
        <w:t>」という概念を持ち出す。言説としての「オリエンタリズム」を検討することによって、西洋がオリエントを管理。生産した際の組織的規律を理解できる。オリエンタリズムは余りに権威をもち、その結果、</w:t>
      </w:r>
      <w:r w:rsidR="00271153" w:rsidRPr="00271153">
        <w:rPr>
          <w:rFonts w:hint="eastAsia"/>
          <w:sz w:val="16"/>
          <w:szCs w:val="16"/>
        </w:rPr>
        <w:t>人は誰もオリエントについて考える際、自由な思考や行動を阻害されてしまうに至った。</w:t>
      </w:r>
    </w:p>
    <w:p w14:paraId="7A85F8E7" w14:textId="77777777" w:rsidR="00271153" w:rsidRPr="00271153" w:rsidRDefault="00271153" w:rsidP="0085356A">
      <w:pPr>
        <w:pStyle w:val="a3"/>
        <w:ind w:leftChars="0" w:left="360"/>
        <w:rPr>
          <w:sz w:val="16"/>
          <w:szCs w:val="16"/>
        </w:rPr>
      </w:pPr>
      <w:r w:rsidRPr="00271153">
        <w:rPr>
          <w:rFonts w:hint="eastAsia"/>
          <w:sz w:val="16"/>
          <w:szCs w:val="16"/>
        </w:rPr>
        <w:t>「オリエンタリズム」とは、人々が「オリエント」を問題とする時に、つい目を向けてしまう関心のネットワークの総体なのである。</w:t>
      </w:r>
    </w:p>
    <w:p w14:paraId="00AAA8B6" w14:textId="77777777" w:rsidR="00271153" w:rsidRDefault="00271153" w:rsidP="0085356A">
      <w:pPr>
        <w:pStyle w:val="a3"/>
        <w:ind w:leftChars="0" w:left="360"/>
        <w:rPr>
          <w:sz w:val="16"/>
          <w:szCs w:val="16"/>
        </w:rPr>
      </w:pPr>
      <w:r w:rsidRPr="00271153">
        <w:rPr>
          <w:rFonts w:hint="eastAsia"/>
          <w:sz w:val="16"/>
          <w:szCs w:val="16"/>
        </w:rPr>
        <w:t>西洋人</w:t>
      </w:r>
      <w:r w:rsidRPr="00271153">
        <w:rPr>
          <w:rFonts w:hint="eastAsia"/>
          <w:sz w:val="16"/>
          <w:szCs w:val="16"/>
        </w:rPr>
        <w:t>(</w:t>
      </w:r>
      <w:r w:rsidRPr="00271153">
        <w:rPr>
          <w:rFonts w:hint="eastAsia"/>
          <w:sz w:val="16"/>
          <w:szCs w:val="16"/>
        </w:rPr>
        <w:t>特に英仏</w:t>
      </w:r>
      <w:r w:rsidRPr="00271153">
        <w:rPr>
          <w:rFonts w:hint="eastAsia"/>
          <w:sz w:val="16"/>
          <w:szCs w:val="16"/>
        </w:rPr>
        <w:t>)</w:t>
      </w:r>
      <w:r w:rsidRPr="00271153">
        <w:rPr>
          <w:rFonts w:hint="eastAsia"/>
          <w:sz w:val="16"/>
          <w:szCs w:val="16"/>
        </w:rPr>
        <w:t>にとって、東洋はロマンやエキゾチックな世界を与える。故にオリエンタリズムを語ることは英仏の文化的事業を語ることにもなる。これは</w:t>
      </w:r>
      <w:r>
        <w:rPr>
          <w:rFonts w:hint="eastAsia"/>
          <w:sz w:val="16"/>
          <w:szCs w:val="16"/>
        </w:rPr>
        <w:t>、東洋に関する様々なテクストを生み出した。以後、サイードは、東洋に対する歴史的概括を詳解する。</w:t>
      </w:r>
    </w:p>
    <w:p w14:paraId="2E170C16" w14:textId="77777777" w:rsidR="00DB6933" w:rsidRDefault="00DB6933" w:rsidP="0085356A">
      <w:pPr>
        <w:pStyle w:val="a3"/>
        <w:ind w:leftChars="0" w:left="360"/>
        <w:rPr>
          <w:sz w:val="16"/>
          <w:szCs w:val="16"/>
        </w:rPr>
      </w:pPr>
    </w:p>
    <w:p w14:paraId="453763C9" w14:textId="77777777" w:rsidR="00DB6933" w:rsidRPr="00B25DE9" w:rsidRDefault="00DB6933" w:rsidP="00B25DE9">
      <w:pPr>
        <w:rPr>
          <w:sz w:val="16"/>
          <w:szCs w:val="16"/>
        </w:rPr>
      </w:pPr>
    </w:p>
    <w:p w14:paraId="78FBF969" w14:textId="77777777" w:rsidR="00DB6933" w:rsidRDefault="00DB6933" w:rsidP="00B25DE9">
      <w:pPr>
        <w:pStyle w:val="a3"/>
        <w:numPr>
          <w:ilvl w:val="0"/>
          <w:numId w:val="1"/>
        </w:numPr>
        <w:ind w:leftChars="0"/>
        <w:rPr>
          <w:sz w:val="16"/>
          <w:szCs w:val="16"/>
        </w:rPr>
      </w:pPr>
      <w:r>
        <w:rPr>
          <w:rFonts w:hint="eastAsia"/>
          <w:sz w:val="16"/>
          <w:szCs w:val="16"/>
        </w:rPr>
        <w:lastRenderedPageBreak/>
        <w:t>人間は自分自身の歴史を作り出す。</w:t>
      </w:r>
      <w:r w:rsidR="00B25DE9">
        <w:rPr>
          <w:rFonts w:hint="eastAsia"/>
          <w:sz w:val="16"/>
          <w:szCs w:val="16"/>
        </w:rPr>
        <w:t>東洋、西洋も人間によって作られたものである。この二つの地理的実体は、相互に相手を反映し合っている。</w:t>
      </w:r>
    </w:p>
    <w:p w14:paraId="759C1C24" w14:textId="77777777" w:rsidR="00B25DE9" w:rsidRDefault="00B25DE9" w:rsidP="00B25DE9">
      <w:pPr>
        <w:pStyle w:val="a3"/>
        <w:ind w:leftChars="0" w:left="360"/>
        <w:rPr>
          <w:sz w:val="16"/>
          <w:szCs w:val="16"/>
        </w:rPr>
      </w:pPr>
      <w:r>
        <w:rPr>
          <w:rFonts w:hint="eastAsia"/>
          <w:sz w:val="16"/>
          <w:szCs w:val="16"/>
        </w:rPr>
        <w:t>ここで、サイードは三つの条件を提示する。第一に、オリエントは現実と符合しない概念、作られた想念であったと断定はできないということである。</w:t>
      </w:r>
      <w:r w:rsidR="00114BAD">
        <w:rPr>
          <w:rFonts w:hint="eastAsia"/>
          <w:sz w:val="16"/>
          <w:szCs w:val="16"/>
        </w:rPr>
        <w:t>筆者が問題とするのは、オリエンタリズムと現実の一致度ではなく、それに内在する論理整合生及び東洋に関する観念である。</w:t>
      </w:r>
    </w:p>
    <w:p w14:paraId="00F0799B" w14:textId="77777777" w:rsidR="00114BAD" w:rsidRDefault="00114BAD" w:rsidP="00B25DE9">
      <w:pPr>
        <w:pStyle w:val="a3"/>
        <w:ind w:leftChars="0" w:left="360"/>
        <w:rPr>
          <w:sz w:val="16"/>
          <w:szCs w:val="16"/>
        </w:rPr>
      </w:pPr>
      <w:r>
        <w:rPr>
          <w:rFonts w:hint="eastAsia"/>
          <w:sz w:val="16"/>
          <w:szCs w:val="16"/>
        </w:rPr>
        <w:t>第二に。観念や文化を理解するには、それを編成する強制力も研究する必要がある。西洋と東洋の間にある関係、それは支配関係である。権力者たる西洋は東洋について語り、オリエントをオリエント的に仕立てることが可能であった。</w:t>
      </w:r>
    </w:p>
    <w:p w14:paraId="2475F1C6" w14:textId="77777777" w:rsidR="00114BAD" w:rsidRDefault="00114BAD" w:rsidP="00B25DE9">
      <w:pPr>
        <w:pStyle w:val="a3"/>
        <w:ind w:leftChars="0" w:left="360"/>
        <w:rPr>
          <w:sz w:val="16"/>
          <w:szCs w:val="16"/>
        </w:rPr>
      </w:pPr>
      <w:r>
        <w:rPr>
          <w:rFonts w:hint="eastAsia"/>
          <w:sz w:val="16"/>
          <w:szCs w:val="16"/>
        </w:rPr>
        <w:t>第三に、以上より、オリエンタリズムとは虚偽や神話ではない。オリエンタリズムは理論・実戦であり、西洋人の意識の中で、オリエントについての知識を体系づけることになった。</w:t>
      </w:r>
    </w:p>
    <w:p w14:paraId="5BC8F0D3" w14:textId="77777777" w:rsidR="00114BAD" w:rsidRPr="006B14A9" w:rsidRDefault="006B14A9" w:rsidP="006B14A9">
      <w:pPr>
        <w:pStyle w:val="a3"/>
        <w:numPr>
          <w:ilvl w:val="0"/>
          <w:numId w:val="1"/>
        </w:numPr>
        <w:ind w:leftChars="0"/>
        <w:rPr>
          <w:sz w:val="16"/>
          <w:szCs w:val="16"/>
        </w:rPr>
      </w:pPr>
      <w:r w:rsidRPr="006B14A9">
        <w:rPr>
          <w:rFonts w:hint="eastAsia"/>
          <w:sz w:val="16"/>
          <w:szCs w:val="16"/>
        </w:rPr>
        <w:t>以上見たように、オリエンタリズムはそもそも歪曲しがちである。それ</w:t>
      </w:r>
      <w:r w:rsidR="006E4EBF">
        <w:rPr>
          <w:rFonts w:hint="eastAsia"/>
          <w:sz w:val="16"/>
          <w:szCs w:val="16"/>
        </w:rPr>
        <w:t>についての分析が偏ったものにならない為には如何にすべきか。サイードは</w:t>
      </w:r>
      <w:r w:rsidRPr="006B14A9">
        <w:rPr>
          <w:rFonts w:hint="eastAsia"/>
          <w:sz w:val="16"/>
          <w:szCs w:val="16"/>
        </w:rPr>
        <w:t>三つの現実の局面に言及する。</w:t>
      </w:r>
    </w:p>
    <w:p w14:paraId="46CBC753" w14:textId="77777777" w:rsidR="006B14A9" w:rsidRDefault="006E4EBF" w:rsidP="006B14A9">
      <w:pPr>
        <w:pStyle w:val="a3"/>
        <w:ind w:leftChars="0" w:left="360"/>
        <w:rPr>
          <w:sz w:val="16"/>
          <w:szCs w:val="16"/>
        </w:rPr>
      </w:pPr>
      <w:r>
        <w:rPr>
          <w:rFonts w:hint="eastAsia"/>
          <w:sz w:val="16"/>
          <w:szCs w:val="16"/>
        </w:rPr>
        <w:t>第一に</w:t>
      </w:r>
      <w:r w:rsidRPr="006E4EBF">
        <w:rPr>
          <w:rFonts w:hint="eastAsia"/>
          <w:sz w:val="16"/>
          <w:szCs w:val="16"/>
          <w:shd w:val="pct15" w:color="auto" w:fill="FFFFFF"/>
        </w:rPr>
        <w:t>純粋な知識と政治的な知識</w:t>
      </w:r>
      <w:r>
        <w:rPr>
          <w:rFonts w:hint="eastAsia"/>
          <w:sz w:val="16"/>
          <w:szCs w:val="16"/>
        </w:rPr>
        <w:t>との違いを明確にすることである。筆者は人文科学者であり、政治とは離れているようである。しかし、人文科学における知識の生産は、その著者を囲む環境の影響を不可避に受ける。オリエンタリズムとは、自分たちの世界とは異なる世界を理解、支配、統合しようとさえする意志そのものである。</w:t>
      </w:r>
    </w:p>
    <w:p w14:paraId="12AA9645" w14:textId="77777777" w:rsidR="006C3FB9" w:rsidRDefault="006C3FB9" w:rsidP="006B14A9">
      <w:pPr>
        <w:pStyle w:val="a3"/>
        <w:ind w:leftChars="0" w:left="360"/>
        <w:rPr>
          <w:sz w:val="16"/>
          <w:szCs w:val="16"/>
        </w:rPr>
      </w:pPr>
      <w:r>
        <w:rPr>
          <w:rFonts w:hint="eastAsia"/>
          <w:sz w:val="16"/>
          <w:szCs w:val="16"/>
        </w:rPr>
        <w:t>第二に方法論上の問題である。オリエンタリズムの分析には、著者と時代とを選択する問題が大きい。また、オリエンタリズムを論じるにあたり、ある権威を論じなければならない。その権威とは、西洋文化にある、一種の知的権威である。</w:t>
      </w:r>
    </w:p>
    <w:p w14:paraId="355383BF" w14:textId="77777777" w:rsidR="00BC7115" w:rsidRDefault="00BC7115" w:rsidP="006B14A9">
      <w:pPr>
        <w:pStyle w:val="a3"/>
        <w:ind w:leftChars="0" w:left="360"/>
        <w:rPr>
          <w:sz w:val="16"/>
          <w:szCs w:val="16"/>
        </w:rPr>
      </w:pPr>
      <w:r>
        <w:rPr>
          <w:rFonts w:hint="eastAsia"/>
          <w:sz w:val="16"/>
          <w:szCs w:val="16"/>
        </w:rPr>
        <w:t>第三に個人的な次元の動機である。中東で生まれ、西洋風の教育を受けた筆者にとって、混ざり気のない中東議論が為されないことは遺憾なことであった。</w:t>
      </w:r>
    </w:p>
    <w:p w14:paraId="5FF21671" w14:textId="77777777" w:rsidR="00BC7115" w:rsidRDefault="00BC7115" w:rsidP="006B14A9">
      <w:pPr>
        <w:pStyle w:val="a3"/>
        <w:ind w:leftChars="0" w:left="360"/>
        <w:rPr>
          <w:sz w:val="16"/>
          <w:szCs w:val="16"/>
        </w:rPr>
      </w:pPr>
    </w:p>
    <w:p w14:paraId="6553E802" w14:textId="77777777" w:rsidR="00BC7115" w:rsidRDefault="00BC7115" w:rsidP="006B14A9">
      <w:pPr>
        <w:pStyle w:val="a3"/>
        <w:ind w:leftChars="0" w:left="360"/>
        <w:rPr>
          <w:sz w:val="16"/>
          <w:szCs w:val="16"/>
        </w:rPr>
      </w:pPr>
    </w:p>
    <w:p w14:paraId="5EF87156" w14:textId="77777777" w:rsidR="00BC7115" w:rsidRDefault="00BC7115" w:rsidP="006B14A9">
      <w:pPr>
        <w:pStyle w:val="a3"/>
        <w:ind w:leftChars="0" w:left="360"/>
        <w:rPr>
          <w:sz w:val="16"/>
          <w:szCs w:val="16"/>
        </w:rPr>
      </w:pPr>
    </w:p>
    <w:p w14:paraId="7C20DD8F" w14:textId="77777777" w:rsidR="00BC7115" w:rsidRDefault="00BC7115" w:rsidP="006B14A9">
      <w:pPr>
        <w:pStyle w:val="a3"/>
        <w:ind w:leftChars="0" w:left="360"/>
        <w:rPr>
          <w:sz w:val="16"/>
          <w:szCs w:val="16"/>
        </w:rPr>
      </w:pPr>
    </w:p>
    <w:p w14:paraId="13E0B7AE" w14:textId="77777777" w:rsidR="00BC7115" w:rsidRDefault="00BC7115" w:rsidP="006B14A9">
      <w:pPr>
        <w:pStyle w:val="a3"/>
        <w:ind w:leftChars="0" w:left="360"/>
      </w:pPr>
      <w:r>
        <w:rPr>
          <w:rFonts w:hint="eastAsia"/>
        </w:rPr>
        <w:lastRenderedPageBreak/>
        <w:t>~</w:t>
      </w:r>
      <w:r>
        <w:rPr>
          <w:rFonts w:hint="eastAsia"/>
        </w:rPr>
        <w:t>第一章</w:t>
      </w:r>
      <w:r>
        <w:rPr>
          <w:rFonts w:hint="eastAsia"/>
        </w:rPr>
        <w:t>~</w:t>
      </w:r>
      <w:r>
        <w:rPr>
          <w:rFonts w:hint="eastAsia"/>
        </w:rPr>
        <w:t xml:space="preserve">　オリエンタリズムの領域</w:t>
      </w:r>
    </w:p>
    <w:p w14:paraId="2EF34416" w14:textId="77777777" w:rsidR="00BC7115" w:rsidRPr="00BC7115" w:rsidRDefault="00BC7115" w:rsidP="00BC7115">
      <w:pPr>
        <w:pStyle w:val="a3"/>
        <w:numPr>
          <w:ilvl w:val="0"/>
          <w:numId w:val="2"/>
        </w:numPr>
        <w:ind w:leftChars="0"/>
        <w:rPr>
          <w:sz w:val="20"/>
          <w:szCs w:val="20"/>
          <w:u w:val="double"/>
        </w:rPr>
      </w:pPr>
      <w:r w:rsidRPr="00BC7115">
        <w:rPr>
          <w:rFonts w:hint="eastAsia"/>
          <w:sz w:val="20"/>
          <w:szCs w:val="20"/>
          <w:u w:val="double"/>
        </w:rPr>
        <w:t>東洋人を知る</w:t>
      </w:r>
    </w:p>
    <w:p w14:paraId="4587CA79" w14:textId="2F5F5F6B" w:rsidR="00BC7115" w:rsidRDefault="002465FA" w:rsidP="00BC7115">
      <w:pPr>
        <w:pStyle w:val="a3"/>
        <w:ind w:leftChars="0" w:left="720"/>
        <w:rPr>
          <w:rFonts w:hint="eastAsia"/>
          <w:sz w:val="20"/>
          <w:szCs w:val="20"/>
        </w:rPr>
      </w:pPr>
      <w:r>
        <w:rPr>
          <w:rFonts w:hint="eastAsia"/>
          <w:sz w:val="20"/>
          <w:szCs w:val="20"/>
        </w:rPr>
        <w:t>サイードは、エジプトについて状況報告したバルフォアの言葉から論を展開する。バルフォアにとっての知識とは、文明を起源から概観する事であった。然しその調査や詮索から生まれる事実は、対象を固定させてしまう。その対象についての知識を得る事は、それを支配し、権威を及ぼす事である。我々が対象を知っているのは、それが、我々の知っているように、存在しているからである。</w:t>
      </w:r>
    </w:p>
    <w:p w14:paraId="369A7081" w14:textId="1895C409" w:rsidR="002465FA" w:rsidRDefault="002465FA" w:rsidP="00BC7115">
      <w:pPr>
        <w:pStyle w:val="a3"/>
        <w:ind w:leftChars="0" w:left="720"/>
        <w:rPr>
          <w:rFonts w:hint="eastAsia"/>
          <w:sz w:val="20"/>
          <w:szCs w:val="20"/>
        </w:rPr>
      </w:pPr>
      <w:r>
        <w:rPr>
          <w:rFonts w:hint="eastAsia"/>
          <w:sz w:val="20"/>
          <w:szCs w:val="20"/>
        </w:rPr>
        <w:t>東洋人は、異質ではあるが、組織された世界にいた。しかし、その世界は西洋によって操作されたものである。オリエントの知識は、力を背景にしたものであり、それ故に創造可能なものであった。</w:t>
      </w:r>
    </w:p>
    <w:p w14:paraId="449A158B" w14:textId="1ECFF439" w:rsidR="008D2092" w:rsidRDefault="008D2092" w:rsidP="00BC7115">
      <w:pPr>
        <w:pStyle w:val="a3"/>
        <w:ind w:leftChars="0" w:left="720"/>
        <w:rPr>
          <w:rFonts w:hint="eastAsia"/>
          <w:sz w:val="20"/>
          <w:szCs w:val="20"/>
        </w:rPr>
      </w:pPr>
      <w:r>
        <w:rPr>
          <w:rFonts w:hint="eastAsia"/>
          <w:sz w:val="20"/>
          <w:szCs w:val="20"/>
        </w:rPr>
        <w:t>ナポレオンの進軍以降、オリエントに関する知識体系は近代化された。この時以来、オリエンタリストにとっての関心は、詩文達の発見や体験を用語に定式化し、観念と現実を再組織する事へと変わる。</w:t>
      </w:r>
    </w:p>
    <w:p w14:paraId="2AD8F0F2" w14:textId="4344C6BC" w:rsidR="008D2092" w:rsidRPr="00BC7115" w:rsidRDefault="008D2092" w:rsidP="00BC7115">
      <w:pPr>
        <w:pStyle w:val="a3"/>
        <w:ind w:leftChars="0" w:left="720"/>
        <w:rPr>
          <w:rFonts w:hint="eastAsia"/>
          <w:sz w:val="20"/>
          <w:szCs w:val="20"/>
        </w:rPr>
      </w:pPr>
      <w:r>
        <w:rPr>
          <w:rFonts w:hint="eastAsia"/>
          <w:sz w:val="20"/>
          <w:szCs w:val="20"/>
        </w:rPr>
        <w:t>そして上記二つに加え、第三の形式としてのオリエンタリズムは、政治的ヴィジョンとして、西洋と東洋を、身内と他人を差別化する。</w:t>
      </w:r>
      <w:bookmarkStart w:id="0" w:name="_GoBack"/>
      <w:bookmarkEnd w:id="0"/>
    </w:p>
    <w:p w14:paraId="056F4C91" w14:textId="77777777" w:rsidR="00114BAD" w:rsidRPr="00271153" w:rsidRDefault="00114BAD" w:rsidP="00B25DE9">
      <w:pPr>
        <w:pStyle w:val="a3"/>
        <w:ind w:leftChars="0" w:left="360"/>
        <w:rPr>
          <w:sz w:val="16"/>
          <w:szCs w:val="16"/>
        </w:rPr>
      </w:pPr>
    </w:p>
    <w:sectPr w:rsidR="00114BAD" w:rsidRPr="00271153" w:rsidSect="00B55E1D">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F7E62" w14:textId="77777777" w:rsidR="002465FA" w:rsidRDefault="002465FA" w:rsidP="00B25DE9">
      <w:r>
        <w:separator/>
      </w:r>
    </w:p>
  </w:endnote>
  <w:endnote w:type="continuationSeparator" w:id="0">
    <w:p w14:paraId="4BEF76D3" w14:textId="77777777" w:rsidR="002465FA" w:rsidRDefault="002465FA" w:rsidP="00B2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90A87" w14:textId="77777777" w:rsidR="002465FA" w:rsidRDefault="002465FA" w:rsidP="00B25DE9">
      <w:r>
        <w:separator/>
      </w:r>
    </w:p>
  </w:footnote>
  <w:footnote w:type="continuationSeparator" w:id="0">
    <w:p w14:paraId="5B3561F2" w14:textId="77777777" w:rsidR="002465FA" w:rsidRDefault="002465FA" w:rsidP="00B25DE9">
      <w:r>
        <w:continuationSeparator/>
      </w:r>
    </w:p>
  </w:footnote>
  <w:footnote w:id="1">
    <w:p w14:paraId="1A577019" w14:textId="77777777" w:rsidR="002465FA" w:rsidRPr="00B25DE9" w:rsidRDefault="002465FA">
      <w:pPr>
        <w:pStyle w:val="a5"/>
        <w:rPr>
          <w:sz w:val="16"/>
          <w:szCs w:val="16"/>
        </w:rPr>
      </w:pPr>
      <w:r>
        <w:rPr>
          <w:rStyle w:val="a7"/>
        </w:rPr>
        <w:footnoteRef/>
      </w:r>
      <w:r>
        <w:t xml:space="preserve"> </w:t>
      </w:r>
      <w:r w:rsidRPr="00B25DE9">
        <w:rPr>
          <w:rFonts w:hint="eastAsia"/>
          <w:sz w:val="16"/>
          <w:szCs w:val="16"/>
        </w:rPr>
        <w:t>言説とはフーコーの最も重要な用語の一つである。</w:t>
      </w:r>
      <w:r>
        <w:rPr>
          <w:rFonts w:hint="eastAsia"/>
          <w:sz w:val="16"/>
          <w:szCs w:val="16"/>
        </w:rPr>
        <w:t>直感ではなく、論理、概念を経た秩序</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A5873"/>
    <w:multiLevelType w:val="hybridMultilevel"/>
    <w:tmpl w:val="03263C32"/>
    <w:lvl w:ilvl="0" w:tplc="5316FE78">
      <w:start w:val="1"/>
      <w:numFmt w:val="japaneseCounting"/>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731965F6"/>
    <w:multiLevelType w:val="hybridMultilevel"/>
    <w:tmpl w:val="F6605656"/>
    <w:lvl w:ilvl="0" w:tplc="E44A881A">
      <w:start w:val="1"/>
      <w:numFmt w:val="japaneseCounting"/>
      <w:lvlText w:val="(%1)"/>
      <w:lvlJc w:val="left"/>
      <w:pPr>
        <w:ind w:left="720" w:hanging="36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1D"/>
    <w:rsid w:val="00114BAD"/>
    <w:rsid w:val="00136FE9"/>
    <w:rsid w:val="002465FA"/>
    <w:rsid w:val="00271153"/>
    <w:rsid w:val="003B0A03"/>
    <w:rsid w:val="0065674E"/>
    <w:rsid w:val="006B14A9"/>
    <w:rsid w:val="006C3FB9"/>
    <w:rsid w:val="006E4EBF"/>
    <w:rsid w:val="0085356A"/>
    <w:rsid w:val="008D2092"/>
    <w:rsid w:val="00B25DE9"/>
    <w:rsid w:val="00B55E1D"/>
    <w:rsid w:val="00BC7115"/>
    <w:rsid w:val="00C8148F"/>
    <w:rsid w:val="00DB6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C25A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56A"/>
    <w:pPr>
      <w:ind w:leftChars="400" w:left="960"/>
    </w:pPr>
  </w:style>
  <w:style w:type="table" w:styleId="a4">
    <w:name w:val="Table Grid"/>
    <w:basedOn w:val="a1"/>
    <w:uiPriority w:val="59"/>
    <w:rsid w:val="00853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note text"/>
    <w:basedOn w:val="a"/>
    <w:link w:val="a6"/>
    <w:uiPriority w:val="99"/>
    <w:unhideWhenUsed/>
    <w:rsid w:val="00B25DE9"/>
    <w:pPr>
      <w:snapToGrid w:val="0"/>
      <w:jc w:val="left"/>
    </w:pPr>
  </w:style>
  <w:style w:type="character" w:customStyle="1" w:styleId="a6">
    <w:name w:val="脚注文字列 (文字)"/>
    <w:basedOn w:val="a0"/>
    <w:link w:val="a5"/>
    <w:uiPriority w:val="99"/>
    <w:rsid w:val="00B25DE9"/>
  </w:style>
  <w:style w:type="character" w:styleId="a7">
    <w:name w:val="footnote reference"/>
    <w:basedOn w:val="a0"/>
    <w:uiPriority w:val="99"/>
    <w:unhideWhenUsed/>
    <w:rsid w:val="00B25DE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56A"/>
    <w:pPr>
      <w:ind w:leftChars="400" w:left="960"/>
    </w:pPr>
  </w:style>
  <w:style w:type="table" w:styleId="a4">
    <w:name w:val="Table Grid"/>
    <w:basedOn w:val="a1"/>
    <w:uiPriority w:val="59"/>
    <w:rsid w:val="00853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note text"/>
    <w:basedOn w:val="a"/>
    <w:link w:val="a6"/>
    <w:uiPriority w:val="99"/>
    <w:unhideWhenUsed/>
    <w:rsid w:val="00B25DE9"/>
    <w:pPr>
      <w:snapToGrid w:val="0"/>
      <w:jc w:val="left"/>
    </w:pPr>
  </w:style>
  <w:style w:type="character" w:customStyle="1" w:styleId="a6">
    <w:name w:val="脚注文字列 (文字)"/>
    <w:basedOn w:val="a0"/>
    <w:link w:val="a5"/>
    <w:uiPriority w:val="99"/>
    <w:rsid w:val="00B25DE9"/>
  </w:style>
  <w:style w:type="character" w:styleId="a7">
    <w:name w:val="footnote reference"/>
    <w:basedOn w:val="a0"/>
    <w:uiPriority w:val="99"/>
    <w:unhideWhenUsed/>
    <w:rsid w:val="00B25D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2DD37-FCBB-EB4C-83FD-70FFE808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Pages>
  <Words>288</Words>
  <Characters>1647</Characters>
  <Application>Microsoft Macintosh Word</Application>
  <DocSecurity>0</DocSecurity>
  <Lines>13</Lines>
  <Paragraphs>3</Paragraphs>
  <ScaleCrop>false</ScaleCrop>
  <Company>慶應義塾大学　総合政策学部</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cp:revision>
  <dcterms:created xsi:type="dcterms:W3CDTF">2014-12-09T13:31:00Z</dcterms:created>
  <dcterms:modified xsi:type="dcterms:W3CDTF">2014-12-11T08:15:00Z</dcterms:modified>
</cp:coreProperties>
</file>