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GPU FinOps Optimization Workshop – Oral Check Answers</w:t>
      </w:r>
    </w:p>
    <w:p>
      <w:pPr>
        <w:pStyle w:val="Heading2"/>
      </w:pPr>
      <w:r>
        <w:t>1. GPU-Util 98% có nghĩa là GPU đang làm việc hiệu quả không? Tại sao?</w:t>
      </w:r>
    </w:p>
    <w:p>
      <w:r>
        <w:t>Không nhất thiết. GPU Utilization chỉ cho biết GPU đang bận, không phản ánh hiệu quả kinh tế hay hiệu năng thực tế. Cần xem thêm throughput (tokens/s), cost/token, memory bandwidth, Tensor Core utilization và SM occupancy. GPU có thể đạt 98% utilization nhưng vẫn cho throughput thấp hoặc chi phí trên mỗi token cao.</w:t>
      </w:r>
    </w:p>
    <w:p>
      <w:pPr>
        <w:pStyle w:val="Heading2"/>
      </w:pPr>
      <w:r>
        <w:t>2. Tại sao cần ≥ 80% tag coverage mới dám chargeback?</w:t>
      </w:r>
    </w:p>
    <w:p>
      <w:r>
        <w:t>Chargeback yêu cầu phân bổ chi phí chính xác cho các nhóm sử dụng. Nếu phần lớn chi phí không được gắn tag, không thể xác định đội nào đang tiêu thụ tài nguyên. Coverage từ 80% trở lên giúp giảm sai số và tăng độ tin cậy của việc phân bổ chi phí.</w:t>
      </w:r>
    </w:p>
    <w:p>
      <w:pPr>
        <w:pStyle w:val="Heading2"/>
      </w:pPr>
      <w:r>
        <w:t>3. Nếu công ty có 70% workload interruptible, bạn sẽ tối ưu purchasing như thế nào?</w:t>
      </w:r>
    </w:p>
    <w:p>
      <w:r>
        <w:t>Nên tận dụng Spot/Preemptible instances cho phần lớn workload có thể bị gián đoạn như training, batch inference, embedding generation. Phần workload yêu cầu SLA cao nên dùng Reserved hoặc On-Demand. Chiến lược phổ biến là Reserved cho base load và Spot cho burst load.</w:t>
      </w:r>
    </w:p>
    <w:p>
      <w:pPr>
        <w:pStyle w:val="Heading2"/>
      </w:pPr>
      <w:r>
        <w:t>4. Đo bằng $/GPU-hr vs $/1M-token — khi nào cho kết quả trái ngược nhau?</w:t>
      </w:r>
    </w:p>
    <w:p>
      <w:r>
        <w:t>Một hệ thống có thể rẻ hơn theo giờ GPU nhưng tạo ra ít token hơn. Khi đó $/GPU-hr thấp nhưng $/1M-token lại cao. $/GPU-hr đo chi phí hạ tầng, còn $/1M-token đo chi phí đầu ra. Trong AI FinOps, chi phí đầu ra thường có ý nghĩa kinh doanh hơn.</w:t>
      </w:r>
    </w:p>
    <w:p>
      <w:pPr>
        <w:pStyle w:val="Heading2"/>
      </w:pPr>
      <w:r>
        <w:t>5. Tại sao LLM decode là memory-bound còn prefill là compute-bound?</w:t>
      </w:r>
    </w:p>
    <w:p>
      <w:r>
        <w:t>Prefill xử lý toàn bộ prompt cùng lúc nên cần lượng lớn phép nhân ma trận và FLOPs, do đó bị giới hạn bởi năng lực tính toán (compute-bound). Decode sinh từng token một, khối lượng tính toán nhỏ hơn nhưng phải liên tục đọc weights và KV cache từ bộ nhớ, nên bị giới hạn bởi truy cập bộ nhớ (memory-bound).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