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76F6B" w14:textId="77777777" w:rsidR="0025066F" w:rsidRPr="001057DC" w:rsidRDefault="00D65445">
      <w:pPr>
        <w:pStyle w:val="Titel"/>
        <w:rPr>
          <w:lang w:val="nl-NL"/>
        </w:rPr>
      </w:pPr>
      <w:r w:rsidRPr="001057DC">
        <w:rPr>
          <w:lang w:val="nl-NL"/>
        </w:rPr>
        <w:t>Rezzerv - QA/QC-handvest v9</w:t>
      </w:r>
    </w:p>
    <w:p w14:paraId="11AA5BB4" w14:textId="77777777" w:rsidR="0025066F" w:rsidRPr="001057DC" w:rsidRDefault="00D65445">
      <w:pPr>
        <w:rPr>
          <w:lang w:val="nl-NL"/>
        </w:rPr>
      </w:pPr>
      <w:r w:rsidRPr="001057DC">
        <w:rPr>
          <w:i/>
          <w:color w:val="505050"/>
          <w:lang w:val="nl-NL"/>
        </w:rPr>
        <w:t>Doel: kwaliteitsverlies voorkomen, regressies vroeg stoppen en alleen gecontroleerde releases naar de PO laten gaan.</w:t>
      </w:r>
    </w:p>
    <w:tbl>
      <w:tblPr>
        <w:tblW w:w="0" w:type="auto"/>
        <w:tblBorders>
          <w:top w:val="single" w:sz="8" w:space="0" w:color="D5DED7"/>
          <w:left w:val="single" w:sz="8" w:space="0" w:color="D5DED7"/>
          <w:bottom w:val="single" w:sz="8" w:space="0" w:color="D5DED7"/>
          <w:right w:val="single" w:sz="8" w:space="0" w:color="D5DED7"/>
          <w:insideH w:val="single" w:sz="8" w:space="0" w:color="D5DED7"/>
          <w:insideV w:val="single" w:sz="8" w:space="0" w:color="D5DED7"/>
        </w:tblBorders>
        <w:tblLayout w:type="fixed"/>
        <w:tblLook w:val="04A0" w:firstRow="1" w:lastRow="0" w:firstColumn="1" w:lastColumn="0" w:noHBand="0" w:noVBand="1"/>
      </w:tblPr>
      <w:tblGrid>
        <w:gridCol w:w="3024"/>
        <w:gridCol w:w="7056"/>
      </w:tblGrid>
      <w:tr w:rsidR="0025066F" w:rsidRPr="00582B6D" w14:paraId="7D9B4EF4" w14:textId="77777777">
        <w:tc>
          <w:tcPr>
            <w:tcW w:w="3024" w:type="dxa"/>
            <w:shd w:val="clear" w:color="auto" w:fill="EEF4EF"/>
          </w:tcPr>
          <w:p w14:paraId="4F8CB738" w14:textId="77777777" w:rsidR="0025066F" w:rsidRDefault="00D65445">
            <w:pPr>
              <w:spacing w:before="80" w:after="80"/>
            </w:pPr>
            <w:r>
              <w:rPr>
                <w:b/>
                <w:color w:val="13452D"/>
              </w:rPr>
              <w:t>Status van QA/QC</w:t>
            </w:r>
          </w:p>
        </w:tc>
        <w:tc>
          <w:tcPr>
            <w:tcW w:w="7056" w:type="dxa"/>
          </w:tcPr>
          <w:p w14:paraId="645DCD56" w14:textId="77777777" w:rsidR="0025066F" w:rsidRPr="001057DC" w:rsidRDefault="00D65445">
            <w:pPr>
              <w:spacing w:before="80" w:after="80"/>
              <w:rPr>
                <w:lang w:val="nl-NL"/>
              </w:rPr>
            </w:pPr>
            <w:r w:rsidRPr="001057DC">
              <w:rPr>
                <w:lang w:val="nl-NL"/>
              </w:rPr>
              <w:t>Poortrol tussen engineer en PO</w:t>
            </w:r>
          </w:p>
        </w:tc>
      </w:tr>
      <w:tr w:rsidR="0025066F" w:rsidRPr="00582B6D" w14:paraId="62C27511" w14:textId="77777777">
        <w:tc>
          <w:tcPr>
            <w:tcW w:w="3024" w:type="dxa"/>
            <w:shd w:val="clear" w:color="auto" w:fill="EEF4EF"/>
          </w:tcPr>
          <w:p w14:paraId="4A30EA5D" w14:textId="77777777" w:rsidR="0025066F" w:rsidRDefault="00D65445">
            <w:pPr>
              <w:spacing w:before="80" w:after="80"/>
            </w:pPr>
            <w:r>
              <w:rPr>
                <w:b/>
                <w:color w:val="13452D"/>
              </w:rPr>
              <w:t>Kernbeslissing</w:t>
            </w:r>
          </w:p>
        </w:tc>
        <w:tc>
          <w:tcPr>
            <w:tcW w:w="7056" w:type="dxa"/>
          </w:tcPr>
          <w:p w14:paraId="519BD836" w14:textId="77777777" w:rsidR="0025066F" w:rsidRPr="001057DC" w:rsidRDefault="00D65445">
            <w:pPr>
              <w:spacing w:before="80" w:after="80"/>
              <w:rPr>
                <w:lang w:val="nl-NL"/>
              </w:rPr>
            </w:pPr>
            <w:r w:rsidRPr="001057DC">
              <w:rPr>
                <w:lang w:val="nl-NL"/>
              </w:rPr>
              <w:t>Geen QA/QC-groen = geen release naar de PO</w:t>
            </w:r>
          </w:p>
        </w:tc>
      </w:tr>
    </w:tbl>
    <w:p w14:paraId="59120B21" w14:textId="77777777" w:rsidR="0025066F" w:rsidRPr="001057DC" w:rsidRDefault="0025066F">
      <w:pPr>
        <w:rPr>
          <w:lang w:val="nl-NL"/>
        </w:rPr>
      </w:pPr>
    </w:p>
    <w:p w14:paraId="2441D7CB" w14:textId="77777777" w:rsidR="0025066F" w:rsidRDefault="00D65445">
      <w:pPr>
        <w:pStyle w:val="Kop1"/>
      </w:pPr>
      <w:r>
        <w:t>1. Rol en mandaat</w:t>
      </w:r>
    </w:p>
    <w:p w14:paraId="0D004251" w14:textId="77777777" w:rsidR="0025066F" w:rsidRPr="001057DC" w:rsidRDefault="00D65445">
      <w:pPr>
        <w:pStyle w:val="Lijstopsomteken"/>
        <w:rPr>
          <w:lang w:val="nl-NL"/>
        </w:rPr>
      </w:pPr>
      <w:r w:rsidRPr="001057DC">
        <w:rPr>
          <w:lang w:val="nl-NL"/>
        </w:rPr>
        <w:t>QA/QC is de kwaliteitswachter tussen engineer en PO.</w:t>
      </w:r>
    </w:p>
    <w:p w14:paraId="5DFCE069" w14:textId="77777777" w:rsidR="0025066F" w:rsidRPr="001057DC" w:rsidRDefault="00D65445">
      <w:pPr>
        <w:pStyle w:val="Lijstopsomteken"/>
        <w:rPr>
          <w:lang w:val="nl-NL"/>
        </w:rPr>
      </w:pPr>
      <w:r w:rsidRPr="001057DC">
        <w:rPr>
          <w:lang w:val="nl-NL"/>
        </w:rPr>
        <w:t>De rol heeft vetorecht: geen QA/QC-groen betekent geen release naar de PO. Twijfel over basis, packaging of regressie blokkeert de release automatisch.</w:t>
      </w:r>
    </w:p>
    <w:p w14:paraId="493A04D2" w14:textId="77777777" w:rsidR="0025066F" w:rsidRPr="001057DC" w:rsidRDefault="00D65445">
      <w:pPr>
        <w:pStyle w:val="Lijstopsomteken"/>
        <w:rPr>
          <w:lang w:val="nl-NL"/>
        </w:rPr>
      </w:pPr>
      <w:r w:rsidRPr="001057DC">
        <w:rPr>
          <w:lang w:val="nl-NL"/>
        </w:rPr>
        <w:t>Nieuwe functionaliteit weegt nooit zwaarder dan gebroken bestaande functionaliteit.</w:t>
      </w:r>
    </w:p>
    <w:p w14:paraId="51D7BC9D" w14:textId="77777777" w:rsidR="0025066F" w:rsidRPr="001057DC" w:rsidRDefault="00D65445">
      <w:pPr>
        <w:pStyle w:val="Kop1"/>
        <w:rPr>
          <w:lang w:val="nl-NL"/>
        </w:rPr>
      </w:pPr>
      <w:r w:rsidRPr="001057DC">
        <w:rPr>
          <w:lang w:val="nl-NL"/>
        </w:rPr>
        <w:t>2. Kerndoel</w:t>
      </w:r>
    </w:p>
    <w:p w14:paraId="5C6BA215" w14:textId="77777777" w:rsidR="0025066F" w:rsidRPr="001057DC" w:rsidRDefault="00D65445">
      <w:pPr>
        <w:rPr>
          <w:lang w:val="nl-NL"/>
        </w:rPr>
      </w:pPr>
      <w:r w:rsidRPr="001057DC">
        <w:rPr>
          <w:lang w:val="nl-NL"/>
        </w:rPr>
        <w:t>QA/QC borgt dat een release op de juiste basis is gebouwd, volledig en geloofwaardig is verpakt, het bedoelde wijzigingsdoel echt bevat, geen zichtbare regressie veroorzaakt en toetsbaar is voor de PO in gewone gebruikerstermen.</w:t>
      </w:r>
    </w:p>
    <w:p w14:paraId="2835F1AC" w14:textId="77777777" w:rsidR="0025066F" w:rsidRDefault="00D65445">
      <w:pPr>
        <w:pStyle w:val="Kop1"/>
      </w:pPr>
      <w:r>
        <w:t>3. Centrale regels</w:t>
      </w:r>
    </w:p>
    <w:p w14:paraId="3885187E" w14:textId="77777777" w:rsidR="0025066F" w:rsidRDefault="00D65445">
      <w:pPr>
        <w:pStyle w:val="Lijstnummering"/>
        <w:spacing w:after="40"/>
      </w:pPr>
      <w:r>
        <w:rPr>
          <w:b/>
        </w:rPr>
        <w:t>Regel 1 — Eén betrouwbare basis</w:t>
      </w:r>
    </w:p>
    <w:p w14:paraId="65097EC6" w14:textId="77777777" w:rsidR="0025066F" w:rsidRPr="001057DC" w:rsidRDefault="00D65445">
      <w:pPr>
        <w:spacing w:after="100"/>
        <w:ind w:left="403"/>
        <w:rPr>
          <w:lang w:val="nl-NL"/>
        </w:rPr>
      </w:pPr>
      <w:r w:rsidRPr="001057DC">
        <w:rPr>
          <w:lang w:val="nl-NL"/>
        </w:rPr>
        <w:t>Elke release vermeldt expliciet op welke vorige versie zij bouwt, waarom die basis betrouwbaar is en dat niet ongemerkt is teruggevallen naar een oudere of verkeerde codebasis.</w:t>
      </w:r>
    </w:p>
    <w:p w14:paraId="38516C70" w14:textId="77777777" w:rsidR="0025066F" w:rsidRDefault="00D65445">
      <w:pPr>
        <w:pStyle w:val="Lijstnummering"/>
        <w:spacing w:after="40"/>
      </w:pPr>
      <w:r>
        <w:rPr>
          <w:b/>
        </w:rPr>
        <w:t>Regel 2 — Eén hoofddoel per release</w:t>
      </w:r>
    </w:p>
    <w:p w14:paraId="26B9DDDB" w14:textId="77777777" w:rsidR="0025066F" w:rsidRPr="001057DC" w:rsidRDefault="00D65445">
      <w:pPr>
        <w:spacing w:after="100"/>
        <w:ind w:left="403"/>
        <w:rPr>
          <w:lang w:val="nl-NL"/>
        </w:rPr>
      </w:pPr>
      <w:r w:rsidRPr="001057DC">
        <w:rPr>
          <w:lang w:val="nl-NL"/>
        </w:rPr>
        <w:t>Elke release heeft exact één hoofddoel. Gemengde releases zijn niet toegestaan.</w:t>
      </w:r>
    </w:p>
    <w:p w14:paraId="4380D3E1" w14:textId="77777777" w:rsidR="0025066F" w:rsidRDefault="00D65445">
      <w:pPr>
        <w:pStyle w:val="Lijstnummering"/>
        <w:spacing w:after="40"/>
      </w:pPr>
      <w:r>
        <w:rPr>
          <w:b/>
        </w:rPr>
        <w:t>Regel 3 — Geen claim zonder bewijs</w:t>
      </w:r>
    </w:p>
    <w:p w14:paraId="404D36DB" w14:textId="02BBC6E3" w:rsidR="0025066F" w:rsidRPr="001057DC" w:rsidRDefault="00D65445">
      <w:pPr>
        <w:spacing w:after="100"/>
        <w:ind w:left="403"/>
        <w:rPr>
          <w:lang w:val="nl-NL"/>
        </w:rPr>
      </w:pPr>
      <w:r w:rsidRPr="001057DC">
        <w:rPr>
          <w:lang w:val="nl-NL"/>
        </w:rPr>
        <w:t>Woorden als uitgevoerd, gereed, opgelost of gefixt mogen pas worden gebruikt als aantoonbaar is welke basisversie is gebruikt, welke bestanden zijn aangepast, welke acceptatiecheck is geslaagd en welke risico’s nog openstaan.</w:t>
      </w:r>
      <w:r w:rsidR="00D44495">
        <w:rPr>
          <w:lang w:val="nl-NL"/>
        </w:rPr>
        <w:t xml:space="preserve"> Een eis is dat een claim altijd gebaseerd is op onderzoek van de voorgaande versie (zip).</w:t>
      </w:r>
    </w:p>
    <w:p w14:paraId="6D3E3A69" w14:textId="77777777" w:rsidR="0025066F" w:rsidRDefault="00D65445">
      <w:pPr>
        <w:pStyle w:val="Lijstnummering"/>
        <w:spacing w:after="40"/>
      </w:pPr>
      <w:r>
        <w:rPr>
          <w:b/>
        </w:rPr>
        <w:t>Regel 4 — Regressie wint altijd</w:t>
      </w:r>
    </w:p>
    <w:p w14:paraId="0753B998" w14:textId="08C3AC00" w:rsidR="0025066F" w:rsidRPr="001057DC" w:rsidRDefault="00D65445">
      <w:pPr>
        <w:spacing w:after="100"/>
        <w:ind w:left="403"/>
        <w:rPr>
          <w:lang w:val="nl-NL"/>
        </w:rPr>
      </w:pPr>
      <w:r w:rsidRPr="001057DC">
        <w:rPr>
          <w:lang w:val="nl-NL"/>
        </w:rPr>
        <w:t>Als een nieuwe versie bestaande werkende functionaliteit aantast, is de release afgekeurd, ook als de nieuwe wijziging deels werkt.</w:t>
      </w:r>
      <w:r w:rsidR="001057DC" w:rsidRPr="001057DC">
        <w:rPr>
          <w:lang w:val="nl-NL"/>
        </w:rPr>
        <w:t xml:space="preserve"> </w:t>
      </w:r>
      <w:r w:rsidR="001057DC">
        <w:rPr>
          <w:lang w:val="nl-NL"/>
        </w:rPr>
        <w:t>Dus ook g</w:t>
      </w:r>
      <w:r w:rsidR="001057DC" w:rsidRPr="001057DC">
        <w:rPr>
          <w:lang w:val="nl-NL"/>
        </w:rPr>
        <w:t>een zip meer naar de PO zolang laag 1, laag 2 en laag 3 niet minimaal akkoord zijn voor de scope die door de release geraakt wordt.</w:t>
      </w:r>
    </w:p>
    <w:p w14:paraId="3203C1FA" w14:textId="77777777" w:rsidR="0025066F" w:rsidRDefault="00D65445">
      <w:pPr>
        <w:pStyle w:val="Lijstnummering"/>
        <w:spacing w:after="40"/>
      </w:pPr>
      <w:r>
        <w:rPr>
          <w:b/>
        </w:rPr>
        <w:t>Regel 5 — Instellingenfundament eerst</w:t>
      </w:r>
    </w:p>
    <w:p w14:paraId="553571C8" w14:textId="77777777" w:rsidR="0025066F" w:rsidRPr="001057DC" w:rsidRDefault="00D65445">
      <w:pPr>
        <w:spacing w:after="100"/>
        <w:ind w:left="403"/>
        <w:rPr>
          <w:lang w:val="nl-NL"/>
        </w:rPr>
      </w:pPr>
      <w:r w:rsidRPr="001057DC">
        <w:rPr>
          <w:lang w:val="nl-NL"/>
        </w:rPr>
        <w:t>Als instellingen niet betrouwbaar zichtbaar zijn, opslaan of terugkomen na refresh of opnieuw openen, dan zijn functionele vervolgtests ongeldig.</w:t>
      </w:r>
    </w:p>
    <w:p w14:paraId="7E5AD6F3" w14:textId="77777777" w:rsidR="0025066F" w:rsidRDefault="00D65445">
      <w:pPr>
        <w:pStyle w:val="Lijstnummering"/>
        <w:spacing w:after="40"/>
      </w:pPr>
      <w:r>
        <w:rPr>
          <w:b/>
        </w:rPr>
        <w:t>Regel 6 — Productbesluit is leidend</w:t>
      </w:r>
    </w:p>
    <w:p w14:paraId="7DF52B8C" w14:textId="77777777" w:rsidR="0025066F" w:rsidRPr="001057DC" w:rsidRDefault="00D65445">
      <w:pPr>
        <w:spacing w:after="100"/>
        <w:ind w:left="403"/>
        <w:rPr>
          <w:lang w:val="nl-NL"/>
        </w:rPr>
      </w:pPr>
      <w:r w:rsidRPr="001057DC">
        <w:rPr>
          <w:lang w:val="nl-NL"/>
        </w:rPr>
        <w:lastRenderedPageBreak/>
        <w:t>Als de PO een functionele keuze heeft vastgelegd, mag een volgende release daar niet stilzwijgend van afwijken.</w:t>
      </w:r>
    </w:p>
    <w:p w14:paraId="4194A30E" w14:textId="77777777" w:rsidR="0025066F" w:rsidRDefault="00D65445">
      <w:pPr>
        <w:pStyle w:val="Lijstnummering"/>
        <w:spacing w:after="40"/>
      </w:pPr>
      <w:r>
        <w:rPr>
          <w:b/>
        </w:rPr>
        <w:t>Regel 7 — Diagnose mag niets verdringen</w:t>
      </w:r>
    </w:p>
    <w:p w14:paraId="7E401A09" w14:textId="77777777" w:rsidR="0025066F" w:rsidRPr="001057DC" w:rsidRDefault="00D65445">
      <w:pPr>
        <w:spacing w:after="100"/>
        <w:ind w:left="403"/>
        <w:rPr>
          <w:lang w:val="nl-NL"/>
        </w:rPr>
      </w:pPr>
      <w:r w:rsidRPr="001057DC">
        <w:rPr>
          <w:lang w:val="nl-NL"/>
        </w:rPr>
        <w:t>Diagnose, debug of logging mag alleen toegevoegd worden bovenop bestaande werkende functionaliteit, nooit ten koste daarvan.</w:t>
      </w:r>
    </w:p>
    <w:p w14:paraId="7C33D62F" w14:textId="77777777" w:rsidR="0025066F" w:rsidRPr="001057DC" w:rsidRDefault="00D65445">
      <w:pPr>
        <w:pStyle w:val="Lijstnummering"/>
        <w:spacing w:after="40"/>
        <w:rPr>
          <w:lang w:val="nl-NL"/>
        </w:rPr>
      </w:pPr>
      <w:r w:rsidRPr="001057DC">
        <w:rPr>
          <w:b/>
          <w:lang w:val="nl-NL"/>
        </w:rPr>
        <w:t>Regel 8 — Packaging is onderdeel van kwaliteit</w:t>
      </w:r>
    </w:p>
    <w:p w14:paraId="6BACC048" w14:textId="3FB6C118" w:rsidR="0025066F" w:rsidRPr="001057DC" w:rsidRDefault="00D65445">
      <w:pPr>
        <w:spacing w:after="100"/>
        <w:ind w:left="403"/>
        <w:rPr>
          <w:lang w:val="nl-NL"/>
        </w:rPr>
      </w:pPr>
      <w:r w:rsidRPr="001057DC">
        <w:rPr>
          <w:lang w:val="nl-NL"/>
        </w:rPr>
        <w:t>Een zip is pas acceptabel als de inhoud volledig is, de structuur logisch is en de omvang geloofwaardig is ten opzichte van eerdere volledige releases.</w:t>
      </w:r>
      <w:r w:rsidR="00D44495">
        <w:rPr>
          <w:lang w:val="nl-NL"/>
        </w:rPr>
        <w:t xml:space="preserve"> De package moet compleet en zelfstandig zijn, dus niet alleen de wijzigingen ten opzichte van een vorige versie.</w:t>
      </w:r>
      <w:r w:rsidR="006A1E58">
        <w:rPr>
          <w:lang w:val="nl-NL"/>
        </w:rPr>
        <w:t xml:space="preserve"> En al zeker geen patches.</w:t>
      </w:r>
      <w:r w:rsidR="007F4324">
        <w:rPr>
          <w:lang w:val="nl-NL"/>
        </w:rPr>
        <w:t xml:space="preserve"> Een versie heeft altijd de naam Rezzerv-v99.99.99 waarbij 9 staat voor een cijfer en elke versie wordt met 1 opgehoogd.</w:t>
      </w:r>
      <w:r w:rsidR="00582B6D">
        <w:rPr>
          <w:lang w:val="nl-NL"/>
        </w:rPr>
        <w:t xml:space="preserve"> Per versie wordt een complete zip aangeboden en die bevat geen toelichting op de versie. Die toelichting moet aangeboden worden in de chat en niet de zip zelf.</w:t>
      </w:r>
    </w:p>
    <w:p w14:paraId="5D598A0F" w14:textId="77777777" w:rsidR="0025066F" w:rsidRPr="001057DC" w:rsidRDefault="00D65445">
      <w:pPr>
        <w:pStyle w:val="Lijstnummering"/>
        <w:spacing w:after="40"/>
        <w:rPr>
          <w:lang w:val="nl-NL"/>
        </w:rPr>
      </w:pPr>
      <w:r w:rsidRPr="001057DC">
        <w:rPr>
          <w:b/>
          <w:lang w:val="nl-NL"/>
        </w:rPr>
        <w:t>Regel 9 — De PO is geen technische kwaliteitscontroleur</w:t>
      </w:r>
    </w:p>
    <w:p w14:paraId="4F123DAF" w14:textId="77777777" w:rsidR="0025066F" w:rsidRPr="001057DC" w:rsidRDefault="00D65445">
      <w:pPr>
        <w:spacing w:after="100"/>
        <w:ind w:left="403"/>
        <w:rPr>
          <w:lang w:val="nl-NL"/>
        </w:rPr>
      </w:pPr>
      <w:r w:rsidRPr="001057DC">
        <w:rPr>
          <w:lang w:val="nl-NL"/>
        </w:rPr>
        <w:t>De PO toetst functioneel gedrag en hoort geen packagingfouten, verkeerde basisversies of regressies vooraf te moeten ontdekken.</w:t>
      </w:r>
    </w:p>
    <w:p w14:paraId="09D5536B" w14:textId="77777777" w:rsidR="0025066F" w:rsidRPr="001057DC" w:rsidRDefault="00D65445">
      <w:pPr>
        <w:pStyle w:val="Lijstnummering"/>
        <w:spacing w:after="40"/>
        <w:rPr>
          <w:lang w:val="nl-NL"/>
        </w:rPr>
      </w:pPr>
      <w:r w:rsidRPr="001057DC">
        <w:rPr>
          <w:b/>
          <w:lang w:val="nl-NL"/>
        </w:rPr>
        <w:t>Regel 10 — Bij herhaalde misser: stop en reset</w:t>
      </w:r>
    </w:p>
    <w:p w14:paraId="57EDF87A" w14:textId="77777777" w:rsidR="0025066F" w:rsidRPr="001057DC" w:rsidRDefault="00D65445">
      <w:pPr>
        <w:spacing w:after="100"/>
        <w:ind w:left="403"/>
        <w:rPr>
          <w:lang w:val="nl-NL"/>
        </w:rPr>
      </w:pPr>
      <w:r w:rsidRPr="001057DC">
        <w:rPr>
          <w:lang w:val="nl-NL"/>
        </w:rPr>
        <w:t>Bij twee misleidende of regressieve opleveringen op rij geldt: geen doorpatchen, eerst terug naar de laatste betrouwbare basis en de oorzaak vaststellen.</w:t>
      </w:r>
    </w:p>
    <w:p w14:paraId="5F623A88" w14:textId="77777777" w:rsidR="0025066F" w:rsidRPr="001057DC" w:rsidRDefault="00D65445">
      <w:pPr>
        <w:pStyle w:val="Kop1"/>
        <w:rPr>
          <w:lang w:val="nl-NL"/>
        </w:rPr>
      </w:pPr>
      <w:r w:rsidRPr="001057DC">
        <w:rPr>
          <w:lang w:val="nl-NL"/>
        </w:rPr>
        <w:t>4. Verplichte QA/QC-poort vóór elke release</w:t>
      </w:r>
    </w:p>
    <w:tbl>
      <w:tblPr>
        <w:tblW w:w="14040" w:type="dxa"/>
        <w:tblBorders>
          <w:top w:val="single" w:sz="8" w:space="0" w:color="D5DED7"/>
          <w:left w:val="single" w:sz="8" w:space="0" w:color="D5DED7"/>
          <w:bottom w:val="single" w:sz="8" w:space="0" w:color="D5DED7"/>
          <w:right w:val="single" w:sz="8" w:space="0" w:color="D5DED7"/>
          <w:insideH w:val="single" w:sz="8" w:space="0" w:color="D5DED7"/>
          <w:insideV w:val="single" w:sz="8" w:space="0" w:color="D5DED7"/>
        </w:tblBorders>
        <w:tblLayout w:type="fixed"/>
        <w:tblLook w:val="04A0" w:firstRow="1" w:lastRow="0" w:firstColumn="1" w:lastColumn="0" w:noHBand="0" w:noVBand="1"/>
      </w:tblPr>
      <w:tblGrid>
        <w:gridCol w:w="841"/>
        <w:gridCol w:w="13199"/>
      </w:tblGrid>
      <w:tr w:rsidR="0025066F" w14:paraId="5CD0F76A" w14:textId="77777777" w:rsidTr="00573FF9">
        <w:trPr>
          <w:tblHeader/>
        </w:trPr>
        <w:tc>
          <w:tcPr>
            <w:tcW w:w="841" w:type="dxa"/>
            <w:shd w:val="clear" w:color="auto" w:fill="EEF4EF"/>
          </w:tcPr>
          <w:p w14:paraId="566C67EB" w14:textId="77777777" w:rsidR="0025066F" w:rsidRDefault="00D65445">
            <w:r>
              <w:rPr>
                <w:b/>
                <w:color w:val="13452D"/>
              </w:rPr>
              <w:t>#</w:t>
            </w:r>
          </w:p>
        </w:tc>
        <w:tc>
          <w:tcPr>
            <w:tcW w:w="13199" w:type="dxa"/>
            <w:shd w:val="clear" w:color="auto" w:fill="EEF4EF"/>
          </w:tcPr>
          <w:p w14:paraId="17DB8D85" w14:textId="77777777" w:rsidR="0025066F" w:rsidRDefault="00D65445">
            <w:r>
              <w:rPr>
                <w:b/>
                <w:color w:val="13452D"/>
              </w:rPr>
              <w:t>Controlepunt</w:t>
            </w:r>
          </w:p>
        </w:tc>
      </w:tr>
      <w:tr w:rsidR="0025066F" w14:paraId="1660C706" w14:textId="77777777" w:rsidTr="00573FF9">
        <w:tc>
          <w:tcPr>
            <w:tcW w:w="841" w:type="dxa"/>
          </w:tcPr>
          <w:p w14:paraId="57B07E04" w14:textId="77777777" w:rsidR="0025066F" w:rsidRDefault="00D65445">
            <w:pPr>
              <w:jc w:val="center"/>
            </w:pPr>
            <w:r>
              <w:t>1</w:t>
            </w:r>
          </w:p>
        </w:tc>
        <w:tc>
          <w:tcPr>
            <w:tcW w:w="13199" w:type="dxa"/>
          </w:tcPr>
          <w:p w14:paraId="28DF377F" w14:textId="77777777" w:rsidR="0025066F" w:rsidRDefault="00D65445">
            <w:r>
              <w:t>Basisversie klopt</w:t>
            </w:r>
          </w:p>
        </w:tc>
      </w:tr>
      <w:tr w:rsidR="0025066F" w14:paraId="066B1114" w14:textId="77777777" w:rsidTr="00573FF9">
        <w:tc>
          <w:tcPr>
            <w:tcW w:w="841" w:type="dxa"/>
          </w:tcPr>
          <w:p w14:paraId="19BFFA63" w14:textId="77777777" w:rsidR="0025066F" w:rsidRDefault="00D65445">
            <w:pPr>
              <w:jc w:val="center"/>
            </w:pPr>
            <w:r>
              <w:t>2</w:t>
            </w:r>
          </w:p>
        </w:tc>
        <w:tc>
          <w:tcPr>
            <w:tcW w:w="13199" w:type="dxa"/>
          </w:tcPr>
          <w:p w14:paraId="74F56D32" w14:textId="77777777" w:rsidR="0025066F" w:rsidRDefault="00D65445">
            <w:r>
              <w:t>Versienummering klopt incrementeel</w:t>
            </w:r>
          </w:p>
        </w:tc>
      </w:tr>
      <w:tr w:rsidR="0025066F" w:rsidRPr="00582B6D" w14:paraId="243C394C" w14:textId="77777777" w:rsidTr="00573FF9">
        <w:tc>
          <w:tcPr>
            <w:tcW w:w="841" w:type="dxa"/>
          </w:tcPr>
          <w:p w14:paraId="547ACDC2" w14:textId="77777777" w:rsidR="0025066F" w:rsidRDefault="00D65445">
            <w:pPr>
              <w:jc w:val="center"/>
            </w:pPr>
            <w:r>
              <w:t>3</w:t>
            </w:r>
          </w:p>
        </w:tc>
        <w:tc>
          <w:tcPr>
            <w:tcW w:w="13199" w:type="dxa"/>
          </w:tcPr>
          <w:p w14:paraId="06346CBD" w14:textId="77777777" w:rsidR="0025066F" w:rsidRPr="001057DC" w:rsidRDefault="00D65445">
            <w:pPr>
              <w:rPr>
                <w:lang w:val="nl-NL"/>
              </w:rPr>
            </w:pPr>
            <w:r w:rsidRPr="001057DC">
              <w:rPr>
                <w:lang w:val="nl-NL"/>
              </w:rPr>
              <w:t>Zip is volledig en geloofwaardig verpakt</w:t>
            </w:r>
          </w:p>
        </w:tc>
      </w:tr>
      <w:tr w:rsidR="0025066F" w:rsidRPr="00582B6D" w14:paraId="40B1E65C" w14:textId="77777777" w:rsidTr="00573FF9">
        <w:tc>
          <w:tcPr>
            <w:tcW w:w="841" w:type="dxa"/>
          </w:tcPr>
          <w:p w14:paraId="356ED9A6" w14:textId="77777777" w:rsidR="0025066F" w:rsidRDefault="00D65445">
            <w:pPr>
              <w:jc w:val="center"/>
            </w:pPr>
            <w:r>
              <w:t>4</w:t>
            </w:r>
          </w:p>
        </w:tc>
        <w:tc>
          <w:tcPr>
            <w:tcW w:w="13199" w:type="dxa"/>
          </w:tcPr>
          <w:p w14:paraId="78A08241" w14:textId="77777777" w:rsidR="0025066F" w:rsidRPr="001057DC" w:rsidRDefault="00D65445">
            <w:pPr>
              <w:rPr>
                <w:lang w:val="nl-NL"/>
              </w:rPr>
            </w:pPr>
            <w:r w:rsidRPr="001057DC">
              <w:rPr>
                <w:lang w:val="nl-NL"/>
              </w:rPr>
              <w:t>Het bedoelde wijzigingsdoel is zichtbaar aanwezig</w:t>
            </w:r>
          </w:p>
        </w:tc>
      </w:tr>
      <w:tr w:rsidR="0025066F" w:rsidRPr="00582B6D" w14:paraId="0C9D2F39" w14:textId="77777777" w:rsidTr="00573FF9">
        <w:tc>
          <w:tcPr>
            <w:tcW w:w="841" w:type="dxa"/>
          </w:tcPr>
          <w:p w14:paraId="03DF1CE2" w14:textId="77777777" w:rsidR="0025066F" w:rsidRDefault="00D65445">
            <w:pPr>
              <w:jc w:val="center"/>
            </w:pPr>
            <w:r>
              <w:t>5</w:t>
            </w:r>
          </w:p>
        </w:tc>
        <w:tc>
          <w:tcPr>
            <w:tcW w:w="13199" w:type="dxa"/>
          </w:tcPr>
          <w:p w14:paraId="2163CC31" w14:textId="77777777" w:rsidR="0025066F" w:rsidRPr="001057DC" w:rsidRDefault="00D65445">
            <w:pPr>
              <w:rPr>
                <w:lang w:val="nl-NL"/>
              </w:rPr>
            </w:pPr>
            <w:r w:rsidRPr="001057DC">
              <w:rPr>
                <w:lang w:val="nl-NL"/>
              </w:rPr>
              <w:t>Bestaande kernfunctionaliteit is niet stukgegaan</w:t>
            </w:r>
          </w:p>
        </w:tc>
      </w:tr>
      <w:tr w:rsidR="0025066F" w:rsidRPr="00582B6D" w14:paraId="6D0CAD7A" w14:textId="77777777" w:rsidTr="00573FF9">
        <w:tc>
          <w:tcPr>
            <w:tcW w:w="841" w:type="dxa"/>
          </w:tcPr>
          <w:p w14:paraId="052952C3" w14:textId="77777777" w:rsidR="0025066F" w:rsidRDefault="00D65445">
            <w:pPr>
              <w:jc w:val="center"/>
            </w:pPr>
            <w:r>
              <w:t>6</w:t>
            </w:r>
          </w:p>
        </w:tc>
        <w:tc>
          <w:tcPr>
            <w:tcW w:w="13199" w:type="dxa"/>
          </w:tcPr>
          <w:p w14:paraId="1D58A708" w14:textId="77777777" w:rsidR="0025066F" w:rsidRPr="001057DC" w:rsidRDefault="00D65445">
            <w:pPr>
              <w:rPr>
                <w:lang w:val="nl-NL"/>
              </w:rPr>
            </w:pPr>
            <w:r w:rsidRPr="001057DC">
              <w:rPr>
                <w:lang w:val="nl-NL"/>
              </w:rPr>
              <w:t>Instellingen en persistentie werken, als die geraakt zijn</w:t>
            </w:r>
          </w:p>
        </w:tc>
      </w:tr>
      <w:tr w:rsidR="0025066F" w14:paraId="0992FE6D" w14:textId="77777777" w:rsidTr="00573FF9">
        <w:tc>
          <w:tcPr>
            <w:tcW w:w="841" w:type="dxa"/>
          </w:tcPr>
          <w:p w14:paraId="1A681DC7" w14:textId="77777777" w:rsidR="0025066F" w:rsidRDefault="00D65445">
            <w:pPr>
              <w:jc w:val="center"/>
            </w:pPr>
            <w:r>
              <w:t>7</w:t>
            </w:r>
          </w:p>
        </w:tc>
        <w:tc>
          <w:tcPr>
            <w:tcW w:w="13199" w:type="dxa"/>
          </w:tcPr>
          <w:p w14:paraId="274B29E5" w14:textId="77777777" w:rsidR="0025066F" w:rsidRDefault="00D65445">
            <w:r>
              <w:t>Regressierisico is benoemd</w:t>
            </w:r>
          </w:p>
        </w:tc>
      </w:tr>
      <w:tr w:rsidR="0025066F" w:rsidRPr="00582B6D" w14:paraId="7A1D2C1A" w14:textId="77777777" w:rsidTr="00573FF9">
        <w:tc>
          <w:tcPr>
            <w:tcW w:w="841" w:type="dxa"/>
          </w:tcPr>
          <w:p w14:paraId="673752F8" w14:textId="77777777" w:rsidR="0025066F" w:rsidRDefault="00D65445">
            <w:pPr>
              <w:jc w:val="center"/>
            </w:pPr>
            <w:r>
              <w:t>8</w:t>
            </w:r>
          </w:p>
        </w:tc>
        <w:tc>
          <w:tcPr>
            <w:tcW w:w="13199" w:type="dxa"/>
          </w:tcPr>
          <w:p w14:paraId="5076D6D9" w14:textId="77777777" w:rsidR="0025066F" w:rsidRPr="001057DC" w:rsidRDefault="00D65445">
            <w:pPr>
              <w:rPr>
                <w:lang w:val="nl-NL"/>
              </w:rPr>
            </w:pPr>
            <w:r w:rsidRPr="001057DC">
              <w:rPr>
                <w:lang w:val="nl-NL"/>
              </w:rPr>
              <w:t>PO-teststappen zijn helder en niet-technisch</w:t>
            </w:r>
          </w:p>
        </w:tc>
      </w:tr>
      <w:tr w:rsidR="00573FF9" w:rsidRPr="00582B6D" w14:paraId="082BD189" w14:textId="77777777" w:rsidTr="00573FF9">
        <w:tc>
          <w:tcPr>
            <w:tcW w:w="841" w:type="dxa"/>
          </w:tcPr>
          <w:p w14:paraId="68A84BA9" w14:textId="14122301" w:rsidR="00573FF9" w:rsidRPr="00573FF9" w:rsidRDefault="00573FF9">
            <w:pPr>
              <w:jc w:val="center"/>
              <w:rPr>
                <w:lang w:val="nl-NL"/>
              </w:rPr>
            </w:pPr>
            <w:r>
              <w:rPr>
                <w:lang w:val="nl-NL"/>
              </w:rPr>
              <w:t>9</w:t>
            </w:r>
          </w:p>
        </w:tc>
        <w:tc>
          <w:tcPr>
            <w:tcW w:w="13199" w:type="dxa"/>
          </w:tcPr>
          <w:p w14:paraId="1B6B8DCE" w14:textId="10D16DC4" w:rsidR="00573FF9" w:rsidRPr="001057DC" w:rsidRDefault="00573FF9">
            <w:pPr>
              <w:rPr>
                <w:lang w:val="nl-NL"/>
              </w:rPr>
            </w:pPr>
            <w:r w:rsidRPr="00573FF9">
              <w:rPr>
                <w:lang w:val="nl-NL"/>
              </w:rPr>
              <w:t>Een frontendrelease is automatisch NO-GO als de geraakte route niet echt is geopend vóór oplevering.</w:t>
            </w:r>
          </w:p>
        </w:tc>
      </w:tr>
    </w:tbl>
    <w:p w14:paraId="4C31E984" w14:textId="77777777" w:rsidR="0025066F" w:rsidRPr="001057DC" w:rsidRDefault="00D65445">
      <w:pPr>
        <w:rPr>
          <w:lang w:val="nl-NL"/>
        </w:rPr>
      </w:pPr>
      <w:r w:rsidRPr="001057DC">
        <w:rPr>
          <w:lang w:val="nl-NL"/>
        </w:rPr>
        <w:t>Eén rood punt betekent: release blokkeren.</w:t>
      </w:r>
    </w:p>
    <w:p w14:paraId="31D84166" w14:textId="77777777" w:rsidR="0025066F" w:rsidRPr="001057DC" w:rsidRDefault="00D65445">
      <w:pPr>
        <w:pStyle w:val="Kop1"/>
        <w:rPr>
          <w:lang w:val="nl-NL"/>
        </w:rPr>
      </w:pPr>
      <w:r w:rsidRPr="001057DC">
        <w:rPr>
          <w:lang w:val="nl-NL"/>
        </w:rPr>
        <w:t>5. Verplichte opleverinformatie per release</w:t>
      </w:r>
    </w:p>
    <w:p w14:paraId="5051B4BB" w14:textId="77777777" w:rsidR="0025066F" w:rsidRPr="001057DC" w:rsidRDefault="00D65445">
      <w:pPr>
        <w:rPr>
          <w:lang w:val="nl-NL"/>
        </w:rPr>
      </w:pPr>
      <w:r w:rsidRPr="001057DC">
        <w:rPr>
          <w:lang w:val="nl-NL"/>
        </w:rPr>
        <w:t>Elke release bevat minimaal: basisversie, nieuw versienummer, exact wijzigingsdoel, lijst van aangepaste onderdelen, wat expliciet niet is gewijzigd, bekende risico’s en eenvoudige PO-teststappen.</w:t>
      </w:r>
    </w:p>
    <w:p w14:paraId="698F3921" w14:textId="77777777" w:rsidR="0025066F" w:rsidRPr="001057DC" w:rsidRDefault="00D65445">
      <w:pPr>
        <w:pStyle w:val="Kop1"/>
        <w:rPr>
          <w:lang w:val="nl-NL"/>
        </w:rPr>
      </w:pPr>
      <w:r w:rsidRPr="001057DC">
        <w:rPr>
          <w:lang w:val="nl-NL"/>
        </w:rPr>
        <w:lastRenderedPageBreak/>
        <w:t>6. Stopcriteria</w:t>
      </w:r>
    </w:p>
    <w:p w14:paraId="368FA6F7" w14:textId="77777777" w:rsidR="0025066F" w:rsidRPr="001057DC" w:rsidRDefault="00D65445">
      <w:pPr>
        <w:rPr>
          <w:lang w:val="nl-NL"/>
        </w:rPr>
      </w:pPr>
      <w:r w:rsidRPr="001057DC">
        <w:rPr>
          <w:lang w:val="nl-NL"/>
        </w:rPr>
        <w:t>QA/QC blokkeert een release direct bij: verkeerde basis, onvolledige zip, opvallend afwijkende packaging zonder verklaring, regressie in het instellingenfundament, mismatch met productbesluit van de PO, diagnose die werkende UI verdringt of claims zonder bewijs.</w:t>
      </w:r>
    </w:p>
    <w:p w14:paraId="400534DC" w14:textId="77777777" w:rsidR="0025066F" w:rsidRDefault="00D65445">
      <w:pPr>
        <w:pStyle w:val="Kop1"/>
      </w:pPr>
      <w:r>
        <w:t>7. Werkvolgorde in het team</w:t>
      </w:r>
    </w:p>
    <w:p w14:paraId="22C9C1AD" w14:textId="77777777" w:rsidR="0025066F" w:rsidRPr="001057DC" w:rsidRDefault="00D65445">
      <w:pPr>
        <w:pStyle w:val="Lijstopsomteken"/>
        <w:rPr>
          <w:lang w:val="nl-NL"/>
        </w:rPr>
      </w:pPr>
      <w:r w:rsidRPr="001057DC">
        <w:rPr>
          <w:lang w:val="nl-NL"/>
        </w:rPr>
        <w:t>De vaste volgorde is: Architect bepaalt richting en afbakening, Engineer bouwt de afgesproken wijziging, QA/QC controleert basis, regressie, packaging en toetsbaarheid, en de PO test pas daarna functioneel.</w:t>
      </w:r>
    </w:p>
    <w:p w14:paraId="3117D6F3" w14:textId="77777777" w:rsidR="0025066F" w:rsidRPr="001057DC" w:rsidRDefault="00D65445">
      <w:pPr>
        <w:pStyle w:val="Lijstopsomteken"/>
        <w:rPr>
          <w:lang w:val="nl-NL"/>
        </w:rPr>
      </w:pPr>
      <w:r w:rsidRPr="001057DC">
        <w:rPr>
          <w:lang w:val="nl-NL"/>
        </w:rPr>
        <w:t>Geen engineer rechtstreeks naar de PO zonder QA/QC-poort.</w:t>
      </w:r>
    </w:p>
    <w:p w14:paraId="7A9DFE97" w14:textId="77777777" w:rsidR="0025066F" w:rsidRPr="001057DC" w:rsidRDefault="00D65445">
      <w:pPr>
        <w:pStyle w:val="Kop1"/>
        <w:rPr>
          <w:lang w:val="nl-NL"/>
        </w:rPr>
      </w:pPr>
      <w:r w:rsidRPr="001057DC">
        <w:rPr>
          <w:lang w:val="nl-NL"/>
        </w:rPr>
        <w:t>8. Praktische QA/QC-checklist voor Rezzerv</w:t>
      </w:r>
    </w:p>
    <w:p w14:paraId="1A3CF0A7" w14:textId="77777777" w:rsidR="0025066F" w:rsidRPr="001057DC" w:rsidRDefault="00D65445">
      <w:pPr>
        <w:pStyle w:val="Lijstopsomteken"/>
        <w:rPr>
          <w:lang w:val="nl-NL"/>
        </w:rPr>
      </w:pPr>
      <w:r w:rsidRPr="001057DC">
        <w:rPr>
          <w:lang w:val="nl-NL"/>
        </w:rPr>
        <w:t>Is dit gebouwd op de afgesproken vorige versie?</w:t>
      </w:r>
    </w:p>
    <w:p w14:paraId="2EE8EBA5" w14:textId="77777777" w:rsidR="0025066F" w:rsidRPr="001057DC" w:rsidRDefault="00D65445">
      <w:pPr>
        <w:pStyle w:val="Lijstopsomteken"/>
        <w:rPr>
          <w:lang w:val="nl-NL"/>
        </w:rPr>
      </w:pPr>
      <w:r w:rsidRPr="001057DC">
        <w:rPr>
          <w:lang w:val="nl-NL"/>
        </w:rPr>
        <w:t>Is de zip qua omvang en inhoud geloofwaardig?</w:t>
      </w:r>
    </w:p>
    <w:p w14:paraId="38A4DC87" w14:textId="77777777" w:rsidR="0025066F" w:rsidRPr="001057DC" w:rsidRDefault="00D65445">
      <w:pPr>
        <w:pStyle w:val="Lijstopsomteken"/>
        <w:rPr>
          <w:lang w:val="nl-NL"/>
        </w:rPr>
      </w:pPr>
      <w:r w:rsidRPr="001057DC">
        <w:rPr>
          <w:lang w:val="nl-NL"/>
        </w:rPr>
        <w:t>Is de bedoelde wijziging echt zichtbaar?</w:t>
      </w:r>
    </w:p>
    <w:p w14:paraId="27ACFABD" w14:textId="77777777" w:rsidR="0025066F" w:rsidRPr="001057DC" w:rsidRDefault="00D65445">
      <w:pPr>
        <w:pStyle w:val="Lijstopsomteken"/>
        <w:rPr>
          <w:lang w:val="nl-NL"/>
        </w:rPr>
      </w:pPr>
      <w:r w:rsidRPr="001057DC">
        <w:rPr>
          <w:lang w:val="nl-NL"/>
        </w:rPr>
        <w:t>Is oude werkende functionaliteit nog aanwezig?</w:t>
      </w:r>
    </w:p>
    <w:p w14:paraId="321BFA61" w14:textId="77777777" w:rsidR="0025066F" w:rsidRPr="001057DC" w:rsidRDefault="00D65445">
      <w:pPr>
        <w:pStyle w:val="Lijstopsomteken"/>
        <w:rPr>
          <w:lang w:val="nl-NL"/>
        </w:rPr>
      </w:pPr>
      <w:r w:rsidRPr="001057DC">
        <w:rPr>
          <w:lang w:val="nl-NL"/>
        </w:rPr>
        <w:t>Zijn instellingen nog correct zichtbaar, opslaanbaar en persistent?</w:t>
      </w:r>
    </w:p>
    <w:p w14:paraId="76612D48" w14:textId="77777777" w:rsidR="0025066F" w:rsidRPr="001057DC" w:rsidRDefault="00D65445">
      <w:pPr>
        <w:pStyle w:val="Lijstopsomteken"/>
        <w:rPr>
          <w:lang w:val="nl-NL"/>
        </w:rPr>
      </w:pPr>
      <w:r w:rsidRPr="001057DC">
        <w:rPr>
          <w:lang w:val="nl-NL"/>
        </w:rPr>
        <w:t>Is er geen terugval naar oudere UI of oude logica?</w:t>
      </w:r>
    </w:p>
    <w:p w14:paraId="09131F64" w14:textId="77777777" w:rsidR="0025066F" w:rsidRPr="001057DC" w:rsidRDefault="00D65445">
      <w:pPr>
        <w:pStyle w:val="Lijstopsomteken"/>
        <w:rPr>
          <w:lang w:val="nl-NL"/>
        </w:rPr>
      </w:pPr>
      <w:r w:rsidRPr="001057DC">
        <w:rPr>
          <w:lang w:val="nl-NL"/>
        </w:rPr>
        <w:t>Zijn de PO-teststappen begrijpelijk zonder technische kennis?</w:t>
      </w:r>
    </w:p>
    <w:p w14:paraId="3DA7F919" w14:textId="77777777" w:rsidR="0025066F" w:rsidRPr="001057DC" w:rsidRDefault="00D65445">
      <w:pPr>
        <w:pStyle w:val="Kop1"/>
        <w:rPr>
          <w:lang w:val="nl-NL"/>
        </w:rPr>
      </w:pPr>
      <w:r w:rsidRPr="001057DC">
        <w:rPr>
          <w:lang w:val="nl-NL"/>
        </w:rPr>
        <w:t>9. Toepassing vanaf nu</w:t>
      </w:r>
    </w:p>
    <w:p w14:paraId="700C0FA4" w14:textId="77777777" w:rsidR="0025066F" w:rsidRPr="001057DC" w:rsidRDefault="00D65445">
      <w:pPr>
        <w:rPr>
          <w:lang w:val="nl-NL"/>
        </w:rPr>
      </w:pPr>
      <w:r w:rsidRPr="001057DC">
        <w:rPr>
          <w:lang w:val="nl-NL"/>
        </w:rPr>
        <w:t>Vanaf nu geldt voor Rezzerv: geen nieuwe zip zonder QA/QC-poort, geen 'gereed' zonder aantoonbare basiscontrole, geen verder functioneel testen als het instellingenfundament niet stabiel is, en liever één terechte afkeuring dan meerdere misleidende opleveringen.</w:t>
      </w:r>
    </w:p>
    <w:p w14:paraId="19C1056F" w14:textId="77777777" w:rsidR="0025066F" w:rsidRPr="001057DC" w:rsidRDefault="00D65445">
      <w:pPr>
        <w:pStyle w:val="Kop1"/>
        <w:rPr>
          <w:lang w:val="nl-NL"/>
        </w:rPr>
      </w:pPr>
      <w:r w:rsidRPr="001057DC">
        <w:rPr>
          <w:lang w:val="nl-NL"/>
        </w:rPr>
        <w:t>10. Beslisregel</w:t>
      </w:r>
    </w:p>
    <w:p w14:paraId="1CFA3ABC" w14:textId="77777777" w:rsidR="0025066F" w:rsidRPr="001057DC" w:rsidRDefault="00D65445">
      <w:pPr>
        <w:rPr>
          <w:lang w:val="nl-NL"/>
        </w:rPr>
      </w:pPr>
      <w:r w:rsidRPr="001057DC">
        <w:rPr>
          <w:lang w:val="nl-NL"/>
        </w:rPr>
        <w:t>Eerst betrouwbaar, dan pas verder.</w:t>
      </w:r>
    </w:p>
    <w:p w14:paraId="46ABF5BE" w14:textId="77777777" w:rsidR="0025066F" w:rsidRPr="001057DC" w:rsidRDefault="0025066F">
      <w:pPr>
        <w:rPr>
          <w:lang w:val="nl-NL"/>
        </w:rPr>
      </w:pPr>
    </w:p>
    <w:tbl>
      <w:tblPr>
        <w:tblW w:w="0" w:type="auto"/>
        <w:tblBorders>
          <w:top w:val="single" w:sz="10" w:space="0" w:color="13452D"/>
          <w:left w:val="single" w:sz="10" w:space="0" w:color="13452D"/>
          <w:bottom w:val="single" w:sz="10" w:space="0" w:color="13452D"/>
          <w:right w:val="single" w:sz="10" w:space="0" w:color="13452D"/>
          <w:insideH w:val="single" w:sz="10" w:space="0" w:color="13452D"/>
          <w:insideV w:val="single" w:sz="10" w:space="0" w:color="13452D"/>
        </w:tblBorders>
        <w:tblLayout w:type="fixed"/>
        <w:tblLook w:val="04A0" w:firstRow="1" w:lastRow="0" w:firstColumn="1" w:lastColumn="0" w:noHBand="0" w:noVBand="1"/>
      </w:tblPr>
      <w:tblGrid>
        <w:gridCol w:w="9792"/>
      </w:tblGrid>
      <w:tr w:rsidR="0025066F" w:rsidRPr="00582B6D" w14:paraId="59A27B8A" w14:textId="77777777">
        <w:tc>
          <w:tcPr>
            <w:tcW w:w="9792" w:type="dxa"/>
            <w:shd w:val="clear" w:color="auto" w:fill="F3F7F4"/>
          </w:tcPr>
          <w:p w14:paraId="4DFF63BF" w14:textId="77777777" w:rsidR="0025066F" w:rsidRPr="001057DC" w:rsidRDefault="00D65445">
            <w:pPr>
              <w:rPr>
                <w:lang w:val="nl-NL"/>
              </w:rPr>
            </w:pPr>
            <w:r w:rsidRPr="001057DC">
              <w:rPr>
                <w:b/>
                <w:color w:val="13452D"/>
                <w:lang w:val="nl-NL"/>
              </w:rPr>
              <w:t>Beslisregel: Eerst betrouwbaar, dan pas verder.</w:t>
            </w:r>
          </w:p>
        </w:tc>
      </w:tr>
    </w:tbl>
    <w:p w14:paraId="496A3F37" w14:textId="77777777" w:rsidR="00271443" w:rsidRPr="001057DC" w:rsidRDefault="00271443">
      <w:pPr>
        <w:rPr>
          <w:lang w:val="nl-NL"/>
        </w:rPr>
      </w:pPr>
    </w:p>
    <w:p/>
    <w:p>
      <w:pPr>
        <w:pStyle w:val="Kop1"/>
      </w:pPr>
      <w:r>
        <w:t>11. Aanvulling v7 - Terminologie- en UI-brontekstwijzigingen</w:t>
      </w:r>
    </w:p>
    <w:p>
      <w:pPr>
        <w:pStyle w:val="Lijstopsomteken"/>
      </w:pPr>
      <w:r>
        <w:t>Bij terminologiewijzigingen moet QA/QC vaststellen dat de oude zichtbare term niet meer voorkomt in de geraakte bronbestanden.</w:t>
      </w:r>
    </w:p>
    <w:p>
      <w:pPr>
        <w:pStyle w:val="Lijstopsomteken"/>
      </w:pPr>
      <w:r>
        <w:t>Technische identifiers mogen niet worden hernoemd wanneer de wijziging alleen user-facing terminologie betreft.</w:t>
      </w:r>
    </w:p>
    <w:p>
      <w:pPr>
        <w:pStyle w:val="Lijstopsomteken"/>
      </w:pPr>
      <w:r>
        <w:t>Bij Uitpakken, Kassa of Externe databases blijft de volledige frontend-regressie verplicht.</w:t>
      </w:r>
    </w:p>
    <w:p>
      <w:pPr>
        <w:pStyle w:val="Lijstopsomteken"/>
      </w:pPr>
      <w:r>
        <w:t>Playwright-artefacten mogen na regressie de git status niet vervuilen.</w:t>
      </w:r>
    </w:p>
    <w:p>
      <w:pPr>
        <w:pStyle w:val="Lijstopsomteken"/>
      </w:pPr>
      <w:r>
        <w:t>PR #153 is referentiecasus: 2 frontendbestanden, 7 toevoegingen en 7 verwijderingen, geen datamodelwijziging, 15/15 frontend-regressie groen.</w:t>
      </w:r>
    </w:p>
    <w:p>
      <w:r>
        <w:br w:type="page"/>
      </w:r>
    </w:p>
    <w:p>
      <w:pPr>
        <w:pStyle w:val="Kop1"/>
      </w:pPr>
      <w:r>
        <w:t>12. Aanvulling v8 - QA/QC-poort voor Artikelgroepen</w:t>
      </w:r>
    </w:p>
    <w:p>
      <w:r>
        <w:t>Artikelgroepen zijn een huishoudspecifieke functionele uitbreiding naast universele artikelnamen. QA/QC beoordeelt daarom niet alleen zichtbare UI, maar ook sleutelconsistentie, huishoudafscherming en persistentie.</w:t>
      </w:r>
    </w:p>
    <w:p>
      <w:pPr>
        <w:pStyle w:val="Kop2"/>
      </w:pPr>
      <w:r>
        <w:t>12.1 Verplichte controlepunten</w:t>
      </w:r>
    </w:p>
    <w:p>
      <w:pPr>
        <w:pStyle w:val="Lijstopsomteken"/>
      </w:pPr>
      <w:r>
        <w:t>De Voorraadtabel toont een afzonderlijke kolom Artikelgroep; de universele artikelnaam blijft ongewijzigd.</w:t>
      </w:r>
    </w:p>
    <w:p>
      <w:pPr>
        <w:pStyle w:val="Lijstopsomteken"/>
      </w:pPr>
      <w:r>
        <w:t>Alle zichtbare voorraadregels hebben een geldig household_article_id.</w:t>
      </w:r>
    </w:p>
    <w:p>
      <w:pPr>
        <w:pStyle w:val="Lijstopsomteken"/>
      </w:pPr>
      <w:r>
        <w:t>Alleen voorraadregels van het actieve huishouden zijn zichtbaar.</w:t>
      </w:r>
    </w:p>
    <w:p>
      <w:pPr>
        <w:pStyle w:val="Lijstopsomteken"/>
      </w:pPr>
      <w:r>
        <w:t>Artikelgroep en huishoudartikel behoren aan hetzelfde huishouden.</w:t>
      </w:r>
    </w:p>
    <w:p>
      <w:pPr>
        <w:pStyle w:val="Lijstopsomteken"/>
      </w:pPr>
      <w:r>
        <w:t>Bevoegde gebruiker kan toewijzen, wijzigen en ontkoppelen; keuze blijft na refresh bestaan.</w:t>
      </w:r>
    </w:p>
    <w:p>
      <w:pPr>
        <w:pStyle w:val="Lijstopsomteken"/>
      </w:pPr>
      <w:r>
        <w:t>Viewer kan niet wijzigen; alleen beheerder kan nieuwe groepen toevoegen.</w:t>
      </w:r>
    </w:p>
    <w:p>
      <w:pPr>
        <w:pStyle w:val="Lijstopsomteken"/>
      </w:pPr>
      <w:r>
        <w:t>Geen automatische Artikelgroep uit GTIN, productmatch, kassabon of externe database.</w:t>
      </w:r>
    </w:p>
    <w:p>
      <w:pPr>
        <w:pStyle w:val="Lijstopsomteken"/>
      </w:pPr>
      <w:r>
        <w:t>Geen rode inline opslagfout na succesvolle actie; foutpad rolt terug en geeft begrijpelijke feedback.</w:t>
      </w:r>
    </w:p>
    <w:p>
      <w:pPr>
        <w:pStyle w:val="Lijstopsomteken"/>
      </w:pPr>
      <w:r>
        <w:t>Docker rebuild, 90 seconden wachttijd, healthcheck, containercodecontrole en relevante regressie zijn aantoonbaar groen.</w:t>
      </w:r>
    </w:p>
    <w:p>
      <w:pPr>
        <w:pStyle w:val="Kop2"/>
      </w:pPr>
      <w:r>
        <w:t>12.2 Automatische NO-GO</w:t>
      </w:r>
    </w:p>
    <w:p>
      <w:pPr>
        <w:pStyle w:val="Lijstopsomteken"/>
      </w:pPr>
      <w:r>
        <w:t>Een deel van de artikelen is wel en een deel niet koppelbaar zonder verklaarde autorisatie- of datacontext.</w:t>
      </w:r>
    </w:p>
    <w:p>
      <w:pPr>
        <w:pStyle w:val="Lijstopsomteken"/>
      </w:pPr>
      <w:r>
        <w:t>De readroute mengt meerdere huishoudens, ook wanneer het een devroute betreft.</w:t>
      </w:r>
    </w:p>
    <w:p>
      <w:pPr>
        <w:pStyle w:val="Lijstopsomteken"/>
      </w:pPr>
      <w:r>
        <w:t>De frontend probeert household_articles op naam te reconstrueren.</w:t>
      </w:r>
    </w:p>
    <w:p>
      <w:pPr>
        <w:pStyle w:val="Lijstopsomteken"/>
      </w:pPr>
      <w:r>
        <w:t>De Artikelgroep wijzigt de universele productnaam, global_product of externe productcategorie.</w:t>
      </w:r>
    </w:p>
    <w:p>
      <w:pPr>
        <w:pStyle w:val="Lijstopsomteken"/>
      </w:pPr>
      <w:r>
        <w:t>Persistentie is alleen in lokale state aangetoond en niet na heropenen of Ctrl+F5.</w:t>
      </w:r>
    </w:p>
    <w:p>
      <w:pPr>
        <w:pStyle w:val="Kop2"/>
      </w:pPr>
      <w:r>
        <w:t>12.3 Minimale bewijsset</w:t>
      </w:r>
    </w:p>
    <w:tbl>
      <w:tblPr>
        <w:tblStyle w:val="Tabelraster"/>
        <w:tblW w:type="auto" w:w="0"/>
        <w:jc w:val="center"/>
        <w:tblLook w:firstColumn="1" w:firstRow="1" w:lastColumn="0" w:lastRow="0" w:noHBand="0" w:noVBand="1" w:val="04A0"/>
      </w:tblPr>
      <w:tblGrid>
        <w:gridCol w:w="4896"/>
        <w:gridCol w:w="4896"/>
      </w:tblGrid>
      <w:tr>
        <w:tc>
          <w:tcPr>
            <w:tcW w:type="dxa" w:w="4896"/>
            <w:shd w:fill="1F4E3D"/>
            <w:vAlign w:val="center"/>
          </w:tcPr>
          <w:p>
            <w:r/>
            <w:r>
              <w:rPr>
                <w:b/>
                <w:color w:val="FFFFFF"/>
              </w:rPr>
              <w:t>Bewijs</w:t>
            </w:r>
          </w:p>
        </w:tc>
        <w:tc>
          <w:tcPr>
            <w:tcW w:type="dxa" w:w="4896"/>
            <w:shd w:fill="1F4E3D"/>
            <w:vAlign w:val="center"/>
          </w:tcPr>
          <w:p>
            <w:r/>
            <w:r>
              <w:rPr>
                <w:b/>
                <w:color w:val="FFFFFF"/>
              </w:rPr>
              <w:t>Verwachte uitkomst</w:t>
            </w:r>
          </w:p>
        </w:tc>
      </w:tr>
      <w:tr>
        <w:tc>
          <w:tcPr>
            <w:tcW w:type="dxa" w:w="4896"/>
            <w:vAlign w:val="center"/>
          </w:tcPr>
          <w:p>
            <w:r/>
            <w:r>
              <w:rPr>
                <w:b w:val="0"/>
              </w:rPr>
              <w:t>Data-audit</w:t>
            </w:r>
          </w:p>
        </w:tc>
        <w:tc>
          <w:tcPr>
            <w:tcW w:type="dxa" w:w="4896"/>
            <w:vAlign w:val="center"/>
          </w:tcPr>
          <w:p>
            <w:r/>
            <w:r>
              <w:rPr>
                <w:b w:val="0"/>
              </w:rPr>
              <w:t>Aantal actieve inventoryregels = aantal regels met geldig household_article_id; zonder ID = 0.</w:t>
            </w:r>
          </w:p>
        </w:tc>
      </w:tr>
      <w:tr>
        <w:tc>
          <w:tcPr>
            <w:tcW w:type="dxa" w:w="4896"/>
            <w:vAlign w:val="center"/>
          </w:tcPr>
          <w:p>
            <w:r/>
            <w:r>
              <w:rPr>
                <w:b w:val="0"/>
              </w:rPr>
              <w:t>Household-audit</w:t>
            </w:r>
          </w:p>
        </w:tc>
        <w:tc>
          <w:tcPr>
            <w:tcW w:type="dxa" w:w="4896"/>
            <w:vAlign w:val="center"/>
          </w:tcPr>
          <w:p>
            <w:r/>
            <w:r>
              <w:rPr>
                <w:b w:val="0"/>
              </w:rPr>
              <w:t>inventory.household_id en household_articles.household_id gelijk; API toont alleen actieve household.</w:t>
            </w:r>
          </w:p>
        </w:tc>
      </w:tr>
      <w:tr>
        <w:tc>
          <w:tcPr>
            <w:tcW w:type="dxa" w:w="4896"/>
            <w:vAlign w:val="center"/>
          </w:tcPr>
          <w:p>
            <w:r/>
            <w:r>
              <w:rPr>
                <w:b w:val="0"/>
              </w:rPr>
              <w:t>Functionele PO-test</w:t>
            </w:r>
          </w:p>
        </w:tc>
        <w:tc>
          <w:tcPr>
            <w:tcW w:type="dxa" w:w="4896"/>
            <w:vAlign w:val="center"/>
          </w:tcPr>
          <w:p>
            <w:r/>
            <w:r>
              <w:rPr>
                <w:b w:val="0"/>
              </w:rPr>
              <w:t>Toewijzen, wijzigen, terugkeren en hard-refresh behouden de keuze.</w:t>
            </w:r>
          </w:p>
        </w:tc>
      </w:tr>
      <w:tr>
        <w:tc>
          <w:tcPr>
            <w:tcW w:type="dxa" w:w="4896"/>
            <w:vAlign w:val="center"/>
          </w:tcPr>
          <w:p>
            <w:r/>
            <w:r>
              <w:rPr>
                <w:b w:val="0"/>
              </w:rPr>
              <w:t>Rollencheck</w:t>
            </w:r>
          </w:p>
        </w:tc>
        <w:tc>
          <w:tcPr>
            <w:tcW w:type="dxa" w:w="4896"/>
            <w:vAlign w:val="center"/>
          </w:tcPr>
          <w:p>
            <w:r/>
            <w:r>
              <w:rPr>
                <w:b w:val="0"/>
              </w:rPr>
              <w:t>Viewer disabled; beheerder heeft toevoegactie; lid volgt afgesproken mutatierecht.</w:t>
            </w:r>
          </w:p>
        </w:tc>
      </w:tr>
      <w:tr>
        <w:tc>
          <w:tcPr>
            <w:tcW w:type="dxa" w:w="4896"/>
            <w:vAlign w:val="center"/>
          </w:tcPr>
          <w:p>
            <w:r/>
            <w:r>
              <w:rPr>
                <w:b w:val="0"/>
              </w:rPr>
              <w:t>Regressie</w:t>
            </w:r>
          </w:p>
        </w:tc>
        <w:tc>
          <w:tcPr>
            <w:tcW w:type="dxa" w:w="4896"/>
            <w:vAlign w:val="center"/>
          </w:tcPr>
          <w:p>
            <w:r/>
            <w:r>
              <w:rPr>
                <w:b w:val="0"/>
              </w:rPr>
              <w:t>Relevante backend/API/database- en frontendchecks groen; geen testartefacten in git status.</w:t>
            </w:r>
          </w:p>
        </w:tc>
      </w:tr>
    </w:tbl>
    <w:p>
      <w:pPr>
        <w:pStyle w:val="Kop1"/>
      </w:pPr>
      <w:r>
        <w:t>13. Aanvulling v9 - Merge-, Docker- en productkoppelingspoort</w:t>
      </w:r>
    </w:p>
    <w:p>
      <w:r>
        <w:t>Deze poort verwerkt de lessen en bewijzen van PR #155. Een featurebranch is pas afgerond nadat de PR is gemerged en dezelfde release opnieuw volledig groen is op main.</w:t>
      </w:r>
    </w:p>
    <w:tbl>
      <w:tblPr>
        <w:tblStyle w:val="Tabelraster"/>
        <w:tblW w:type="auto" w:w="0"/>
        <w:jc w:val="center"/>
        <w:tblLook w:firstColumn="1" w:firstRow="1" w:lastColumn="0" w:lastRow="0" w:noHBand="0" w:noVBand="1" w:val="04A0"/>
      </w:tblPr>
      <w:tblGrid>
        <w:gridCol w:w="4896"/>
        <w:gridCol w:w="4896"/>
      </w:tblGrid>
      <w:tr>
        <w:tc>
          <w:tcPr>
            <w:tcW w:type="dxa" w:w="4896"/>
            <w:vAlign w:val="center"/>
          </w:tcPr>
          <w:p>
            <w:r>
              <w:rPr>
                <w:b/>
              </w:rPr>
              <w:t>Onderdeel</w:t>
            </w:r>
          </w:p>
        </w:tc>
        <w:tc>
          <w:tcPr>
            <w:tcW w:type="dxa" w:w="4896"/>
            <w:vAlign w:val="center"/>
          </w:tcPr>
          <w:p>
            <w:r>
              <w:rPr>
                <w:b/>
              </w:rPr>
              <w:t>Vastgelegde status</w:t>
            </w:r>
          </w:p>
        </w:tc>
      </w:tr>
      <w:tr>
        <w:tc>
          <w:tcPr>
            <w:tcW w:type="dxa" w:w="4896"/>
            <w:vAlign w:val="top"/>
          </w:tcPr>
          <w:p>
            <w:r>
              <w:t>Referentie-PR</w:t>
            </w:r>
          </w:p>
        </w:tc>
        <w:tc>
          <w:tcPr>
            <w:tcW w:type="dxa" w:w="4896"/>
            <w:vAlign w:val="top"/>
          </w:tcPr>
          <w:p>
            <w:r>
              <w:t>#155</w:t>
            </w:r>
          </w:p>
        </w:tc>
      </w:tr>
      <w:tr>
        <w:tc>
          <w:tcPr>
            <w:tcW w:type="dxa" w:w="4896"/>
            <w:vAlign w:val="top"/>
          </w:tcPr>
          <w:p>
            <w:r>
              <w:t>Featurecommit</w:t>
            </w:r>
          </w:p>
        </w:tc>
        <w:tc>
          <w:tcPr>
            <w:tcW w:type="dxa" w:w="4896"/>
            <w:vAlign w:val="top"/>
          </w:tcPr>
          <w:p>
            <w:r>
              <w:t>8eed8441</w:t>
            </w:r>
          </w:p>
        </w:tc>
      </w:tr>
      <w:tr>
        <w:tc>
          <w:tcPr>
            <w:tcW w:type="dxa" w:w="4896"/>
            <w:vAlign w:val="top"/>
          </w:tcPr>
          <w:p>
            <w:r>
              <w:t>Main mergecommit</w:t>
            </w:r>
          </w:p>
        </w:tc>
        <w:tc>
          <w:tcPr>
            <w:tcW w:type="dxa" w:w="4896"/>
            <w:vAlign w:val="top"/>
          </w:tcPr>
          <w:p>
            <w:r>
              <w:t>8e9f8d41</w:t>
            </w:r>
          </w:p>
        </w:tc>
      </w:tr>
      <w:tr>
        <w:tc>
          <w:tcPr>
            <w:tcW w:type="dxa" w:w="4896"/>
            <w:vAlign w:val="top"/>
          </w:tcPr>
          <w:p>
            <w:r>
              <w:t>Frontendregressie</w:t>
            </w:r>
          </w:p>
        </w:tc>
        <w:tc>
          <w:tcPr>
            <w:tcW w:type="dxa" w:w="4896"/>
            <w:vAlign w:val="top"/>
          </w:tcPr>
          <w:p>
            <w:r>
              <w:t>22/22 op featurebranch en opnieuw 22/22 op main</w:t>
            </w:r>
          </w:p>
        </w:tc>
      </w:tr>
      <w:tr>
        <w:tc>
          <w:tcPr>
            <w:tcW w:type="dxa" w:w="4896"/>
            <w:vAlign w:val="top"/>
          </w:tcPr>
          <w:p>
            <w:r>
              <w:t>Backendcontract</w:t>
            </w:r>
          </w:p>
        </w:tc>
        <w:tc>
          <w:tcPr>
            <w:tcW w:type="dxa" w:w="4896"/>
            <w:vAlign w:val="top"/>
          </w:tcPr>
          <w:p>
            <w:r>
              <w:t>OFF self-contained Docker-selftest 2/2</w:t>
            </w:r>
          </w:p>
        </w:tc>
      </w:tr>
      <w:tr>
        <w:tc>
          <w:tcPr>
            <w:tcW w:type="dxa" w:w="4896"/>
            <w:vAlign w:val="top"/>
          </w:tcPr>
          <w:p>
            <w:r>
              <w:t>PO-status</w:t>
            </w:r>
          </w:p>
        </w:tc>
        <w:tc>
          <w:tcPr>
            <w:tcW w:type="dxa" w:w="4896"/>
            <w:vAlign w:val="top"/>
          </w:tcPr>
          <w:p>
            <w:r>
              <w:t>GROEN OP MAIN en afgerond</w:t>
            </w:r>
          </w:p>
        </w:tc>
      </w:tr>
    </w:tbl>
    <w:p>
      <w:pPr>
        <w:pStyle w:val="Kop2"/>
      </w:pPr>
      <w:r>
        <w:t>13.1 Verplichte hoofdgate</w:t>
      </w:r>
    </w:p>
    <w:p>
      <w:pPr>
        <w:pStyle w:val="Lijstopsomteken"/>
      </w:pPr>
      <w:r>
        <w:t>Een groene featurebranch is geen groene main.</w:t>
      </w:r>
    </w:p>
    <w:p>
      <w:pPr>
        <w:pStyle w:val="Lijstopsomteken"/>
      </w:pPr>
      <w:r>
        <w:t>Na merge: git switch main, git pull --ff-only, HEAD/origin-main controleren, docker compose down, docker compose up -d --build, 90 seconden wachten, health en regressies opnieuw uitvoeren.</w:t>
      </w:r>
    </w:p>
    <w:p>
      <w:pPr>
        <w:pStyle w:val="Lijstopsomteken"/>
      </w:pPr>
      <w:r>
        <w:t>SkipDockerBuild is alleen toegestaan nadat de runtime na de laatste codewijziging aantoonbaar opnieuw is gebouwd.</w:t>
      </w:r>
    </w:p>
    <w:p>
      <w:pPr>
        <w:pStyle w:val="Lijstopsomteken"/>
      </w:pPr>
      <w:r>
        <w:t>Git-status moet na cleanup schoon zijn en testartefacten mogen niet worden gecommit.</w:t>
      </w:r>
    </w:p>
    <w:p>
      <w:pPr>
        <w:pStyle w:val="Kop2"/>
      </w:pPr>
      <w:r>
        <w:t>13.2 Docker-only backendvalidatie</w:t>
      </w:r>
    </w:p>
    <w:p>
      <w:pPr>
        <w:pStyle w:val="Lijstopsomteken"/>
      </w:pPr>
      <w:r>
        <w:t>Installeer geen pytest in de runtimecontainer.</w:t>
      </w:r>
    </w:p>
    <w:p>
      <w:pPr>
        <w:pStyle w:val="Lijstopsomteken"/>
      </w:pPr>
      <w:r>
        <w:t>Gebruik bestaande Rezzerv-runners of self-contained Python-scripts met gewone assertions en exitcode 1 bij falen.</w:t>
      </w:r>
    </w:p>
    <w:p>
      <w:pPr>
        <w:pStyle w:val="Lijstopsomteken"/>
      </w:pPr>
      <w:r>
        <w:t>Nieuwe hostbestanden bestaan pas in de container na rebuild, tenzij een gedocumenteerde bind mount dit expliciet anders maakt.</w:t>
      </w:r>
    </w:p>
    <w:p>
      <w:pPr>
        <w:pStyle w:val="Lijstopsomteken"/>
      </w:pPr>
      <w:r>
        <w:t>Binnen de backendcontainer is /app de backend-root en staat productcode onder /app/app; tests staan onder /app/tests.</w:t>
      </w:r>
    </w:p>
    <w:p>
      <w:pPr>
        <w:pStyle w:val="Lijstopsomteken"/>
      </w:pPr>
      <w:r>
        <w:t>Een No such file or directory wordt eerst als runtime/build-contextprobleem onderzocht.</w:t>
      </w:r>
    </w:p>
    <w:p>
      <w:pPr>
        <w:pStyle w:val="Kop2"/>
      </w:pPr>
      <w:r>
        <w:t>13.3 Geen testcontract aanpassen aan een fout zonder bronanalyse</w:t>
      </w:r>
    </w:p>
    <w:p>
      <w:pPr>
        <w:pStyle w:val="Lijstopsomteken"/>
      </w:pPr>
      <w:r>
        <w:t>Bij een mismatch wordt eerst de implementatie en het normatieve functionele besluit gelezen.</w:t>
      </w:r>
    </w:p>
    <w:p>
      <w:pPr>
        <w:pStyle w:val="Lijstopsomteken"/>
      </w:pPr>
      <w:r>
        <w:t>Een testverwachting mag alleen worden gewijzigd wanneer de implementatie aantoonbaar het goedgekeurde contract volgt.</w:t>
      </w:r>
    </w:p>
    <w:p>
      <w:pPr>
        <w:pStyle w:val="Lijstopsomteken"/>
      </w:pPr>
      <w:r>
        <w:t>Providerquery en gerapporteerde query kunnen verschillende genormaliseerde waarden hebben; beide worden afzonderlijk getest.</w:t>
      </w:r>
    </w:p>
    <w:p>
      <w:pPr>
        <w:pStyle w:val="Lijstopsomteken"/>
      </w:pPr>
      <w:r>
        <w:t>Een mislukte selector wordt opgelost vanuit de werkelijke DOM-rol of data-testid, niet door opeenvolgende gokselectors.</w:t>
      </w:r>
    </w:p>
    <w:p>
      <w:pPr>
        <w:pStyle w:val="Kop2"/>
      </w:pPr>
      <w:r>
        <w:t>13.4 Bewijsset voor tijdelijke externe zoekresultaten</w:t>
      </w:r>
    </w:p>
    <w:p>
      <w:pPr>
        <w:pStyle w:val="Lijstopsomteken"/>
      </w:pPr>
      <w:r>
        <w:t>Searchrequest is read-only en meldt mutated=false.</w:t>
      </w:r>
    </w:p>
    <w:p>
      <w:pPr>
        <w:pStyle w:val="Lijstopsomteken"/>
      </w:pPr>
      <w:r>
        <w:t>Een handmatige zoekactie gebruikt de opgegeven zoekterm.</w:t>
      </w:r>
    </w:p>
    <w:p>
      <w:pPr>
        <w:pStyle w:val="Lijstopsomteken"/>
      </w:pPr>
      <w:r>
        <w:t>Een automatische zoekactie gebruikt de goedgekeurde querystrategie.</w:t>
      </w:r>
    </w:p>
    <w:p>
      <w:pPr>
        <w:pStyle w:val="Lijstopsomteken"/>
      </w:pPr>
      <w:r>
        <w:t>Oude resultaten worden vervangen en no-results toont een lege set.</w:t>
      </w:r>
    </w:p>
    <w:p>
      <w:pPr>
        <w:pStyle w:val="Lijstopsomteken"/>
      </w:pPr>
      <w:r>
        <w:t>Bestaande cataloguskoppeling blijft los van tijdelijke zoekresultaten.</w:t>
      </w:r>
    </w:p>
    <w:p>
      <w:pPr>
        <w:pStyle w:val="Lijstopsomteken"/>
      </w:pPr>
      <w:r>
        <w:t>Geen dubbele externe kandidaten voor dezelfde bron en externe code.</w:t>
      </w:r>
    </w:p>
    <w:p>
      <w:pPr>
        <w:pStyle w:val="Kop2"/>
      </w:pPr>
      <w:r>
        <w:t>13.5 Producttype-gate voor de volgende fase</w:t>
      </w:r>
    </w:p>
    <w:p>
      <w:pPr>
        <w:pStyle w:val="Lijstopsomteken"/>
      </w:pPr>
      <w:r>
        <w:t>Universeel artikel en Producttype worden in één atomaire koppeltransactie bevestigd.</w:t>
      </w:r>
    </w:p>
    <w:p>
      <w:pPr>
        <w:pStyle w:val="Lijstopsomteken"/>
      </w:pPr>
      <w:r>
        <w:t>Geen voorraadmutatie tijdens productmatching.</w:t>
      </w:r>
    </w:p>
    <w:p>
      <w:pPr>
        <w:pStyle w:val="Lijstopsomteken"/>
      </w:pPr>
      <w:r>
        <w:t>Alleen bevestigde primaire Producttypekoppelingen tellen mee.</w:t>
      </w:r>
    </w:p>
    <w:p>
      <w:pPr>
        <w:pStyle w:val="Lijstopsomteken"/>
      </w:pPr>
      <w:r>
        <w:t>Basiseenheden zijn genormaliseerd en aggregatie is herleidbaar.</w:t>
      </w:r>
    </w:p>
    <w:p>
      <w:pPr>
        <w:pStyle w:val="Lijstopsomteken"/>
      </w:pPr>
      <w:r>
        <w:t>Artikelgroep blijft huishoudspecifiek en wordt niet automatisch uit Producttype afgeleid.</w:t>
      </w:r>
    </w:p>
    <w:p>
      <w:pPr>
        <w:pStyle w:val="Lijstopsomteken"/>
      </w:pPr>
      <w:r>
        <w:t>Cross-household koppelingen of aggregaties zijn automatische NO-GO.</w:t>
      </w:r>
    </w:p>
    <w:p>
      <w:pPr>
        <w:pStyle w:val="Kop2"/>
      </w:pPr>
      <w:r>
        <w:t>13.6 Minimale eindverklaring</w:t>
      </w:r>
    </w:p>
    <w:p>
      <w:pPr>
        <w:pStyle w:val="Lijstopsomteken"/>
      </w:pPr>
      <w:r>
        <w:t>Branch en main staan op de bedoelde commits.</w:t>
      </w:r>
    </w:p>
    <w:p>
      <w:pPr>
        <w:pStyle w:val="Lijstopsomteken"/>
      </w:pPr>
      <w:r>
        <w:t>Dockerbuild, health, backendcontract en volledige frontendregressie zijn groen op main.</w:t>
      </w:r>
    </w:p>
    <w:p>
      <w:pPr>
        <w:pStyle w:val="Lijstopsomteken"/>
      </w:pPr>
      <w:r>
        <w:t>Runtime is vrij van ongewenste regression-seeds.</w:t>
      </w:r>
    </w:p>
    <w:p>
      <w:pPr>
        <w:pStyle w:val="Lijstopsomteken"/>
      </w:pPr>
      <w:r>
        <w:t>PO-smoketest is akkoord.</w:t>
      </w:r>
    </w:p>
    <w:p>
      <w:pPr>
        <w:pStyle w:val="Lijstopsomteken"/>
      </w:pPr>
      <w:r>
        <w:t>Pas dan is de tekst GROEN OP MAIN en afgerond toegestaan.</w:t>
      </w:r>
    </w:p>
    <w:p>
      <w:r>
        <w:br w:type="page"/>
      </w:r>
    </w:p>
    <w:p>
      <w:pPr>
        <w:pStyle w:val="Kop1"/>
      </w:pPr>
      <w:r>
        <w:t>14. Aanvulling v10 - verplichte kassabonketen- en PowerShell-poort</w:t>
      </w:r>
    </w:p>
    <w:p>
      <w:pPr>
        <w:pStyle w:val="Kop2"/>
      </w:pPr>
      <w:r>
        <w:t>Verplichte test</w:t>
      </w:r>
    </w:p>
    <w:p>
      <w:r>
        <w:t>Voor iedere pull request die Kassa, Uitpakken, Voorraad, artikelen, artikelgroepen, producttypes, productidentiteiten of inventaris-events raakt, is de kassabonketentest verplicht. Na iedere merge naar main wordt dezelfde keten opnieuw uitgevoerd.</w:t>
      </w:r>
    </w:p>
    <w:p>
      <w:pPr>
        <w:pStyle w:val="Kop2"/>
      </w:pPr>
      <w:r>
        <w:t>Bewijslast</w:t>
      </w:r>
    </w:p>
    <w:p>
      <w:r>
        <w:t>Het minimale bewijs is: contract groen, fixture groen, directe step3 groen, aanvullende step4 groen, productie-ingang groen, voorraadpad 0 -&gt; 2 -&gt; 5 -&gt; 5, exact twee purchase-events en tijdelijke database verwijderd.</w:t>
      </w:r>
    </w:p>
    <w:p>
      <w:pPr>
        <w:pStyle w:val="Kop2"/>
      </w:pPr>
      <w:r>
        <w:t>PO-zichtbaarheid</w:t>
      </w:r>
    </w:p>
    <w:p>
      <w:r>
        <w:t>De lokale PowerShell-runner toont minimaal vijf meetbare stappen; de actuele runner toont acht. Iedere stap heeft groen, rood of bezig, plus stapnummer en percentage. Bij rood worden verwacht en actueel vermeld.</w:t>
      </w:r>
    </w:p>
    <w:p>
      <w:pPr>
        <w:pStyle w:val="Kop2"/>
      </w:pPr>
      <w:r>
        <w:t>Mergebesluit</w:t>
      </w:r>
    </w:p>
    <w:p>
      <w:r>
        <w:t>Een branch mag niet worden gemerged wanneer een verplichte ketentest rood, overgeslagen of onduidelijk is. Na merge is main pas groen wanneer de post-merge-workflow en de Windows PowerShell-validatie groen zijn.</w:t>
      </w:r>
    </w:p>
    <w:p>
      <w:pPr>
        <w:pStyle w:val="Kop2"/>
      </w:pPr>
      <w:r>
        <w:t>Artikelmodelcontrole</w:t>
      </w:r>
    </w:p>
    <w:p>
      <w:r>
        <w:t>QA/QC controleert de scheiding tussen universeel artikel, Producttype en Artikelgroep. Een wijziging mag deze lagen niet impliciet samenvoegen, huishoudscoping doorbreken of externe kandidaten automatisch laten muteren.</w:t>
      </w:r>
    </w:p>
    <w:sectPr w:rsidR="00271443" w:rsidRPr="001057DC" w:rsidSect="00034616">
      <w:headerReference w:type="default" r:id="rId8"/>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408770775">
    <w:abstractNumId w:val="8"/>
  </w:num>
  <w:num w:numId="2" w16cid:durableId="1555433474">
    <w:abstractNumId w:val="6"/>
  </w:num>
  <w:num w:numId="3" w16cid:durableId="2072582718">
    <w:abstractNumId w:val="5"/>
  </w:num>
  <w:num w:numId="4" w16cid:durableId="1691178404">
    <w:abstractNumId w:val="4"/>
  </w:num>
  <w:num w:numId="5" w16cid:durableId="1014647234">
    <w:abstractNumId w:val="7"/>
  </w:num>
  <w:num w:numId="6" w16cid:durableId="999891194">
    <w:abstractNumId w:val="3"/>
  </w:num>
  <w:num w:numId="7" w16cid:durableId="930893815">
    <w:abstractNumId w:val="2"/>
  </w:num>
  <w:num w:numId="8" w16cid:durableId="2078237512">
    <w:abstractNumId w:val="1"/>
  </w:num>
  <w:num w:numId="9" w16cid:durableId="12609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7DC"/>
    <w:rsid w:val="0015074B"/>
    <w:rsid w:val="0025066F"/>
    <w:rsid w:val="00271443"/>
    <w:rsid w:val="0029639D"/>
    <w:rsid w:val="002C583F"/>
    <w:rsid w:val="00326F90"/>
    <w:rsid w:val="00573FF9"/>
    <w:rsid w:val="00582B6D"/>
    <w:rsid w:val="006A1E58"/>
    <w:rsid w:val="006B4973"/>
    <w:rsid w:val="007F4324"/>
    <w:rsid w:val="00850EE5"/>
    <w:rsid w:val="0096534D"/>
    <w:rsid w:val="00972D65"/>
    <w:rsid w:val="00AA1D8D"/>
    <w:rsid w:val="00B47730"/>
    <w:rsid w:val="00CB0664"/>
    <w:rsid w:val="00D44495"/>
    <w:rsid w:val="00D654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5E992"/>
  <w14:defaultImageDpi w14:val="300"/>
  <w15:docId w15:val="{BEDE6A6E-EFD7-4D78-A5A2-D3C1781E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ptos" w:eastAsia="Aptos" w:hAnsi="Aptos"/>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13452D"/>
      <w:sz w:val="30"/>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13452D"/>
      <w:sz w:val="24"/>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3C3C3C"/>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3452D"/>
      <w:spacing w:val="5"/>
      <w:kern w:val="28"/>
      <w:sz w:val="44"/>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840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Michiel Uijting</cp:lastModifiedBy>
  <cp:revision>5</cp:revision>
  <dcterms:created xsi:type="dcterms:W3CDTF">2026-04-11T11:04:00Z</dcterms:created>
  <dcterms:modified xsi:type="dcterms:W3CDTF">2026-04-11T20:08:00Z</dcterms:modified>
  <cp:category/>
</cp:coreProperties>
</file>