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3D"/>
          <w:sz w:val="56"/>
        </w:rPr>
        <w:t>Rezzerv</w:t>
      </w:r>
    </w:p>
    <w:p>
      <w:r>
        <w:rPr>
          <w:i/>
          <w:sz w:val="18"/>
        </w:rPr>
        <w:t>Statusupdate v2.21: zwaar bijgewerkt met gemergede OFF-zoekarchitectuur, universele artikelnaam-borging en het besluit voor een Producttype-laag voor voorraadaggregatie.</w:t>
      </w:r>
    </w:p>
    <w:p>
      <w:pPr>
        <w:jc w:val="center"/>
      </w:pPr>
      <w:r>
        <w:t>Doelarchitectuur Platform v2.21</w:t>
      </w:r>
    </w:p>
    <w:p>
      <w:pPr>
        <w:jc w:val="center"/>
      </w:pPr>
      <w:r>
        <w:rPr>
          <w:i/>
          <w:sz w:val="26"/>
        </w:rPr>
        <w:t>Van Receipt Platform naar volledige Rezzerv doelarchitectuur</w:t>
      </w:r>
    </w:p>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268"/>
            <w:shd w:fill="1F4E3D"/>
            <w:vAlign w:val="center"/>
          </w:tcPr>
          <w:p>
            <w:r/>
            <w:r>
              <w:rPr>
                <w:b/>
                <w:color w:val="FFFFFF"/>
              </w:rPr>
              <w:t>Kenmerk</w:t>
            </w:r>
          </w:p>
        </w:tc>
        <w:tc>
          <w:tcPr>
            <w:tcW w:type="dxa" w:w="6803"/>
            <w:shd w:fill="1F4E3D"/>
            <w:vAlign w:val="center"/>
          </w:tcPr>
          <w:p>
            <w:r/>
            <w:r>
              <w:rPr>
                <w:b/>
                <w:color w:val="FFFFFF"/>
              </w:rPr>
              <w:t>Waarde</w:t>
            </w:r>
          </w:p>
        </w:tc>
      </w:tr>
      <w:tr>
        <w:tc>
          <w:tcPr>
            <w:tcW w:type="dxa" w:w="2268"/>
            <w:vAlign w:val="top"/>
          </w:tcPr>
          <w:p>
            <w:r/>
            <w:r>
              <w:rPr>
                <w:b w:val="0"/>
              </w:rPr>
              <w:t>Documenttype</w:t>
            </w:r>
          </w:p>
        </w:tc>
        <w:tc>
          <w:tcPr>
            <w:tcW w:type="dxa" w:w="6803"/>
            <w:vAlign w:val="top"/>
          </w:tcPr>
          <w:p>
            <w:r/>
            <w:r>
              <w:rPr>
                <w:b w:val="0"/>
              </w:rPr>
              <w:t>Doelarchitectuur</w:t>
            </w:r>
          </w:p>
        </w:tc>
      </w:tr>
      <w:tr>
        <w:tc>
          <w:tcPr>
            <w:tcW w:type="dxa" w:w="2268"/>
            <w:vAlign w:val="top"/>
          </w:tcPr>
          <w:p>
            <w:r/>
            <w:r>
              <w:rPr>
                <w:b w:val="0"/>
              </w:rPr>
              <w:t>Versie</w:t>
            </w:r>
          </w:p>
        </w:tc>
        <w:tc>
          <w:tcPr>
            <w:tcW w:type="dxa" w:w="6803"/>
            <w:vAlign w:val="top"/>
          </w:tcPr>
          <w:p>
            <w:r>
              <w:t>v2.21</w:t>
            </w:r>
          </w:p>
        </w:tc>
      </w:tr>
      <w:tr>
        <w:tc>
          <w:tcPr>
            <w:tcW w:type="dxa" w:w="2268"/>
            <w:vAlign w:val="top"/>
          </w:tcPr>
          <w:p>
            <w:r/>
            <w:r>
              <w:rPr>
                <w:b w:val="0"/>
              </w:rPr>
              <w:t>Status</w:t>
            </w:r>
          </w:p>
        </w:tc>
        <w:tc>
          <w:tcPr>
            <w:tcW w:type="dxa" w:w="6803"/>
            <w:vAlign w:val="top"/>
          </w:tcPr>
          <w:p>
            <w:r>
              <w:t>v2.21: PR #155 gemerged op main 8e9f8d41; tijdelijke externe search gescheiden van permanente koppeling; Producttype als volgende aggregatielaag vastgesteld.</w:t>
            </w:r>
          </w:p>
        </w:tc>
      </w:tr>
      <w:tr>
        <w:tc>
          <w:tcPr>
            <w:tcW w:type="dxa" w:w="2268"/>
            <w:vAlign w:val="top"/>
          </w:tcPr>
          <w:p>
            <w:r/>
            <w:r>
              <w:rPr>
                <w:b w:val="0"/>
              </w:rPr>
              <w:t>Scope</w:t>
            </w:r>
          </w:p>
        </w:tc>
        <w:tc>
          <w:tcPr>
            <w:tcW w:type="dxa" w:w="6803"/>
            <w:vAlign w:val="top"/>
          </w:tcPr>
          <w:p>
            <w:r/>
            <w:r>
              <w:rPr>
                <w:b w:val="0"/>
              </w:rPr>
              <w:t>Volledig Rezzerv-platform inclusief Kassa, uitpakken, voorraad, artikelen, locaties, inzichten, privacy, Admin en regressie</w:t>
            </w:r>
          </w:p>
        </w:tc>
      </w:tr>
      <w:tr>
        <w:tc>
          <w:tcPr>
            <w:tcW w:type="dxa" w:w="2268"/>
            <w:vAlign w:val="top"/>
          </w:tcPr>
          <w:p>
            <w:r/>
            <w:r>
              <w:rPr>
                <w:b w:val="0"/>
              </w:rPr>
              <w:t>Vervangt / verbreedt</w:t>
            </w:r>
          </w:p>
        </w:tc>
        <w:tc>
          <w:tcPr>
            <w:tcW w:type="dxa" w:w="6803"/>
            <w:vAlign w:val="top"/>
          </w:tcPr>
          <w:p>
            <w:r/>
            <w:r>
              <w:rPr>
                <w:b w:val="0"/>
              </w:rPr>
              <w:t>Rezzerv Doelarchitectuur Receipt Platform &amp; Receipt Ingestion Engine v2.3</w:t>
            </w:r>
          </w:p>
        </w:tc>
      </w:tr>
      <w:tr>
        <w:tc>
          <w:tcPr>
            <w:tcW w:type="dxa" w:w="2268"/>
            <w:vAlign w:val="top"/>
          </w:tcPr>
          <w:p>
            <w:r/>
            <w:r>
              <w:rPr>
                <w:b w:val="0"/>
              </w:rPr>
              <w:t>Datum</w:t>
            </w:r>
          </w:p>
        </w:tc>
        <w:tc>
          <w:tcPr>
            <w:tcW w:type="dxa" w:w="6803"/>
            <w:vAlign w:val="top"/>
          </w:tcPr>
          <w:p>
            <w:r>
              <w:t>18 juli 2026</w:t>
            </w:r>
          </w:p>
        </w:tc>
      </w:tr>
    </w:tbl>
    <w:p/>
    <w:p>
      <w:r>
        <w:br w:type="page"/>
      </w:r>
    </w:p>
    <w:p>
      <w:pPr>
        <w:pStyle w:val="Heading1"/>
        <w:keepNext/>
      </w:pPr>
      <w:r>
        <w:t>1. Versie-update v2.7</w:t>
      </w:r>
    </w:p>
    <w:p>
      <w:r>
        <w:t>v2.7 bouwt voort op v2.6 en legt aanvullend de gerealiseerde generieke DataTable-architectuur vast: de Kassa inbox-tabel is gemigreerd naar de standaard DataTable-component en gebruikt dezelfde tabelarchitectuur als de bonregels/detailtabel. DataTable meet de werkelijke hoogte van tr.rz-table-header en publiceert deze als CSS custom property --rz-sticky-header-offset. De filterregel gebruikt deze waarde als sticky top-offset, waardoor kolomtitelregel en filterregel bij scrollen niet overlappen. Dit is bewust generiek opgelost in de standaard tabelarchitectuur en niet als Kassa-only CSS-hack.</w:t>
      </w:r>
    </w:p>
    <w:p>
      <w:r>
        <w:t>Aanleiding: na de migratie van de bonregels/detailtabel naar DataTable is ook de Kassa inbox-tabel omgezet naar DataTable. Bij de visuele review bleek dat de filterregel bij scrollen deels onder de kolomtitelregel schoof. De architectuur is daarom aangescherpt: sticky gedrag hoort in DataTable en base.css, niet in schermspecifieke Kassa-styling.</w:t>
      </w:r>
    </w:p>
    <w:p>
      <w:r>
        <w:t>Belangrijk besluit: Kassa blijft een invoerkanaal, niet het centrum van de applicatie. Voor tabellen is DataTable voortaan het generieke UI-anker voor sorteren, filteren, kolombreedtes en sticky header/filter-gedrag. Het functionele hoofdobject van Rezzerv blijft het huishoudartikel, gekoppeld aan productcatalogus, voorraadpositie, locaties en gebeurtenissen.</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268"/>
            <w:shd w:fill="1F4E3D"/>
            <w:vAlign w:val="center"/>
          </w:tcPr>
          <w:p>
            <w:r/>
            <w:r>
              <w:rPr>
                <w:b/>
                <w:color w:val="FFFFFF"/>
              </w:rPr>
              <w:t>Onderdeel</w:t>
            </w:r>
          </w:p>
        </w:tc>
        <w:tc>
          <w:tcPr>
            <w:tcW w:type="dxa" w:w="3118"/>
            <w:shd w:fill="1F4E3D"/>
            <w:vAlign w:val="center"/>
          </w:tcPr>
          <w:p>
            <w:r/>
            <w:r>
              <w:rPr>
                <w:b/>
                <w:color w:val="FFFFFF"/>
              </w:rPr>
              <w:t>v2.3</w:t>
            </w:r>
          </w:p>
        </w:tc>
        <w:tc>
          <w:tcPr>
            <w:tcW w:type="dxa" w:w="3969"/>
            <w:shd w:fill="1F4E3D"/>
            <w:vAlign w:val="center"/>
          </w:tcPr>
          <w:p>
            <w:r>
              <w:t>v2.7</w:t>
            </w:r>
          </w:p>
        </w:tc>
      </w:tr>
      <w:tr>
        <w:tc>
          <w:tcPr>
            <w:tcW w:type="dxa" w:w="2268"/>
            <w:vAlign w:val="top"/>
          </w:tcPr>
          <w:p>
            <w:r/>
            <w:r>
              <w:rPr>
                <w:b w:val="0"/>
              </w:rPr>
              <w:t>Scope</w:t>
            </w:r>
          </w:p>
        </w:tc>
        <w:tc>
          <w:tcPr>
            <w:tcW w:type="dxa" w:w="3118"/>
            <w:vAlign w:val="top"/>
          </w:tcPr>
          <w:p>
            <w:r/>
            <w:r>
              <w:rPr>
                <w:b w:val="0"/>
              </w:rPr>
              <w:t>Receipt Platform en Receipt Ingestion Engine</w:t>
            </w:r>
          </w:p>
        </w:tc>
        <w:tc>
          <w:tcPr>
            <w:tcW w:type="dxa" w:w="3969"/>
            <w:vAlign w:val="top"/>
          </w:tcPr>
          <w:p>
            <w:r/>
            <w:r>
              <w:rPr>
                <w:b w:val="0"/>
              </w:rPr>
              <w:t>Volledig Rezzerv-platform met Receipt als invoerketen</w:t>
            </w:r>
          </w:p>
        </w:tc>
      </w:tr>
      <w:tr>
        <w:tc>
          <w:tcPr>
            <w:tcW w:type="dxa" w:w="2268"/>
            <w:vAlign w:val="top"/>
          </w:tcPr>
          <w:p>
            <w:r/>
            <w:r>
              <w:rPr>
                <w:b w:val="0"/>
              </w:rPr>
              <w:t>Functioneel anker</w:t>
            </w:r>
          </w:p>
        </w:tc>
        <w:tc>
          <w:tcPr>
            <w:tcW w:type="dxa" w:w="3118"/>
            <w:vAlign w:val="top"/>
          </w:tcPr>
          <w:p>
            <w:r/>
            <w:r>
              <w:rPr>
                <w:b w:val="0"/>
              </w:rPr>
              <w:t>Kassabon en parserstatus</w:t>
            </w:r>
          </w:p>
        </w:tc>
        <w:tc>
          <w:tcPr>
            <w:tcW w:type="dxa" w:w="3969"/>
            <w:vAlign w:val="top"/>
          </w:tcPr>
          <w:p>
            <w:r/>
            <w:r>
              <w:rPr>
                <w:b w:val="0"/>
              </w:rPr>
              <w:t>Huishoudartikel, voorraadgebeurtenis en productcatalogus</w:t>
            </w:r>
          </w:p>
        </w:tc>
      </w:tr>
      <w:tr>
        <w:tc>
          <w:tcPr>
            <w:tcW w:type="dxa" w:w="2268"/>
            <w:vAlign w:val="top"/>
          </w:tcPr>
          <w:p>
            <w:r/>
            <w:r>
              <w:rPr>
                <w:b w:val="0"/>
              </w:rPr>
              <w:t>Voorraad</w:t>
            </w:r>
          </w:p>
        </w:tc>
        <w:tc>
          <w:tcPr>
            <w:tcW w:type="dxa" w:w="3118"/>
            <w:vAlign w:val="top"/>
          </w:tcPr>
          <w:p>
            <w:r/>
            <w:r>
              <w:rPr>
                <w:b w:val="0"/>
              </w:rPr>
              <w:t>Alleen indirect via kassabonmutaties benoemd</w:t>
            </w:r>
          </w:p>
        </w:tc>
        <w:tc>
          <w:tcPr>
            <w:tcW w:type="dxa" w:w="3969"/>
            <w:vAlign w:val="top"/>
          </w:tcPr>
          <w:p>
            <w:r/>
            <w:r>
              <w:rPr>
                <w:b w:val="0"/>
              </w:rPr>
              <w:t>Volwaardige domeinlaag: opbergen, verplaatsen, afboeken, corrigeren, projecteren</w:t>
            </w:r>
          </w:p>
        </w:tc>
      </w:tr>
      <w:tr>
        <w:tc>
          <w:tcPr>
            <w:tcW w:type="dxa" w:w="2268"/>
            <w:vAlign w:val="top"/>
          </w:tcPr>
          <w:p>
            <w:r/>
            <w:r>
              <w:rPr>
                <w:b w:val="0"/>
              </w:rPr>
              <w:t>Locaties</w:t>
            </w:r>
          </w:p>
        </w:tc>
        <w:tc>
          <w:tcPr>
            <w:tcW w:type="dxa" w:w="3118"/>
            <w:vAlign w:val="top"/>
          </w:tcPr>
          <w:p>
            <w:r/>
            <w:r>
              <w:rPr>
                <w:b w:val="0"/>
              </w:rPr>
              <w:t>Beperkt benoemd</w:t>
            </w:r>
          </w:p>
        </w:tc>
        <w:tc>
          <w:tcPr>
            <w:tcW w:type="dxa" w:w="3969"/>
            <w:vAlign w:val="top"/>
          </w:tcPr>
          <w:p>
            <w:r/>
            <w:r>
              <w:rPr>
                <w:b w:val="0"/>
              </w:rPr>
              <w:t>Normatief onderdeel van voorraadmutaties en uitpakken</w:t>
            </w:r>
          </w:p>
        </w:tc>
      </w:tr>
      <w:tr>
        <w:tc>
          <w:tcPr>
            <w:tcW w:type="dxa" w:w="2268"/>
            <w:vAlign w:val="top"/>
          </w:tcPr>
          <w:p>
            <w:r/>
            <w:r>
              <w:rPr>
                <w:b w:val="0"/>
              </w:rPr>
              <w:t>Productstandaardisatie</w:t>
            </w:r>
          </w:p>
        </w:tc>
        <w:tc>
          <w:tcPr>
            <w:tcW w:type="dxa" w:w="3118"/>
            <w:vAlign w:val="top"/>
          </w:tcPr>
          <w:p>
            <w:r/>
            <w:r>
              <w:rPr>
                <w:b w:val="0"/>
              </w:rPr>
              <w:t>Parserfacts en product candidates</w:t>
            </w:r>
          </w:p>
        </w:tc>
        <w:tc>
          <w:tcPr>
            <w:tcW w:type="dxa" w:w="3969"/>
            <w:vAlign w:val="top"/>
          </w:tcPr>
          <w:p>
            <w:r/>
            <w:r>
              <w:rPr>
                <w:b w:val="0"/>
              </w:rPr>
              <w:t>Centrale productcatalogus met identities, enrichments en household_articles</w:t>
            </w:r>
          </w:p>
        </w:tc>
      </w:tr>
      <w:tr>
        <w:tc>
          <w:tcPr>
            <w:tcW w:type="dxa" w:w="2268"/>
            <w:vAlign w:val="top"/>
          </w:tcPr>
          <w:p>
            <w:r/>
            <w:r>
              <w:rPr>
                <w:b w:val="0"/>
              </w:rPr>
              <w:t>Regressieborging</w:t>
            </w:r>
          </w:p>
        </w:tc>
        <w:tc>
          <w:tcPr>
            <w:tcW w:type="dxa" w:w="3118"/>
            <w:vAlign w:val="top"/>
          </w:tcPr>
          <w:p>
            <w:r/>
            <w:r>
              <w:rPr>
                <w:b w:val="0"/>
              </w:rPr>
              <w:t>Receipt-validatie en status-SSOT</w:t>
            </w:r>
          </w:p>
        </w:tc>
        <w:tc>
          <w:tcPr>
            <w:tcW w:type="dxa" w:w="3969"/>
            <w:vAlign w:val="top"/>
          </w:tcPr>
          <w:p>
            <w:r/>
            <w:r>
              <w:rPr>
                <w:b w:val="0"/>
              </w:rPr>
              <w:t>Release-gates per domein plus ketenregressie</w:t>
            </w:r>
          </w:p>
        </w:tc>
      </w:tr>
      <w:tr>
        <w:tc>
          <w:tcPr>
            <w:tcW w:type="dxa" w:w="3400"/>
          </w:tcPr>
          <w:p>
            <w:r>
              <w:t>Generieke tabelarchitectuur</w:t>
            </w:r>
          </w:p>
        </w:tc>
        <w:tc>
          <w:tcPr>
            <w:tcW w:type="dxa" w:w="3400"/>
          </w:tcPr>
          <w:p>
            <w:r>
              <w:t>Niet expliciet beschreven; tabelgedrag verspreid over schermen en CSS.</w:t>
            </w:r>
          </w:p>
        </w:tc>
        <w:tc>
          <w:tcPr>
            <w:tcW w:type="dxa" w:w="3400"/>
          </w:tcPr>
          <w:p>
            <w:r>
              <w:t>DataTable is standaardcomponent voor Kassa inbox en bonregels/detailtabel; sticky header/filter-offset wordt gemeten en via CSS custom property toegepast.</w:t>
            </w:r>
          </w:p>
        </w:tc>
      </w:tr>
    </w:tbl>
    <w:p/>
    <w:p>
      <w:pPr>
        <w:pStyle w:val="Heading1"/>
        <w:keepNext/>
      </w:pPr>
      <w:r>
        <w:t>2. Doel van de doelarchitectuur</w:t>
      </w:r>
    </w:p>
    <w:p>
      <w:r>
        <w:t>Deze doelarchitectuur beschrijft hoe Rezzerv moet uitgroeien tot een stabiel, lokaal testbaar en later cloudready huishoudenplatform. De architectuur moet voldoende modulair zijn om veilig door te ontwikkelen zonder megabestanden, verborgen database-afhankelijkheden of regressies in kernflows.</w:t>
      </w:r>
    </w:p>
    <w:p>
      <w:pPr>
        <w:pStyle w:val="ListBullet"/>
      </w:pPr>
      <w:r>
        <w:t>Alle hoofdmodules hebben een duidelijke verantwoordelijkheid en eigen regressiescope.</w:t>
      </w:r>
    </w:p>
    <w:p>
      <w:pPr>
        <w:pStyle w:val="ListBullet"/>
      </w:pPr>
      <w:r>
        <w:t>Kassa, handmatige invoer, barcode/scanner en toekomstige koppelingen leveren allemaal input voor dezelfde product- en voorraaddomeinen.</w:t>
      </w:r>
    </w:p>
    <w:p>
      <w:pPr>
        <w:pStyle w:val="ListBullet"/>
      </w:pPr>
      <w:r>
        <w:t>Voorraad wordt niet als losse tabelwaarheid behandeld, maar als projectie op voorraadgebeurtenissen.</w:t>
      </w:r>
    </w:p>
    <w:p>
      <w:pPr>
        <w:pStyle w:val="ListBullet"/>
      </w:pPr>
      <w:r>
        <w:t>Productkennis is centraal en gestandaardiseerd; huishoudspecifieke keuzes blijven huishoudspecifiek.</w:t>
      </w:r>
    </w:p>
    <w:p>
      <w:pPr>
        <w:pStyle w:val="ListBullet"/>
      </w:pPr>
      <w:r>
        <w:t>Statussen, voorraadmutaties en privacybesluiten hebben een eenduidige bron van waarheid.</w:t>
      </w:r>
    </w:p>
    <w:p>
      <w:pPr>
        <w:pStyle w:val="ListBullet"/>
      </w:pPr>
      <w:r>
        <w:t>De PO test functioneel gedrag; technische kwaliteitsborging wordt vooraf door Admin/regressie/release-gates afgevangen.</w:t>
      </w:r>
    </w:p>
    <w:p>
      <w:pPr>
        <w:pStyle w:val="Heading1"/>
        <w:keepNext/>
      </w:pPr>
      <w:r>
        <w:t>3. Architectuurprincipes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438"/>
            <w:shd w:fill="1F4E3D"/>
            <w:vAlign w:val="center"/>
          </w:tcPr>
          <w:p>
            <w:r/>
            <w:r>
              <w:rPr>
                <w:b/>
                <w:color w:val="FFFFFF"/>
              </w:rPr>
              <w:t>Principe</w:t>
            </w:r>
          </w:p>
        </w:tc>
        <w:tc>
          <w:tcPr>
            <w:tcW w:type="dxa" w:w="6633"/>
            <w:shd w:fill="1F4E3D"/>
            <w:vAlign w:val="center"/>
          </w:tcPr>
          <w:p>
            <w:r/>
            <w:r>
              <w:rPr>
                <w:b/>
                <w:color w:val="FFFFFF"/>
              </w:rPr>
              <w:t>Normatieve betekenis</w:t>
            </w:r>
          </w:p>
        </w:tc>
      </w:tr>
      <w:tr>
        <w:tc>
          <w:tcPr>
            <w:tcW w:type="dxa" w:w="2438"/>
            <w:vAlign w:val="top"/>
          </w:tcPr>
          <w:p>
            <w:r/>
            <w:r>
              <w:rPr>
                <w:b w:val="0"/>
              </w:rPr>
              <w:t>Een platform, meerdere invoerkanalen</w:t>
            </w:r>
          </w:p>
        </w:tc>
        <w:tc>
          <w:tcPr>
            <w:tcW w:type="dxa" w:w="6633"/>
            <w:vAlign w:val="top"/>
          </w:tcPr>
          <w:p>
            <w:r/>
            <w:r>
              <w:rPr>
                <w:b w:val="0"/>
              </w:rPr>
              <w:t>Kassa is een belangrijk invoerkanaal, maar voorraad, productcatalogus en huishoudartikel zijn centrale domeinen.</w:t>
            </w:r>
          </w:p>
        </w:tc>
      </w:tr>
      <w:tr>
        <w:tc>
          <w:tcPr>
            <w:tcW w:type="dxa" w:w="2438"/>
            <w:vAlign w:val="top"/>
          </w:tcPr>
          <w:p>
            <w:r/>
            <w:r>
              <w:rPr>
                <w:b w:val="0"/>
              </w:rPr>
              <w:t>SSOT per domein</w:t>
            </w:r>
          </w:p>
        </w:tc>
        <w:tc>
          <w:tcPr>
            <w:tcW w:type="dxa" w:w="6633"/>
            <w:vAlign w:val="top"/>
          </w:tcPr>
          <w:p>
            <w:r/>
            <w:r>
              <w:rPr>
                <w:b w:val="0"/>
              </w:rPr>
              <w:t>Kassabonstatus, voorraadhoeveelheid, artikelidentiteit, locatie en privacytoestemming hebben elk één autoritatieve bron.</w:t>
            </w:r>
          </w:p>
        </w:tc>
      </w:tr>
      <w:tr>
        <w:tc>
          <w:tcPr>
            <w:tcW w:type="dxa" w:w="2438"/>
            <w:vAlign w:val="top"/>
          </w:tcPr>
          <w:p>
            <w:r/>
            <w:r>
              <w:rPr>
                <w:b w:val="0"/>
              </w:rPr>
              <w:t>Event-based voorraad</w:t>
            </w:r>
          </w:p>
        </w:tc>
        <w:tc>
          <w:tcPr>
            <w:tcW w:type="dxa" w:w="6633"/>
            <w:vAlign w:val="top"/>
          </w:tcPr>
          <w:p>
            <w:r/>
            <w:r>
              <w:rPr>
                <w:b w:val="0"/>
              </w:rPr>
              <w:t>Voorraadstanden worden opgebouwd uit purchase, consume, transfer, adjustment, expiry en return events.</w:t>
            </w:r>
          </w:p>
        </w:tc>
      </w:tr>
      <w:tr>
        <w:tc>
          <w:tcPr>
            <w:tcW w:type="dxa" w:w="2438"/>
            <w:vAlign w:val="top"/>
          </w:tcPr>
          <w:p>
            <w:r/>
            <w:r>
              <w:rPr>
                <w:b w:val="0"/>
              </w:rPr>
              <w:t>Productkennis centraal</w:t>
            </w:r>
          </w:p>
        </w:tc>
        <w:tc>
          <w:tcPr>
            <w:tcW w:type="dxa" w:w="6633"/>
            <w:vAlign w:val="top"/>
          </w:tcPr>
          <w:p>
            <w:r/>
            <w:r>
              <w:rPr>
                <w:b w:val="0"/>
              </w:rPr>
              <w:t>GTIN/barcode, merk, titel, categorie, inhoud en externe verrijking horen op global_products en product_identities.</w:t>
            </w:r>
          </w:p>
        </w:tc>
      </w:tr>
      <w:tr>
        <w:tc>
          <w:tcPr>
            <w:tcW w:type="dxa" w:w="2438"/>
            <w:vAlign w:val="top"/>
          </w:tcPr>
          <w:p>
            <w:r/>
            <w:r>
              <w:rPr>
                <w:b w:val="0"/>
              </w:rPr>
              <w:t>Huishoudgebruik apart</w:t>
            </w:r>
          </w:p>
        </w:tc>
        <w:tc>
          <w:tcPr>
            <w:tcW w:type="dxa" w:w="6633"/>
            <w:vAlign w:val="top"/>
          </w:tcPr>
          <w:p>
            <w:r/>
            <w:r>
              <w:rPr>
                <w:b w:val="0"/>
              </w:rPr>
              <w:t>Minimumvoorraad, voorkeurwinkel, notities, locatiekeuze en afboekgedrag horen op household_articles of gerelateerde huishoudtabellen.</w:t>
            </w:r>
          </w:p>
        </w:tc>
      </w:tr>
      <w:tr>
        <w:tc>
          <w:tcPr>
            <w:tcW w:type="dxa" w:w="2438"/>
            <w:vAlign w:val="top"/>
          </w:tcPr>
          <w:p>
            <w:r/>
            <w:r>
              <w:rPr>
                <w:b w:val="0"/>
              </w:rPr>
              <w:t>Geen productie-effect door diagnose</w:t>
            </w:r>
          </w:p>
        </w:tc>
        <w:tc>
          <w:tcPr>
            <w:tcW w:type="dxa" w:w="6633"/>
            <w:vAlign w:val="top"/>
          </w:tcPr>
          <w:p>
            <w:r/>
            <w:r>
              <w:rPr>
                <w:b w:val="0"/>
              </w:rPr>
              <w:t>Diagnose, OCR-shadowrows, parseranalyse en regression-output wijzigen nooit productievoorraad of status.</w:t>
            </w:r>
          </w:p>
        </w:tc>
      </w:tr>
      <w:tr>
        <w:tc>
          <w:tcPr>
            <w:tcW w:type="dxa" w:w="2438"/>
            <w:vAlign w:val="top"/>
          </w:tcPr>
          <w:p>
            <w:r/>
            <w:r>
              <w:rPr>
                <w:b w:val="0"/>
              </w:rPr>
              <w:t>Modulair en reviewbaar</w:t>
            </w:r>
          </w:p>
        </w:tc>
        <w:tc>
          <w:tcPr>
            <w:tcW w:type="dxa" w:w="6633"/>
            <w:vAlign w:val="top"/>
          </w:tcPr>
          <w:p>
            <w:r/>
            <w:r>
              <w:rPr>
                <w:b w:val="0"/>
              </w:rPr>
              <w:t>Geen megabestanden; elke wijziging is klein, compileerbaar, testbaar en via GitHub-diff reviewbaar.</w:t>
            </w:r>
          </w:p>
        </w:tc>
      </w:tr>
      <w:tr>
        <w:tc>
          <w:tcPr>
            <w:tcW w:type="dxa" w:w="2438"/>
            <w:vAlign w:val="top"/>
          </w:tcPr>
          <w:p>
            <w:r/>
            <w:r>
              <w:rPr>
                <w:b w:val="0"/>
              </w:rPr>
              <w:t>Release-gates verplicht</w:t>
            </w:r>
          </w:p>
        </w:tc>
        <w:tc>
          <w:tcPr>
            <w:tcW w:type="dxa" w:w="6633"/>
            <w:vAlign w:val="top"/>
          </w:tcPr>
          <w:p>
            <w:r/>
            <w:r>
              <w:rPr>
                <w:b w:val="0"/>
              </w:rPr>
              <w:t>Geen delivery zonder Scope Gate, QA/QC Gate en Packaging Gate groen.</w:t>
            </w:r>
          </w:p>
        </w:tc>
      </w:tr>
      <w:tr>
        <w:tc>
          <w:tcPr>
            <w:tcW w:type="dxa" w:w="5100"/>
          </w:tcPr>
          <w:p>
            <w:r>
              <w:t>Centrale UI-feedback</w:t>
            </w:r>
          </w:p>
        </w:tc>
        <w:tc>
          <w:tcPr>
            <w:tcW w:type="dxa" w:w="5100"/>
          </w:tcPr>
          <w:p>
            <w:r>
              <w:t>Schermmeldingen worden niet verspreid in losse JSX-blokken gerenderd. Voor Kassa is dit gerealiseerd via KassaFeedbackPanel als overlay/modal met OK-knop, buitenklik-sluiting voor normale meldingen en blokkade voor progress of noodzakelijke keuzes.</w:t>
            </w:r>
          </w:p>
        </w:tc>
      </w:tr>
      <w:tr>
        <w:tc>
          <w:tcPr>
            <w:tcW w:type="dxa" w:w="5100"/>
          </w:tcPr>
          <w:p>
            <w:r>
              <w:t>Standaard DataTable voor tabellen</w:t>
            </w:r>
          </w:p>
        </w:tc>
        <w:tc>
          <w:tcPr>
            <w:tcW w:type="dxa" w:w="5100"/>
          </w:tcPr>
          <w:p>
            <w:r>
              <w:t>Nieuwe of gemigreerde tabellen gebruiken DataTable voor sorteren, filteren, kolombreedtes en sticky header/filter-gedrag. Sticky blijft op th-cellen; thead zelf wordt niet sticky gemaakt.</w:t>
            </w:r>
          </w:p>
        </w:tc>
      </w:tr>
      <w:tr>
        <w:tc>
          <w:tcPr>
            <w:tcW w:type="dxa" w:w="5100"/>
          </w:tcPr>
          <w:p>
            <w:r>
              <w:t>Productkennis is data, geen code</w:t>
            </w:r>
          </w:p>
        </w:tc>
        <w:tc>
          <w:tcPr>
            <w:tcW w:type="dxa" w:w="5100"/>
          </w:tcPr>
          <w:p>
            <w:r>
              <w:t>Productnamen, synoniemen, OCR-varianten, retailerbontermen, merk-/bronkennis en variantbetekenissen worden beheerd in taxonomie/dictionary/database. Programmacode bevat alleen generieke normalisatie-, matching-, score- en validatielogica.</w:t>
            </w:r>
          </w:p>
        </w:tc>
      </w:tr>
      <w:tr>
        <w:tc>
          <w:tcPr>
            <w:tcW w:type="dxa" w:w="5100"/>
          </w:tcPr>
          <w:p>
            <w:r>
              <w:t>Externe kandidaten zijn beslisondersteuning</w:t>
            </w:r>
          </w:p>
        </w:tc>
        <w:tc>
          <w:tcPr>
            <w:tcW w:type="dxa" w:w="5100"/>
          </w:tcPr>
          <w:p>
            <w:r>
              <w:t>External product candidates helpen herkennen en kiezen, maar maken geen artikelgroep, global_product, product_enrichment of voorraadmutatie zonder expliciete gebruikersbevestiging.</w:t>
            </w:r>
          </w:p>
        </w:tc>
      </w:tr>
    </w:tbl>
    <w:p/>
    <w:p>
      <w:pPr>
        <w:pStyle w:val="Heading1"/>
        <w:keepNext/>
      </w:pPr>
      <w:r>
        <w:t>4. Domeinlandschap</w:t>
      </w:r>
    </w:p>
    <w:p>
      <w:r>
        <w:t>De doelarchitectuur bestaat uit onderstaande domeinen. Domeinen communiceren via expliciete API-contracten, events of service-aanroepen. Directe kruisvervuiling tussen parserlogica, voorraadmutaties en UI-status is niet toegestaan.</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871"/>
            <w:shd w:fill="1F4E3D"/>
            <w:vAlign w:val="center"/>
          </w:tcPr>
          <w:p>
            <w:r/>
            <w:r>
              <w:rPr>
                <w:b/>
                <w:color w:val="FFFFFF"/>
              </w:rPr>
              <w:t>Domein</w:t>
            </w:r>
          </w:p>
        </w:tc>
        <w:tc>
          <w:tcPr>
            <w:tcW w:type="dxa" w:w="4139"/>
            <w:shd w:fill="1F4E3D"/>
            <w:vAlign w:val="center"/>
          </w:tcPr>
          <w:p>
            <w:r/>
            <w:r>
              <w:rPr>
                <w:b/>
                <w:color w:val="FFFFFF"/>
              </w:rPr>
              <w:t>Verantwoordelijkheid</w:t>
            </w:r>
          </w:p>
        </w:tc>
        <w:tc>
          <w:tcPr>
            <w:tcW w:type="dxa" w:w="3061"/>
            <w:shd w:fill="1F4E3D"/>
            <w:vAlign w:val="center"/>
          </w:tcPr>
          <w:p>
            <w:r/>
            <w:r>
              <w:rPr>
                <w:b/>
                <w:color w:val="FFFFFF"/>
              </w:rPr>
              <w:t>Niet verantwoordelijk voor</w:t>
            </w:r>
          </w:p>
        </w:tc>
      </w:tr>
      <w:tr>
        <w:tc>
          <w:tcPr>
            <w:tcW w:type="dxa" w:w="1871"/>
            <w:vAlign w:val="top"/>
          </w:tcPr>
          <w:p>
            <w:r/>
            <w:r>
              <w:rPr>
                <w:b w:val="0"/>
              </w:rPr>
              <w:t>Identiteit en huishouden</w:t>
            </w:r>
          </w:p>
        </w:tc>
        <w:tc>
          <w:tcPr>
            <w:tcW w:type="dxa" w:w="4139"/>
            <w:vAlign w:val="top"/>
          </w:tcPr>
          <w:p>
            <w:r/>
            <w:r>
              <w:rPr>
                <w:b w:val="0"/>
              </w:rPr>
              <w:t>Gebruikers, huishoudens, rollen, permissies, actieve context.</w:t>
            </w:r>
          </w:p>
        </w:tc>
        <w:tc>
          <w:tcPr>
            <w:tcW w:type="dxa" w:w="3061"/>
            <w:vAlign w:val="top"/>
          </w:tcPr>
          <w:p>
            <w:r/>
            <w:r>
              <w:rPr>
                <w:b w:val="0"/>
              </w:rPr>
              <w:t>Artikel- of voorraadregels.</w:t>
            </w:r>
          </w:p>
        </w:tc>
      </w:tr>
      <w:tr>
        <w:tc>
          <w:tcPr>
            <w:tcW w:type="dxa" w:w="1871"/>
            <w:vAlign w:val="top"/>
          </w:tcPr>
          <w:p>
            <w:r/>
            <w:r>
              <w:rPr>
                <w:b w:val="0"/>
              </w:rPr>
              <w:t>Productcatalogus</w:t>
            </w:r>
          </w:p>
        </w:tc>
        <w:tc>
          <w:tcPr>
            <w:tcW w:type="dxa" w:w="4139"/>
            <w:vAlign w:val="top"/>
          </w:tcPr>
          <w:p>
            <w:r/>
            <w:r>
              <w:rPr>
                <w:b w:val="0"/>
              </w:rPr>
              <w:t>Global products, identities, GTIN, enrichments, media en documenten.</w:t>
            </w:r>
          </w:p>
        </w:tc>
        <w:tc>
          <w:tcPr>
            <w:tcW w:type="dxa" w:w="3061"/>
            <w:vAlign w:val="top"/>
          </w:tcPr>
          <w:p>
            <w:r/>
            <w:r>
              <w:rPr>
                <w:b w:val="0"/>
              </w:rPr>
              <w:t>Huishoudspecifieke voorraad en minimumvoorraad.</w:t>
            </w:r>
          </w:p>
        </w:tc>
      </w:tr>
      <w:tr>
        <w:tc>
          <w:tcPr>
            <w:tcW w:type="dxa" w:w="1871"/>
            <w:vAlign w:val="top"/>
          </w:tcPr>
          <w:p>
            <w:r/>
            <w:r>
              <w:rPr>
                <w:b w:val="0"/>
              </w:rPr>
              <w:t>Huishoudartikelen</w:t>
            </w:r>
          </w:p>
        </w:tc>
        <w:tc>
          <w:tcPr>
            <w:tcW w:type="dxa" w:w="4139"/>
            <w:vAlign w:val="top"/>
          </w:tcPr>
          <w:p>
            <w:r/>
            <w:r>
              <w:rPr>
                <w:b w:val="0"/>
              </w:rPr>
              <w:t>Functioneel artikelanker per huishouden.</w:t>
            </w:r>
          </w:p>
        </w:tc>
        <w:tc>
          <w:tcPr>
            <w:tcW w:type="dxa" w:w="3061"/>
            <w:vAlign w:val="top"/>
          </w:tcPr>
          <w:p>
            <w:r/>
            <w:r>
              <w:rPr>
                <w:b w:val="0"/>
              </w:rPr>
              <w:t>Globale productwaarheid of ruwe OCR.</w:t>
            </w:r>
          </w:p>
        </w:tc>
      </w:tr>
      <w:tr>
        <w:tc>
          <w:tcPr>
            <w:tcW w:type="dxa" w:w="1871"/>
            <w:vAlign w:val="top"/>
          </w:tcPr>
          <w:p>
            <w:r/>
            <w:r>
              <w:rPr>
                <w:b w:val="0"/>
              </w:rPr>
              <w:t>Kassa / Receipt Ingestion</w:t>
            </w:r>
          </w:p>
        </w:tc>
        <w:tc>
          <w:tcPr>
            <w:tcW w:type="dxa" w:w="4139"/>
            <w:vAlign w:val="top"/>
          </w:tcPr>
          <w:p>
            <w:r/>
            <w:r>
              <w:rPr>
                <w:b w:val="0"/>
              </w:rPr>
              <w:t>Broninname, OCR, parsing, review, kassabonstatus-SSOT.</w:t>
            </w:r>
          </w:p>
        </w:tc>
        <w:tc>
          <w:tcPr>
            <w:tcW w:type="dxa" w:w="3061"/>
            <w:vAlign w:val="top"/>
          </w:tcPr>
          <w:p>
            <w:r/>
            <w:r>
              <w:rPr>
                <w:b w:val="0"/>
              </w:rPr>
              <w:t>Voorraadstand berekenen buiten expliciete importflow.</w:t>
            </w:r>
          </w:p>
        </w:tc>
      </w:tr>
      <w:tr>
        <w:tc>
          <w:tcPr>
            <w:tcW w:type="dxa" w:w="1871"/>
            <w:vAlign w:val="top"/>
          </w:tcPr>
          <w:p>
            <w:r/>
            <w:r>
              <w:rPr>
                <w:b w:val="0"/>
              </w:rPr>
              <w:t>Uitpakken / purchase import</w:t>
            </w:r>
          </w:p>
        </w:tc>
        <w:tc>
          <w:tcPr>
            <w:tcW w:type="dxa" w:w="4139"/>
            <w:vAlign w:val="top"/>
          </w:tcPr>
          <w:p>
            <w:r/>
            <w:r>
              <w:rPr>
                <w:b w:val="0"/>
              </w:rPr>
              <w:t>Kassabonregels of handmatige aankopen klaarzetten voor voorraadopslag.</w:t>
            </w:r>
          </w:p>
        </w:tc>
        <w:tc>
          <w:tcPr>
            <w:tcW w:type="dxa" w:w="3061"/>
            <w:vAlign w:val="top"/>
          </w:tcPr>
          <w:p>
            <w:r/>
            <w:r>
              <w:rPr>
                <w:b w:val="0"/>
              </w:rPr>
              <w:t>OCR/parsing of productcataloguswaarheid bepalen.</w:t>
            </w:r>
          </w:p>
        </w:tc>
      </w:tr>
      <w:tr>
        <w:tc>
          <w:tcPr>
            <w:tcW w:type="dxa" w:w="1871"/>
            <w:vAlign w:val="top"/>
          </w:tcPr>
          <w:p>
            <w:r/>
            <w:r>
              <w:rPr>
                <w:b w:val="0"/>
              </w:rPr>
              <w:t>Voorraad</w:t>
            </w:r>
          </w:p>
        </w:tc>
        <w:tc>
          <w:tcPr>
            <w:tcW w:type="dxa" w:w="4139"/>
            <w:vAlign w:val="top"/>
          </w:tcPr>
          <w:p>
            <w:r/>
            <w:r>
              <w:rPr>
                <w:b w:val="0"/>
              </w:rPr>
              <w:t>Voorraadprojectie en voorraadgebeurtenissen.</w:t>
            </w:r>
          </w:p>
        </w:tc>
        <w:tc>
          <w:tcPr>
            <w:tcW w:type="dxa" w:w="3061"/>
            <w:vAlign w:val="top"/>
          </w:tcPr>
          <w:p>
            <w:r/>
            <w:r>
              <w:rPr>
                <w:b w:val="0"/>
              </w:rPr>
              <w:t>Kassabonstatus of productverrijking.</w:t>
            </w:r>
          </w:p>
        </w:tc>
      </w:tr>
      <w:tr>
        <w:tc>
          <w:tcPr>
            <w:tcW w:type="dxa" w:w="1871"/>
            <w:vAlign w:val="top"/>
          </w:tcPr>
          <w:p>
            <w:r/>
            <w:r>
              <w:rPr>
                <w:b w:val="0"/>
              </w:rPr>
              <w:t>Locaties</w:t>
            </w:r>
          </w:p>
        </w:tc>
        <w:tc>
          <w:tcPr>
            <w:tcW w:type="dxa" w:w="4139"/>
            <w:vAlign w:val="top"/>
          </w:tcPr>
          <w:p>
            <w:r/>
            <w:r>
              <w:rPr>
                <w:b w:val="0"/>
              </w:rPr>
              <w:t>Ruimtes, sublocaties en doelopslag per voorraadmutatie.</w:t>
            </w:r>
          </w:p>
        </w:tc>
        <w:tc>
          <w:tcPr>
            <w:tcW w:type="dxa" w:w="3061"/>
            <w:vAlign w:val="top"/>
          </w:tcPr>
          <w:p>
            <w:r/>
            <w:r>
              <w:rPr>
                <w:b w:val="0"/>
              </w:rPr>
              <w:t>Productidentificatie.</w:t>
            </w:r>
          </w:p>
        </w:tc>
      </w:tr>
      <w:tr>
        <w:tc>
          <w:tcPr>
            <w:tcW w:type="dxa" w:w="1871"/>
            <w:vAlign w:val="top"/>
          </w:tcPr>
          <w:p>
            <w:r/>
            <w:r>
              <w:rPr>
                <w:b w:val="0"/>
              </w:rPr>
              <w:t>Winkels en bronnen</w:t>
            </w:r>
          </w:p>
        </w:tc>
        <w:tc>
          <w:tcPr>
            <w:tcW w:type="dxa" w:w="4139"/>
            <w:vAlign w:val="top"/>
          </w:tcPr>
          <w:p>
            <w:r/>
            <w:r>
              <w:rPr>
                <w:b w:val="0"/>
              </w:rPr>
              <w:t>Winkelketens, receipt sources, Gmail/email/source settings.</w:t>
            </w:r>
          </w:p>
        </w:tc>
        <w:tc>
          <w:tcPr>
            <w:tcW w:type="dxa" w:w="3061"/>
            <w:vAlign w:val="top"/>
          </w:tcPr>
          <w:p>
            <w:r/>
            <w:r>
              <w:rPr>
                <w:b w:val="0"/>
              </w:rPr>
              <w:t>Parserstatus of voorraadstand.</w:t>
            </w:r>
          </w:p>
        </w:tc>
      </w:tr>
      <w:tr>
        <w:tc>
          <w:tcPr>
            <w:tcW w:type="dxa" w:w="1871"/>
            <w:vAlign w:val="top"/>
          </w:tcPr>
          <w:p>
            <w:r/>
            <w:r>
              <w:rPr>
                <w:b w:val="0"/>
              </w:rPr>
              <w:t>Inzichten en meldingen</w:t>
            </w:r>
          </w:p>
        </w:tc>
        <w:tc>
          <w:tcPr>
            <w:tcW w:type="dxa" w:w="4139"/>
            <w:vAlign w:val="top"/>
          </w:tcPr>
          <w:p>
            <w:r/>
            <w:r>
              <w:rPr>
                <w:b w:val="0"/>
              </w:rPr>
              <w:t>Bijna-op, trends, waarschuwingen, advies.</w:t>
            </w:r>
          </w:p>
        </w:tc>
        <w:tc>
          <w:tcPr>
            <w:tcW w:type="dxa" w:w="3061"/>
            <w:vAlign w:val="top"/>
          </w:tcPr>
          <w:p>
            <w:r/>
            <w:r>
              <w:rPr>
                <w:b w:val="0"/>
              </w:rPr>
              <w:t>Primaire opslag van mutaties.</w:t>
            </w:r>
          </w:p>
        </w:tc>
      </w:tr>
      <w:tr>
        <w:tc>
          <w:tcPr>
            <w:tcW w:type="dxa" w:w="1871"/>
            <w:vAlign w:val="top"/>
          </w:tcPr>
          <w:p>
            <w:r/>
            <w:r>
              <w:rPr>
                <w:b w:val="0"/>
              </w:rPr>
              <w:t>Privacy en services</w:t>
            </w:r>
          </w:p>
        </w:tc>
        <w:tc>
          <w:tcPr>
            <w:tcW w:type="dxa" w:w="4139"/>
            <w:vAlign w:val="top"/>
          </w:tcPr>
          <w:p>
            <w:r/>
            <w:r>
              <w:rPr>
                <w:b w:val="0"/>
              </w:rPr>
              <w:t>Datadeling, serviceproviders, permissies, export.</w:t>
            </w:r>
          </w:p>
        </w:tc>
        <w:tc>
          <w:tcPr>
            <w:tcW w:type="dxa" w:w="3061"/>
            <w:vAlign w:val="top"/>
          </w:tcPr>
          <w:p>
            <w:r/>
            <w:r>
              <w:rPr>
                <w:b w:val="0"/>
              </w:rPr>
              <w:t>Parser- of voorraadlogica.</w:t>
            </w:r>
          </w:p>
        </w:tc>
      </w:tr>
      <w:tr>
        <w:tc>
          <w:tcPr>
            <w:tcW w:type="dxa" w:w="1871"/>
            <w:vAlign w:val="top"/>
          </w:tcPr>
          <w:p>
            <w:r/>
            <w:r>
              <w:rPr>
                <w:b w:val="0"/>
              </w:rPr>
              <w:t>Admin en regressie</w:t>
            </w:r>
          </w:p>
        </w:tc>
        <w:tc>
          <w:tcPr>
            <w:tcW w:type="dxa" w:w="4139"/>
            <w:vAlign w:val="top"/>
          </w:tcPr>
          <w:p>
            <w:r/>
            <w:r>
              <w:rPr>
                <w:b w:val="0"/>
              </w:rPr>
              <w:t>Technische borging, gates, regressierunner, rapportage.</w:t>
            </w:r>
          </w:p>
        </w:tc>
        <w:tc>
          <w:tcPr>
            <w:tcW w:type="dxa" w:w="3061"/>
            <w:vAlign w:val="top"/>
          </w:tcPr>
          <w:p>
            <w:r/>
            <w:r>
              <w:rPr>
                <w:b w:val="0"/>
              </w:rPr>
              <w:t>Functionele businesslogica uitvoeren.</w:t>
            </w:r>
          </w:p>
        </w:tc>
      </w:tr>
    </w:tbl>
    <w:p/>
    <w:p>
      <w:pPr>
        <w:pStyle w:val="Heading1"/>
        <w:keepNext/>
      </w:pPr>
      <w:r>
        <w:t>5. Hoofdgegevensmodel</w:t>
      </w:r>
    </w:p>
    <w:p>
      <w:r>
        <w:t>Het gegevensmodel volgt de gelaagde v2-richting: identity, productcatalogus, huishoudartikel, voorraad, aankoop/import en privacy/services. De frontend werkt functioneel met household_article_id als hoofdanker.</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814"/>
            <w:shd w:fill="1F4E3D"/>
            <w:vAlign w:val="center"/>
          </w:tcPr>
          <w:p>
            <w:r/>
            <w:r>
              <w:rPr>
                <w:b/>
                <w:color w:val="FFFFFF"/>
              </w:rPr>
              <w:t>Laag</w:t>
            </w:r>
          </w:p>
        </w:tc>
        <w:tc>
          <w:tcPr>
            <w:tcW w:type="dxa" w:w="3855"/>
            <w:shd w:fill="1F4E3D"/>
            <w:vAlign w:val="center"/>
          </w:tcPr>
          <w:p>
            <w:r/>
            <w:r>
              <w:rPr>
                <w:b/>
                <w:color w:val="FFFFFF"/>
              </w:rPr>
              <w:t>Belangrijkste entiteiten</w:t>
            </w:r>
          </w:p>
        </w:tc>
        <w:tc>
          <w:tcPr>
            <w:tcW w:type="dxa" w:w="3402"/>
            <w:shd w:fill="1F4E3D"/>
            <w:vAlign w:val="center"/>
          </w:tcPr>
          <w:p>
            <w:r/>
            <w:r>
              <w:rPr>
                <w:b/>
                <w:color w:val="FFFFFF"/>
              </w:rPr>
              <w:t>Architectuurregel</w:t>
            </w:r>
          </w:p>
        </w:tc>
      </w:tr>
      <w:tr>
        <w:tc>
          <w:tcPr>
            <w:tcW w:type="dxa" w:w="1814"/>
            <w:vAlign w:val="top"/>
          </w:tcPr>
          <w:p>
            <w:r/>
            <w:r>
              <w:rPr>
                <w:b w:val="0"/>
              </w:rPr>
              <w:t>A. Identiteit</w:t>
            </w:r>
          </w:p>
        </w:tc>
        <w:tc>
          <w:tcPr>
            <w:tcW w:type="dxa" w:w="3855"/>
            <w:vAlign w:val="top"/>
          </w:tcPr>
          <w:p>
            <w:r/>
            <w:r>
              <w:rPr>
                <w:b w:val="0"/>
              </w:rPr>
              <w:t>users, households, household_memberships, permission policies</w:t>
            </w:r>
          </w:p>
        </w:tc>
        <w:tc>
          <w:tcPr>
            <w:tcW w:type="dxa" w:w="3402"/>
            <w:vAlign w:val="top"/>
          </w:tcPr>
          <w:p>
            <w:r/>
            <w:r>
              <w:rPr>
                <w:b w:val="0"/>
              </w:rPr>
              <w:t>Alle acties worden binnen actieve huishoudcontext uitgevoerd.</w:t>
            </w:r>
          </w:p>
        </w:tc>
      </w:tr>
      <w:tr>
        <w:tc>
          <w:tcPr>
            <w:tcW w:type="dxa" w:w="1814"/>
            <w:vAlign w:val="top"/>
          </w:tcPr>
          <w:p>
            <w:r/>
            <w:r>
              <w:rPr>
                <w:b w:val="0"/>
              </w:rPr>
              <w:t>B. Productcatalogus</w:t>
            </w:r>
          </w:p>
        </w:tc>
        <w:tc>
          <w:tcPr>
            <w:tcW w:type="dxa" w:w="3855"/>
            <w:vAlign w:val="top"/>
          </w:tcPr>
          <w:p>
            <w:r/>
            <w:r>
              <w:rPr>
                <w:b w:val="0"/>
              </w:rPr>
              <w:t>global_products, product_identities, product_enrichments, product_media, product_documents</w:t>
            </w:r>
          </w:p>
        </w:tc>
        <w:tc>
          <w:tcPr>
            <w:tcW w:type="dxa" w:w="3402"/>
            <w:vAlign w:val="top"/>
          </w:tcPr>
          <w:p>
            <w:r/>
            <w:r>
              <w:rPr>
                <w:b w:val="0"/>
              </w:rPr>
              <w:t>Eén GTIN/barcode hoort bij één productrecord of gecontroleerde merge-kandidaat.</w:t>
            </w:r>
          </w:p>
        </w:tc>
      </w:tr>
      <w:tr>
        <w:tc>
          <w:tcPr>
            <w:tcW w:type="dxa" w:w="1814"/>
            <w:vAlign w:val="top"/>
          </w:tcPr>
          <w:p>
            <w:r/>
            <w:r>
              <w:rPr>
                <w:b w:val="0"/>
              </w:rPr>
              <w:t>C. Huishoudartikelen</w:t>
            </w:r>
          </w:p>
        </w:tc>
        <w:tc>
          <w:tcPr>
            <w:tcW w:type="dxa" w:w="3855"/>
            <w:vAlign w:val="top"/>
          </w:tcPr>
          <w:p>
            <w:r/>
            <w:r>
              <w:rPr>
                <w:b w:val="0"/>
              </w:rPr>
              <w:t>household_articles, household_article_settings, household_article_notes</w:t>
            </w:r>
          </w:p>
        </w:tc>
        <w:tc>
          <w:tcPr>
            <w:tcW w:type="dxa" w:w="3402"/>
            <w:vAlign w:val="top"/>
          </w:tcPr>
          <w:p>
            <w:r/>
            <w:r>
              <w:rPr>
                <w:b w:val="0"/>
              </w:rPr>
              <w:t>Huishoudspecifieke instellingen blijven los van global_products.</w:t>
            </w:r>
          </w:p>
        </w:tc>
      </w:tr>
      <w:tr>
        <w:tc>
          <w:tcPr>
            <w:tcW w:type="dxa" w:w="1814"/>
            <w:vAlign w:val="top"/>
          </w:tcPr>
          <w:p>
            <w:r/>
            <w:r>
              <w:rPr>
                <w:b w:val="0"/>
              </w:rPr>
              <w:t>D. Locaties</w:t>
            </w:r>
          </w:p>
        </w:tc>
        <w:tc>
          <w:tcPr>
            <w:tcW w:type="dxa" w:w="3855"/>
            <w:vAlign w:val="top"/>
          </w:tcPr>
          <w:p>
            <w:r/>
            <w:r>
              <w:rPr>
                <w:b w:val="0"/>
              </w:rPr>
              <w:t>spaces/locations, sublocations</w:t>
            </w:r>
          </w:p>
        </w:tc>
        <w:tc>
          <w:tcPr>
            <w:tcW w:type="dxa" w:w="3402"/>
            <w:vAlign w:val="top"/>
          </w:tcPr>
          <w:p>
            <w:r/>
            <w:r>
              <w:rPr>
                <w:b w:val="0"/>
              </w:rPr>
              <w:t>Elke voorraadpositie heeft een geldige locatiecontext; toewijzing kan per importregel nodig zijn.</w:t>
            </w:r>
          </w:p>
        </w:tc>
      </w:tr>
      <w:tr>
        <w:tc>
          <w:tcPr>
            <w:tcW w:type="dxa" w:w="1814"/>
            <w:vAlign w:val="top"/>
          </w:tcPr>
          <w:p>
            <w:r/>
            <w:r>
              <w:rPr>
                <w:b w:val="0"/>
              </w:rPr>
              <w:t>E. Voorraad</w:t>
            </w:r>
          </w:p>
        </w:tc>
        <w:tc>
          <w:tcPr>
            <w:tcW w:type="dxa" w:w="3855"/>
            <w:vAlign w:val="top"/>
          </w:tcPr>
          <w:p>
            <w:r/>
            <w:r>
              <w:rPr>
                <w:b w:val="0"/>
              </w:rPr>
              <w:t>inventory, inventory_events</w:t>
            </w:r>
          </w:p>
        </w:tc>
        <w:tc>
          <w:tcPr>
            <w:tcW w:type="dxa" w:w="3402"/>
            <w:vAlign w:val="top"/>
          </w:tcPr>
          <w:p>
            <w:r/>
            <w:r>
              <w:rPr>
                <w:b w:val="0"/>
              </w:rPr>
              <w:t>inventory is projectie; inventory_events is audittrail en waarheid voor mutaties.</w:t>
            </w:r>
          </w:p>
        </w:tc>
      </w:tr>
      <w:tr>
        <w:tc>
          <w:tcPr>
            <w:tcW w:type="dxa" w:w="1814"/>
            <w:vAlign w:val="top"/>
          </w:tcPr>
          <w:p>
            <w:r/>
            <w:r>
              <w:rPr>
                <w:b w:val="0"/>
              </w:rPr>
              <w:t>F. Aankoop/import</w:t>
            </w:r>
          </w:p>
        </w:tc>
        <w:tc>
          <w:tcPr>
            <w:tcW w:type="dxa" w:w="3855"/>
            <w:vAlign w:val="top"/>
          </w:tcPr>
          <w:p>
            <w:r/>
            <w:r>
              <w:rPr>
                <w:b w:val="0"/>
              </w:rPr>
              <w:t>raw_receipts, receipt_tables, receipt_table_lines, purchase_import_batches, purchase_import_lines</w:t>
            </w:r>
          </w:p>
        </w:tc>
        <w:tc>
          <w:tcPr>
            <w:tcW w:type="dxa" w:w="3402"/>
            <w:vAlign w:val="top"/>
          </w:tcPr>
          <w:p>
            <w:r/>
            <w:r>
              <w:rPr>
                <w:b w:val="0"/>
              </w:rPr>
              <w:t>Kassabonregels zijn importkandidaten, nog geen voorraadmutaties.</w:t>
            </w:r>
          </w:p>
        </w:tc>
      </w:tr>
      <w:tr>
        <w:tc>
          <w:tcPr>
            <w:tcW w:type="dxa" w:w="1814"/>
            <w:vAlign w:val="top"/>
          </w:tcPr>
          <w:p>
            <w:r/>
            <w:r>
              <w:rPr>
                <w:b w:val="0"/>
              </w:rPr>
              <w:t>G. Privacy/services</w:t>
            </w:r>
          </w:p>
        </w:tc>
        <w:tc>
          <w:tcPr>
            <w:tcW w:type="dxa" w:w="3855"/>
            <w:vAlign w:val="top"/>
          </w:tcPr>
          <w:p>
            <w:r/>
            <w:r>
              <w:rPr>
                <w:b w:val="0"/>
              </w:rPr>
              <w:t>service_providers, data_permissions, service_subscriptions, shared_data_exports</w:t>
            </w:r>
          </w:p>
        </w:tc>
        <w:tc>
          <w:tcPr>
            <w:tcW w:type="dxa" w:w="3402"/>
            <w:vAlign w:val="top"/>
          </w:tcPr>
          <w:p>
            <w:r/>
            <w:r>
              <w:rPr>
                <w:b w:val="0"/>
              </w:rPr>
              <w:t>Geen datadeling zonder expliciete permission.</w:t>
            </w:r>
          </w:p>
        </w:tc>
      </w:tr>
    </w:tbl>
    <w:p/>
    <w:p>
      <w:pPr>
        <w:pStyle w:val="Heading1"/>
        <w:keepNext/>
      </w:pPr>
      <w:r>
        <w:t>6. Functionele keten: van aankoop naar voorraad</w:t>
      </w:r>
    </w:p>
    <w:p>
      <w:r>
        <w:t>De volledige keten bestaat uit vier gescheiden fasen. Elke fase heeft eigen data, eigen status en eigen validaties. Dit voorkomt dat een OCR- of parserresultaat direct en oncontroleerbaar de voorraad wijzigt.</w:t>
      </w:r>
    </w:p>
    <w:p>
      <w:pPr>
        <w:pStyle w:val="ListNumber"/>
      </w:pPr>
      <w:r>
        <w:t>Inlezen: ontvangst van kassabon, foto, PDF, e-mail, appbon, handmatige aankoop of toekomstige winkelkoppeling.</w:t>
      </w:r>
    </w:p>
    <w:p>
      <w:pPr>
        <w:pStyle w:val="ListNumber"/>
      </w:pPr>
      <w:r>
        <w:t>Interpreteren: OCR/tekstextractie, parserprofiel, kandidaatregels, totaalvalidatie en PO-normstatus.</w:t>
      </w:r>
    </w:p>
    <w:p>
      <w:pPr>
        <w:pStyle w:val="ListNumber"/>
      </w:pPr>
      <w:r>
        <w:t>Uitpakken: gebruiker of automatische regel zet importregels klaar met artikelmatch, hoeveelheid, bestemming en verwerkingsstatus.</w:t>
      </w:r>
    </w:p>
    <w:p>
      <w:pPr>
        <w:pStyle w:val="ListNumber"/>
      </w:pPr>
      <w:r>
        <w:t>Opbergen: importregels worden expliciete inventory_events en werken de voorraadprojectie bij.</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1701"/>
            <w:shd w:fill="1F4E3D"/>
            <w:vAlign w:val="center"/>
          </w:tcPr>
          <w:p>
            <w:r/>
            <w:r>
              <w:rPr>
                <w:b/>
                <w:color w:val="FFFFFF"/>
              </w:rPr>
              <w:t>Fase</w:t>
            </w:r>
          </w:p>
        </w:tc>
        <w:tc>
          <w:tcPr>
            <w:tcW w:type="dxa" w:w="2381"/>
            <w:shd w:fill="1F4E3D"/>
            <w:vAlign w:val="center"/>
          </w:tcPr>
          <w:p>
            <w:r/>
            <w:r>
              <w:rPr>
                <w:b/>
                <w:color w:val="FFFFFF"/>
              </w:rPr>
              <w:t>Input</w:t>
            </w:r>
          </w:p>
        </w:tc>
        <w:tc>
          <w:tcPr>
            <w:tcW w:type="dxa" w:w="2948"/>
            <w:shd w:fill="1F4E3D"/>
            <w:vAlign w:val="center"/>
          </w:tcPr>
          <w:p>
            <w:r/>
            <w:r>
              <w:rPr>
                <w:b/>
                <w:color w:val="FFFFFF"/>
              </w:rPr>
              <w:t>Output</w:t>
            </w:r>
          </w:p>
        </w:tc>
        <w:tc>
          <w:tcPr>
            <w:tcW w:type="dxa" w:w="2041"/>
            <w:shd w:fill="1F4E3D"/>
            <w:vAlign w:val="center"/>
          </w:tcPr>
          <w:p>
            <w:r/>
            <w:r>
              <w:rPr>
                <w:b/>
                <w:color w:val="FFFFFF"/>
              </w:rPr>
              <w:t>Statusbron</w:t>
            </w:r>
          </w:p>
        </w:tc>
      </w:tr>
      <w:tr>
        <w:tc>
          <w:tcPr>
            <w:tcW w:type="dxa" w:w="1701"/>
            <w:vAlign w:val="top"/>
          </w:tcPr>
          <w:p>
            <w:r/>
            <w:r>
              <w:rPr>
                <w:b w:val="0"/>
              </w:rPr>
              <w:t>Inlezen</w:t>
            </w:r>
          </w:p>
        </w:tc>
        <w:tc>
          <w:tcPr>
            <w:tcW w:type="dxa" w:w="2381"/>
            <w:vAlign w:val="top"/>
          </w:tcPr>
          <w:p>
            <w:r/>
            <w:r>
              <w:rPr>
                <w:b w:val="0"/>
              </w:rPr>
              <w:t>Bestand, mail, upload, scanner of handmatige invoer</w:t>
            </w:r>
          </w:p>
        </w:tc>
        <w:tc>
          <w:tcPr>
            <w:tcW w:type="dxa" w:w="2948"/>
            <w:vAlign w:val="top"/>
          </w:tcPr>
          <w:p>
            <w:r/>
            <w:r>
              <w:rPr>
                <w:b w:val="0"/>
              </w:rPr>
              <w:t>raw_receipt / bronrecord</w:t>
            </w:r>
          </w:p>
        </w:tc>
        <w:tc>
          <w:tcPr>
            <w:tcW w:type="dxa" w:w="2041"/>
            <w:vAlign w:val="top"/>
          </w:tcPr>
          <w:p>
            <w:r/>
            <w:r>
              <w:rPr>
                <w:b w:val="0"/>
              </w:rPr>
              <w:t>Technische importstatus</w:t>
            </w:r>
          </w:p>
        </w:tc>
      </w:tr>
      <w:tr>
        <w:tc>
          <w:tcPr>
            <w:tcW w:type="dxa" w:w="1701"/>
            <w:vAlign w:val="top"/>
          </w:tcPr>
          <w:p>
            <w:r/>
            <w:r>
              <w:rPr>
                <w:b w:val="0"/>
              </w:rPr>
              <w:t>Interpreteren</w:t>
            </w:r>
          </w:p>
        </w:tc>
        <w:tc>
          <w:tcPr>
            <w:tcW w:type="dxa" w:w="2381"/>
            <w:vAlign w:val="top"/>
          </w:tcPr>
          <w:p>
            <w:r/>
            <w:r>
              <w:rPr>
                <w:b w:val="0"/>
              </w:rPr>
              <w:t>Bronrecord + OCR/tekst</w:t>
            </w:r>
          </w:p>
        </w:tc>
        <w:tc>
          <w:tcPr>
            <w:tcW w:type="dxa" w:w="2948"/>
            <w:vAlign w:val="top"/>
          </w:tcPr>
          <w:p>
            <w:r/>
            <w:r>
              <w:rPr>
                <w:b w:val="0"/>
              </w:rPr>
              <w:t>receipt_table + receipt_table_lines + diagnostics</w:t>
            </w:r>
          </w:p>
        </w:tc>
        <w:tc>
          <w:tcPr>
            <w:tcW w:type="dxa" w:w="2041"/>
            <w:vAlign w:val="top"/>
          </w:tcPr>
          <w:p>
            <w:r/>
            <w:r>
              <w:rPr>
                <w:b w:val="0"/>
              </w:rPr>
              <w:t>receipt_status_baseline_service voor po_norm_status_label</w:t>
            </w:r>
          </w:p>
        </w:tc>
      </w:tr>
      <w:tr>
        <w:tc>
          <w:tcPr>
            <w:tcW w:type="dxa" w:w="1701"/>
            <w:vAlign w:val="top"/>
          </w:tcPr>
          <w:p>
            <w:r/>
            <w:r>
              <w:rPr>
                <w:b w:val="0"/>
              </w:rPr>
              <w:t>Uitpakken</w:t>
            </w:r>
          </w:p>
        </w:tc>
        <w:tc>
          <w:tcPr>
            <w:tcW w:type="dxa" w:w="2381"/>
            <w:vAlign w:val="top"/>
          </w:tcPr>
          <w:p>
            <w:r/>
            <w:r>
              <w:rPr>
                <w:b w:val="0"/>
              </w:rPr>
              <w:t>Receipt lines of handmatige aankoopregels</w:t>
            </w:r>
          </w:p>
        </w:tc>
        <w:tc>
          <w:tcPr>
            <w:tcW w:type="dxa" w:w="2948"/>
            <w:vAlign w:val="top"/>
          </w:tcPr>
          <w:p>
            <w:r/>
            <w:r>
              <w:rPr>
                <w:b w:val="0"/>
              </w:rPr>
              <w:t>purchase_import_batch + purchase_import_lines</w:t>
            </w:r>
          </w:p>
        </w:tc>
        <w:tc>
          <w:tcPr>
            <w:tcW w:type="dxa" w:w="2041"/>
            <w:vAlign w:val="top"/>
          </w:tcPr>
          <w:p>
            <w:r/>
            <w:r>
              <w:rPr>
                <w:b w:val="0"/>
              </w:rPr>
              <w:t>Import/verwerkingsstatus per regel</w:t>
            </w:r>
          </w:p>
        </w:tc>
      </w:tr>
      <w:tr>
        <w:tc>
          <w:tcPr>
            <w:tcW w:type="dxa" w:w="1701"/>
            <w:vAlign w:val="top"/>
          </w:tcPr>
          <w:p>
            <w:r/>
            <w:r>
              <w:rPr>
                <w:b w:val="0"/>
              </w:rPr>
              <w:t>Opbergen</w:t>
            </w:r>
          </w:p>
        </w:tc>
        <w:tc>
          <w:tcPr>
            <w:tcW w:type="dxa" w:w="2381"/>
            <w:vAlign w:val="top"/>
          </w:tcPr>
          <w:p>
            <w:r/>
            <w:r>
              <w:rPr>
                <w:b w:val="0"/>
              </w:rPr>
              <w:t>Ready purchase_import_lines met locatie</w:t>
            </w:r>
          </w:p>
        </w:tc>
        <w:tc>
          <w:tcPr>
            <w:tcW w:type="dxa" w:w="2948"/>
            <w:vAlign w:val="top"/>
          </w:tcPr>
          <w:p>
            <w:r/>
            <w:r>
              <w:rPr>
                <w:b w:val="0"/>
              </w:rPr>
              <w:t>inventory_events + inventory-projectie</w:t>
            </w:r>
          </w:p>
        </w:tc>
        <w:tc>
          <w:tcPr>
            <w:tcW w:type="dxa" w:w="2041"/>
            <w:vAlign w:val="top"/>
          </w:tcPr>
          <w:p>
            <w:r/>
            <w:r>
              <w:rPr>
                <w:b w:val="0"/>
              </w:rPr>
              <w:t>Inventory event log</w:t>
            </w:r>
          </w:p>
        </w:tc>
      </w:tr>
    </w:tbl>
    <w:p/>
    <w:p>
      <w:pPr>
        <w:pStyle w:val="Heading1"/>
        <w:keepNext/>
      </w:pPr>
      <w:r>
        <w:t>7. Kassa en Receipt Ingestion Engine</w:t>
      </w:r>
    </w:p>
    <w:p>
      <w:r>
        <w:t>De Receipt Ingestion Engine uit v2.3 blijft normatief voor bronontsluiting, preprocessing, OCR, parsering, diagnostics en status-SSOT. In v2.4 wordt expliciet vastgelegd dat de engine een invoerlaag is die importkandidaten oplevert, geen voorraadlaag.</w:t>
      </w:r>
    </w:p>
    <w:p>
      <w:pPr>
        <w:pStyle w:val="Heading2"/>
        <w:keepNext/>
      </w:pPr>
      <w:r>
        <w:t>7.1 Engine-outputcontract</w:t>
      </w:r>
    </w:p>
    <w:p>
      <w:r>
        <w:t>Het outputcontract blijft gericht op parserfeiten en reviewinput. Het mag geen voorraadmutaties uitvoeren.</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268"/>
            <w:shd w:fill="1F4E3D"/>
            <w:vAlign w:val="center"/>
          </w:tcPr>
          <w:p>
            <w:r/>
            <w:r>
              <w:rPr>
                <w:b/>
                <w:color w:val="FFFFFF"/>
              </w:rPr>
              <w:t>Veld</w:t>
            </w:r>
          </w:p>
        </w:tc>
        <w:tc>
          <w:tcPr>
            <w:tcW w:type="dxa" w:w="3515"/>
            <w:shd w:fill="1F4E3D"/>
            <w:vAlign w:val="center"/>
          </w:tcPr>
          <w:p>
            <w:r/>
            <w:r>
              <w:rPr>
                <w:b/>
                <w:color w:val="FFFFFF"/>
              </w:rPr>
              <w:t>Betekenis</w:t>
            </w:r>
          </w:p>
        </w:tc>
        <w:tc>
          <w:tcPr>
            <w:tcW w:type="dxa" w:w="3288"/>
            <w:shd w:fill="1F4E3D"/>
            <w:vAlign w:val="center"/>
          </w:tcPr>
          <w:p>
            <w:r/>
            <w:r>
              <w:rPr>
                <w:b/>
                <w:color w:val="FFFFFF"/>
              </w:rPr>
              <w:t>Norm</w:t>
            </w:r>
          </w:p>
        </w:tc>
      </w:tr>
      <w:tr>
        <w:tc>
          <w:tcPr>
            <w:tcW w:type="dxa" w:w="2268"/>
            <w:vAlign w:val="top"/>
          </w:tcPr>
          <w:p>
            <w:r/>
            <w:r>
              <w:rPr>
                <w:b w:val="0"/>
              </w:rPr>
              <w:t>receipt_id</w:t>
            </w:r>
          </w:p>
        </w:tc>
        <w:tc>
          <w:tcPr>
            <w:tcW w:type="dxa" w:w="3515"/>
            <w:vAlign w:val="top"/>
          </w:tcPr>
          <w:p>
            <w:r/>
            <w:r>
              <w:rPr>
                <w:b w:val="0"/>
              </w:rPr>
              <w:t>Technische koppeling naar bron/importrecord</w:t>
            </w:r>
          </w:p>
        </w:tc>
        <w:tc>
          <w:tcPr>
            <w:tcW w:type="dxa" w:w="3288"/>
            <w:vAlign w:val="top"/>
          </w:tcPr>
          <w:p>
            <w:r/>
            <w:r>
              <w:rPr>
                <w:b w:val="0"/>
              </w:rPr>
              <w:t>Verplicht na persistente import.</w:t>
            </w:r>
          </w:p>
        </w:tc>
      </w:tr>
      <w:tr>
        <w:tc>
          <w:tcPr>
            <w:tcW w:type="dxa" w:w="2268"/>
            <w:vAlign w:val="top"/>
          </w:tcPr>
          <w:p>
            <w:r/>
            <w:r>
              <w:rPr>
                <w:b w:val="0"/>
              </w:rPr>
              <w:t>source_file</w:t>
            </w:r>
          </w:p>
        </w:tc>
        <w:tc>
          <w:tcPr>
            <w:tcW w:type="dxa" w:w="3515"/>
            <w:vAlign w:val="top"/>
          </w:tcPr>
          <w:p>
            <w:r/>
            <w:r>
              <w:rPr>
                <w:b w:val="0"/>
              </w:rPr>
              <w:t>Herkomstbestand of bronlabel</w:t>
            </w:r>
          </w:p>
        </w:tc>
        <w:tc>
          <w:tcPr>
            <w:tcW w:type="dxa" w:w="3288"/>
            <w:vAlign w:val="top"/>
          </w:tcPr>
          <w:p>
            <w:r/>
            <w:r>
              <w:rPr>
                <w:b w:val="0"/>
              </w:rPr>
              <w:t>Traceerbaar en auditbaar.</w:t>
            </w:r>
          </w:p>
        </w:tc>
      </w:tr>
      <w:tr>
        <w:tc>
          <w:tcPr>
            <w:tcW w:type="dxa" w:w="2268"/>
            <w:vAlign w:val="top"/>
          </w:tcPr>
          <w:p>
            <w:r/>
            <w:r>
              <w:rPr>
                <w:b w:val="0"/>
              </w:rPr>
              <w:t>parser_rows</w:t>
            </w:r>
          </w:p>
        </w:tc>
        <w:tc>
          <w:tcPr>
            <w:tcW w:type="dxa" w:w="3515"/>
            <w:vAlign w:val="top"/>
          </w:tcPr>
          <w:p>
            <w:r/>
            <w:r>
              <w:rPr>
                <w:b w:val="0"/>
              </w:rPr>
              <w:t>Kandidaat artikelregels</w:t>
            </w:r>
          </w:p>
        </w:tc>
        <w:tc>
          <w:tcPr>
            <w:tcW w:type="dxa" w:w="3288"/>
            <w:vAlign w:val="top"/>
          </w:tcPr>
          <w:p>
            <w:r/>
            <w:r>
              <w:rPr>
                <w:b w:val="0"/>
              </w:rPr>
              <w:t>Feiten/kandidaten, geen voorraadmutaties.</w:t>
            </w:r>
          </w:p>
        </w:tc>
      </w:tr>
      <w:tr>
        <w:tc>
          <w:tcPr>
            <w:tcW w:type="dxa" w:w="2268"/>
            <w:vAlign w:val="top"/>
          </w:tcPr>
          <w:p>
            <w:r/>
            <w:r>
              <w:rPr>
                <w:b w:val="0"/>
              </w:rPr>
              <w:t>review_suggestions</w:t>
            </w:r>
          </w:p>
        </w:tc>
        <w:tc>
          <w:tcPr>
            <w:tcW w:type="dxa" w:w="3515"/>
            <w:vAlign w:val="top"/>
          </w:tcPr>
          <w:p>
            <w:r/>
            <w:r>
              <w:rPr>
                <w:b w:val="0"/>
              </w:rPr>
              <w:t>Controlevoorstellen</w:t>
            </w:r>
          </w:p>
        </w:tc>
        <w:tc>
          <w:tcPr>
            <w:tcW w:type="dxa" w:w="3288"/>
            <w:vAlign w:val="top"/>
          </w:tcPr>
          <w:p>
            <w:r/>
            <w:r>
              <w:rPr>
                <w:b w:val="0"/>
              </w:rPr>
              <w:t>Alleen UI/reviewinput.</w:t>
            </w:r>
          </w:p>
        </w:tc>
      </w:tr>
      <w:tr>
        <w:tc>
          <w:tcPr>
            <w:tcW w:type="dxa" w:w="2268"/>
            <w:vAlign w:val="top"/>
          </w:tcPr>
          <w:p>
            <w:r/>
            <w:r>
              <w:rPr>
                <w:b w:val="0"/>
              </w:rPr>
              <w:t>diagnostics</w:t>
            </w:r>
          </w:p>
        </w:tc>
        <w:tc>
          <w:tcPr>
            <w:tcW w:type="dxa" w:w="3515"/>
            <w:vAlign w:val="top"/>
          </w:tcPr>
          <w:p>
            <w:r/>
            <w:r>
              <w:rPr>
                <w:b w:val="0"/>
              </w:rPr>
              <w:t>OCR, parser, route en kwaliteitsinformatie</w:t>
            </w:r>
          </w:p>
        </w:tc>
        <w:tc>
          <w:tcPr>
            <w:tcW w:type="dxa" w:w="3288"/>
            <w:vAlign w:val="top"/>
          </w:tcPr>
          <w:p>
            <w:r/>
            <w:r>
              <w:rPr>
                <w:b w:val="0"/>
              </w:rPr>
              <w:t>Mag productie niet wijzigen.</w:t>
            </w:r>
          </w:p>
        </w:tc>
      </w:tr>
      <w:tr>
        <w:tc>
          <w:tcPr>
            <w:tcW w:type="dxa" w:w="2268"/>
            <w:vAlign w:val="top"/>
          </w:tcPr>
          <w:p>
            <w:r/>
            <w:r>
              <w:rPr>
                <w:b w:val="0"/>
              </w:rPr>
              <w:t>engine_processing_state</w:t>
            </w:r>
          </w:p>
        </w:tc>
        <w:tc>
          <w:tcPr>
            <w:tcW w:type="dxa" w:w="3515"/>
            <w:vAlign w:val="top"/>
          </w:tcPr>
          <w:p>
            <w:r/>
            <w:r>
              <w:rPr>
                <w:b w:val="0"/>
              </w:rPr>
              <w:t>parsed, diagnostics_available of failed</w:t>
            </w:r>
          </w:p>
        </w:tc>
        <w:tc>
          <w:tcPr>
            <w:tcW w:type="dxa" w:w="3288"/>
            <w:vAlign w:val="top"/>
          </w:tcPr>
          <w:p>
            <w:r/>
            <w:r>
              <w:rPr>
                <w:b w:val="0"/>
              </w:rPr>
              <w:t>Technische status, geen PO-status.</w:t>
            </w:r>
          </w:p>
        </w:tc>
      </w:tr>
      <w:tr>
        <w:tc>
          <w:tcPr>
            <w:tcW w:type="dxa" w:w="2268"/>
            <w:vAlign w:val="top"/>
          </w:tcPr>
          <w:p>
            <w:r/>
            <w:r>
              <w:rPr>
                <w:b w:val="0"/>
              </w:rPr>
              <w:t>po_norm_status_label</w:t>
            </w:r>
          </w:p>
        </w:tc>
        <w:tc>
          <w:tcPr>
            <w:tcW w:type="dxa" w:w="3515"/>
            <w:vAlign w:val="top"/>
          </w:tcPr>
          <w:p>
            <w:r/>
            <w:r>
              <w:rPr>
                <w:b w:val="0"/>
              </w:rPr>
              <w:t>Functionele statuslabel</w:t>
            </w:r>
          </w:p>
        </w:tc>
        <w:tc>
          <w:tcPr>
            <w:tcW w:type="dxa" w:w="3288"/>
            <w:vAlign w:val="top"/>
          </w:tcPr>
          <w:p>
            <w:r/>
            <w:r>
              <w:rPr>
                <w:b w:val="0"/>
              </w:rPr>
              <w:t>Alleen afkomstig uit SSOT; parser zet dit niet zelf.</w:t>
            </w:r>
          </w:p>
        </w:tc>
      </w:tr>
      <w:tr>
        <w:tc>
          <w:tcPr>
            <w:tcW w:type="dxa" w:w="2268"/>
            <w:vAlign w:val="top"/>
          </w:tcPr>
          <w:p>
            <w:r/>
            <w:r>
              <w:rPr>
                <w:b w:val="0"/>
              </w:rPr>
              <w:t>engine_version</w:t>
            </w:r>
          </w:p>
        </w:tc>
        <w:tc>
          <w:tcPr>
            <w:tcW w:type="dxa" w:w="3515"/>
            <w:vAlign w:val="top"/>
          </w:tcPr>
          <w:p>
            <w:r/>
            <w:r>
              <w:rPr>
                <w:b w:val="0"/>
              </w:rPr>
              <w:t>Versie van inleesengine</w:t>
            </w:r>
          </w:p>
        </w:tc>
        <w:tc>
          <w:tcPr>
            <w:tcW w:type="dxa" w:w="3288"/>
            <w:vAlign w:val="top"/>
          </w:tcPr>
          <w:p>
            <w:r/>
            <w:r>
              <w:rPr>
                <w:b w:val="0"/>
              </w:rPr>
              <w:t>Nodig voor regressie en vergelijkbaarheid.</w:t>
            </w:r>
          </w:p>
        </w:tc>
      </w:tr>
    </w:tbl>
    <w:p/>
    <w:p>
      <w:pPr>
        <w:pStyle w:val="Heading2"/>
        <w:keepNext/>
      </w:pPr>
      <w:r>
        <w:t>7.2 Store profiles</w:t>
      </w:r>
    </w:p>
    <w:p>
      <w:r>
        <w:t>Winkelketen-specifieke regels worden per profiel ondergebracht. AH, Aldi, Jumbo, Plus, Picnic en Lidl zijn de prioritaire supermarktprofielen voor regressieborging. Andere winkelketens volgen pas na stabiele generieke interfaces.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551"/>
            <w:shd w:fill="1F4E3D"/>
            <w:vAlign w:val="center"/>
          </w:tcPr>
          <w:p>
            <w:r/>
            <w:r>
              <w:rPr>
                <w:b/>
                <w:color w:val="FFFFFF"/>
              </w:rPr>
              <w:t>Profielonderdeel</w:t>
            </w:r>
          </w:p>
        </w:tc>
        <w:tc>
          <w:tcPr>
            <w:tcW w:type="dxa" w:w="3685"/>
            <w:shd w:fill="1F4E3D"/>
            <w:vAlign w:val="center"/>
          </w:tcPr>
          <w:p>
            <w:r/>
            <w:r>
              <w:rPr>
                <w:b/>
                <w:color w:val="FFFFFF"/>
              </w:rPr>
              <w:t>Doel</w:t>
            </w:r>
          </w:p>
        </w:tc>
        <w:tc>
          <w:tcPr>
            <w:tcW w:type="dxa" w:w="2835"/>
            <w:shd w:fill="1F4E3D"/>
            <w:vAlign w:val="center"/>
          </w:tcPr>
          <w:p>
            <w:r/>
            <w:r>
              <w:rPr>
                <w:b/>
                <w:color w:val="FFFFFF"/>
              </w:rPr>
              <w:t>Voorbeeld</w:t>
            </w:r>
          </w:p>
        </w:tc>
      </w:tr>
      <w:tr>
        <w:tc>
          <w:tcPr>
            <w:tcW w:type="dxa" w:w="2551"/>
            <w:vAlign w:val="top"/>
          </w:tcPr>
          <w:p>
            <w:r/>
            <w:r>
              <w:rPr>
                <w:b w:val="0"/>
              </w:rPr>
              <w:t>detect.py</w:t>
            </w:r>
          </w:p>
        </w:tc>
        <w:tc>
          <w:tcPr>
            <w:tcW w:type="dxa" w:w="3685"/>
            <w:vAlign w:val="top"/>
          </w:tcPr>
          <w:p>
            <w:r/>
            <w:r>
              <w:rPr>
                <w:b w:val="0"/>
              </w:rPr>
              <w:t>Herkennen van winkelketen en bronvariant</w:t>
            </w:r>
          </w:p>
        </w:tc>
        <w:tc>
          <w:tcPr>
            <w:tcW w:type="dxa" w:w="2835"/>
            <w:vAlign w:val="top"/>
          </w:tcPr>
          <w:p>
            <w:r/>
            <w:r>
              <w:rPr>
                <w:b w:val="0"/>
              </w:rPr>
              <w:t>AH appbon versus foto</w:t>
            </w:r>
          </w:p>
        </w:tc>
      </w:tr>
      <w:tr>
        <w:tc>
          <w:tcPr>
            <w:tcW w:type="dxa" w:w="2551"/>
            <w:vAlign w:val="top"/>
          </w:tcPr>
          <w:p>
            <w:r/>
            <w:r>
              <w:rPr>
                <w:b w:val="0"/>
              </w:rPr>
              <w:t>header.py</w:t>
            </w:r>
          </w:p>
        </w:tc>
        <w:tc>
          <w:tcPr>
            <w:tcW w:type="dxa" w:w="3685"/>
            <w:vAlign w:val="top"/>
          </w:tcPr>
          <w:p>
            <w:r/>
            <w:r>
              <w:rPr>
                <w:b w:val="0"/>
              </w:rPr>
              <w:t>Filiaal, datum, tijd, kassabonmetadata</w:t>
            </w:r>
          </w:p>
        </w:tc>
        <w:tc>
          <w:tcPr>
            <w:tcW w:type="dxa" w:w="2835"/>
            <w:vAlign w:val="top"/>
          </w:tcPr>
          <w:p>
            <w:r/>
            <w:r>
              <w:rPr>
                <w:b w:val="0"/>
              </w:rPr>
              <w:t>AH filiaalcode of Lidl factuurheader</w:t>
            </w:r>
          </w:p>
        </w:tc>
      </w:tr>
      <w:tr>
        <w:tc>
          <w:tcPr>
            <w:tcW w:type="dxa" w:w="2551"/>
            <w:vAlign w:val="top"/>
          </w:tcPr>
          <w:p>
            <w:r/>
            <w:r>
              <w:rPr>
                <w:b w:val="0"/>
              </w:rPr>
              <w:t>totals.py</w:t>
            </w:r>
          </w:p>
        </w:tc>
        <w:tc>
          <w:tcPr>
            <w:tcW w:type="dxa" w:w="3685"/>
            <w:vAlign w:val="top"/>
          </w:tcPr>
          <w:p>
            <w:r/>
            <w:r>
              <w:rPr>
                <w:b w:val="0"/>
              </w:rPr>
              <w:t>Totaalbedragen, kortingen, betaalregels</w:t>
            </w:r>
          </w:p>
        </w:tc>
        <w:tc>
          <w:tcPr>
            <w:tcW w:type="dxa" w:w="2835"/>
            <w:vAlign w:val="top"/>
          </w:tcPr>
          <w:p>
            <w:r/>
            <w:r>
              <w:rPr>
                <w:b w:val="0"/>
              </w:rPr>
              <w:t>AH TE BETALEN, Jumbo totalen</w:t>
            </w:r>
          </w:p>
        </w:tc>
      </w:tr>
      <w:tr>
        <w:tc>
          <w:tcPr>
            <w:tcW w:type="dxa" w:w="2551"/>
            <w:vAlign w:val="top"/>
          </w:tcPr>
          <w:p>
            <w:r/>
            <w:r>
              <w:rPr>
                <w:b w:val="0"/>
              </w:rPr>
              <w:t>articles.py</w:t>
            </w:r>
          </w:p>
        </w:tc>
        <w:tc>
          <w:tcPr>
            <w:tcW w:type="dxa" w:w="3685"/>
            <w:vAlign w:val="top"/>
          </w:tcPr>
          <w:p>
            <w:r/>
            <w:r>
              <w:rPr>
                <w:b w:val="0"/>
              </w:rPr>
              <w:t>Artikelregels en hoeveelheden</w:t>
            </w:r>
          </w:p>
        </w:tc>
        <w:tc>
          <w:tcPr>
            <w:tcW w:type="dxa" w:w="2835"/>
            <w:vAlign w:val="top"/>
          </w:tcPr>
          <w:p>
            <w:r/>
            <w:r>
              <w:rPr>
                <w:b w:val="0"/>
              </w:rPr>
              <w:t>Jumbo quantity-pair patronen</w:t>
            </w:r>
          </w:p>
        </w:tc>
      </w:tr>
      <w:tr>
        <w:tc>
          <w:tcPr>
            <w:tcW w:type="dxa" w:w="2551"/>
            <w:vAlign w:val="top"/>
          </w:tcPr>
          <w:p>
            <w:r/>
            <w:r>
              <w:rPr>
                <w:b w:val="0"/>
              </w:rPr>
              <w:t>filters.py</w:t>
            </w:r>
          </w:p>
        </w:tc>
        <w:tc>
          <w:tcPr>
            <w:tcW w:type="dxa" w:w="3685"/>
            <w:vAlign w:val="top"/>
          </w:tcPr>
          <w:p>
            <w:r/>
            <w:r>
              <w:rPr>
                <w:b w:val="0"/>
              </w:rPr>
              <w:t>Niet-artikelregels verwijderen</w:t>
            </w:r>
          </w:p>
        </w:tc>
        <w:tc>
          <w:tcPr>
            <w:tcW w:type="dxa" w:w="2835"/>
            <w:vAlign w:val="top"/>
          </w:tcPr>
          <w:p>
            <w:r/>
            <w:r>
              <w:rPr>
                <w:b w:val="0"/>
              </w:rPr>
              <w:t>Kortingskoppen, spaarsystemen, subtotalen</w:t>
            </w:r>
          </w:p>
        </w:tc>
      </w:tr>
      <w:tr>
        <w:tc>
          <w:tcPr>
            <w:tcW w:type="dxa" w:w="2551"/>
            <w:vAlign w:val="top"/>
          </w:tcPr>
          <w:p>
            <w:r/>
            <w:r>
              <w:rPr>
                <w:b w:val="0"/>
              </w:rPr>
              <w:t>diagnostics.py</w:t>
            </w:r>
          </w:p>
        </w:tc>
        <w:tc>
          <w:tcPr>
            <w:tcW w:type="dxa" w:w="3685"/>
            <w:vAlign w:val="top"/>
          </w:tcPr>
          <w:p>
            <w:r/>
            <w:r>
              <w:rPr>
                <w:b w:val="0"/>
              </w:rPr>
              <w:t>Uitlegbaarheid en gap-analyse</w:t>
            </w:r>
          </w:p>
        </w:tc>
        <w:tc>
          <w:tcPr>
            <w:tcW w:type="dxa" w:w="2835"/>
            <w:vAlign w:val="top"/>
          </w:tcPr>
          <w:p>
            <w:r/>
            <w:r>
              <w:rPr>
                <w:b w:val="0"/>
              </w:rPr>
              <w:t>Waarom een regel review nodig heeft</w:t>
            </w:r>
          </w:p>
        </w:tc>
      </w:tr>
    </w:tbl>
    <w:p/>
    <w:p>
      <w:pPr>
        <w:pStyle w:val="Heading1"/>
        <w:keepNext/>
      </w:pPr>
      <w:r>
        <w:t>8. Uitpakken van inkopen</w:t>
      </w:r>
    </w:p>
    <w:p>
      <w:r>
        <w:t>Uitpakken is een afzonderlijke functionele laag tussen Kassa en Voorraad. Het doel is dat de gebruiker ziet welke aangekochte artikelen aan voorraad kunnen worden toegevoegd, welke al aan bekende huishoudartikelen gekoppeld zijn en welke nog besluitvorming nodig hebben.</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268"/>
            <w:shd w:fill="1F4E3D"/>
            <w:vAlign w:val="center"/>
          </w:tcPr>
          <w:p>
            <w:r/>
            <w:r>
              <w:rPr>
                <w:b/>
                <w:color w:val="FFFFFF"/>
              </w:rPr>
              <w:t>Concept</w:t>
            </w:r>
          </w:p>
        </w:tc>
        <w:tc>
          <w:tcPr>
            <w:tcW w:type="dxa" w:w="4082"/>
            <w:shd w:fill="1F4E3D"/>
            <w:vAlign w:val="center"/>
          </w:tcPr>
          <w:p>
            <w:r/>
            <w:r>
              <w:rPr>
                <w:b/>
                <w:color w:val="FFFFFF"/>
              </w:rPr>
              <w:t>Beschrijving</w:t>
            </w:r>
          </w:p>
        </w:tc>
        <w:tc>
          <w:tcPr>
            <w:tcW w:type="dxa" w:w="2721"/>
            <w:shd w:fill="1F4E3D"/>
            <w:vAlign w:val="center"/>
          </w:tcPr>
          <w:p>
            <w:r/>
            <w:r>
              <w:rPr>
                <w:b/>
                <w:color w:val="FFFFFF"/>
              </w:rPr>
              <w:t>Beslisregel</w:t>
            </w:r>
          </w:p>
        </w:tc>
      </w:tr>
      <w:tr>
        <w:tc>
          <w:tcPr>
            <w:tcW w:type="dxa" w:w="2268"/>
            <w:vAlign w:val="top"/>
          </w:tcPr>
          <w:p>
            <w:r/>
            <w:r>
              <w:rPr>
                <w:b w:val="0"/>
              </w:rPr>
              <w:t>Purchase import batch</w:t>
            </w:r>
          </w:p>
        </w:tc>
        <w:tc>
          <w:tcPr>
            <w:tcW w:type="dxa" w:w="4082"/>
            <w:vAlign w:val="top"/>
          </w:tcPr>
          <w:p>
            <w:r/>
            <w:r>
              <w:rPr>
                <w:b w:val="0"/>
              </w:rPr>
              <w:t>Een set aankoopregels afkomstig uit één kassabon, handmatige aankoop of externe bron.</w:t>
            </w:r>
          </w:p>
        </w:tc>
        <w:tc>
          <w:tcPr>
            <w:tcW w:type="dxa" w:w="2721"/>
            <w:vAlign w:val="top"/>
          </w:tcPr>
          <w:p>
            <w:r/>
            <w:r>
              <w:rPr>
                <w:b w:val="0"/>
              </w:rPr>
              <w:t>Batch blijft open totdat alle regels verwerkt, genegeerd of geparkeerd zijn.</w:t>
            </w:r>
          </w:p>
        </w:tc>
      </w:tr>
      <w:tr>
        <w:tc>
          <w:tcPr>
            <w:tcW w:type="dxa" w:w="2268"/>
            <w:vAlign w:val="top"/>
          </w:tcPr>
          <w:p>
            <w:r/>
            <w:r>
              <w:rPr>
                <w:b w:val="0"/>
              </w:rPr>
              <w:t>Purchase import line</w:t>
            </w:r>
          </w:p>
        </w:tc>
        <w:tc>
          <w:tcPr>
            <w:tcW w:type="dxa" w:w="4082"/>
            <w:vAlign w:val="top"/>
          </w:tcPr>
          <w:p>
            <w:r/>
            <w:r>
              <w:rPr>
                <w:b w:val="0"/>
              </w:rPr>
              <w:t>Eén kandidaatregel met artikel, hoeveelheid, prijs en bronverwijzing.</w:t>
            </w:r>
          </w:p>
        </w:tc>
        <w:tc>
          <w:tcPr>
            <w:tcW w:type="dxa" w:w="2721"/>
            <w:vAlign w:val="top"/>
          </w:tcPr>
          <w:p>
            <w:r/>
            <w:r>
              <w:rPr>
                <w:b w:val="0"/>
              </w:rPr>
              <w:t>Een regel mag pas naar voorraad als artikelmatch en locatie voldoende zijn.</w:t>
            </w:r>
          </w:p>
        </w:tc>
      </w:tr>
      <w:tr>
        <w:tc>
          <w:tcPr>
            <w:tcW w:type="dxa" w:w="2268"/>
            <w:vAlign w:val="top"/>
          </w:tcPr>
          <w:p>
            <w:r/>
            <w:r>
              <w:rPr>
                <w:b w:val="0"/>
              </w:rPr>
              <w:t>Ready-status</w:t>
            </w:r>
          </w:p>
        </w:tc>
        <w:tc>
          <w:tcPr>
            <w:tcW w:type="dxa" w:w="4082"/>
            <w:vAlign w:val="top"/>
          </w:tcPr>
          <w:p>
            <w:r/>
            <w:r>
              <w:rPr>
                <w:b w:val="0"/>
              </w:rPr>
              <w:t>Regel is klaar voor opbergen.</w:t>
            </w:r>
          </w:p>
        </w:tc>
        <w:tc>
          <w:tcPr>
            <w:tcW w:type="dxa" w:w="2721"/>
            <w:vAlign w:val="top"/>
          </w:tcPr>
          <w:p>
            <w:r/>
            <w:r>
              <w:rPr>
                <w:b w:val="0"/>
              </w:rPr>
              <w:t>Vereist household_article_id, hoeveelheid en target_location_id.</w:t>
            </w:r>
          </w:p>
        </w:tc>
      </w:tr>
      <w:tr>
        <w:tc>
          <w:tcPr>
            <w:tcW w:type="dxa" w:w="2268"/>
            <w:vAlign w:val="top"/>
          </w:tcPr>
          <w:p>
            <w:r/>
            <w:r>
              <w:rPr>
                <w:b w:val="0"/>
              </w:rPr>
              <w:t>Review nodig</w:t>
            </w:r>
          </w:p>
        </w:tc>
        <w:tc>
          <w:tcPr>
            <w:tcW w:type="dxa" w:w="4082"/>
            <w:vAlign w:val="top"/>
          </w:tcPr>
          <w:p>
            <w:r/>
            <w:r>
              <w:rPr>
                <w:b w:val="0"/>
              </w:rPr>
              <w:t>Regel mist artikelmatch, locatie, hoeveelheid of heeft conflict.</w:t>
            </w:r>
          </w:p>
        </w:tc>
        <w:tc>
          <w:tcPr>
            <w:tcW w:type="dxa" w:w="2721"/>
            <w:vAlign w:val="top"/>
          </w:tcPr>
          <w:p>
            <w:r/>
            <w:r>
              <w:rPr>
                <w:b w:val="0"/>
              </w:rPr>
              <w:t>Gebruiker beslist of regel wordt gekoppeld, aangepast, genegeerd of handmatig verwerkt.</w:t>
            </w:r>
          </w:p>
        </w:tc>
      </w:tr>
      <w:tr>
        <w:tc>
          <w:tcPr>
            <w:tcW w:type="dxa" w:w="2268"/>
            <w:vAlign w:val="top"/>
          </w:tcPr>
          <w:p>
            <w:r/>
            <w:r>
              <w:rPr>
                <w:b w:val="0"/>
              </w:rPr>
              <w:t>Idempotentie</w:t>
            </w:r>
          </w:p>
        </w:tc>
        <w:tc>
          <w:tcPr>
            <w:tcW w:type="dxa" w:w="4082"/>
            <w:vAlign w:val="top"/>
          </w:tcPr>
          <w:p>
            <w:r/>
            <w:r>
              <w:rPr>
                <w:b w:val="0"/>
              </w:rPr>
              <w:t>Herhaald verwerken mag geen dubbele voorraadmutatie veroorzaken.</w:t>
            </w:r>
          </w:p>
        </w:tc>
        <w:tc>
          <w:tcPr>
            <w:tcW w:type="dxa" w:w="2721"/>
            <w:vAlign w:val="top"/>
          </w:tcPr>
          <w:p>
            <w:r/>
            <w:r>
              <w:rPr>
                <w:b w:val="0"/>
              </w:rPr>
              <w:t>processed_event_id borgt verwerking.</w:t>
            </w:r>
          </w:p>
        </w:tc>
      </w:tr>
    </w:tbl>
    <w:p/>
    <w:p>
      <w:pPr>
        <w:pStyle w:val="ListBullet"/>
      </w:pPr>
      <w:r>
        <w:t>De uitpaklijst toont per regel: artikelnaam, hoeveelheid, prijs, bron, voorgestelde match, voorgestelde locatie, status en actie.</w:t>
      </w:r>
    </w:p>
    <w:p>
      <w:pPr>
        <w:pStyle w:val="ListBullet"/>
      </w:pPr>
      <w:r>
        <w:t>De gebruiker kan per regel kiezen: koppelen aan bestaand artikel, nieuw huishoudartikel maken, locatie kiezen, hoeveelheid wijzigen, negeren of parkeren.</w:t>
      </w:r>
    </w:p>
    <w:p>
      <w:pPr>
        <w:pStyle w:val="ListBullet"/>
      </w:pPr>
      <w:r>
        <w:t>Bij batchverwerking mag de gebruiker alleen regels met status ready in één keer opbergen.</w:t>
      </w:r>
    </w:p>
    <w:p>
      <w:pPr>
        <w:pStyle w:val="ListBullet"/>
      </w:pPr>
      <w:r>
        <w:t>Regels met onbekende locatie of onbekend artikel blijven in de uitpaklijst, niet in de voorraad.</w:t>
      </w:r>
    </w:p>
    <w:p>
      <w:pPr>
        <w:pStyle w:val="Heading1"/>
        <w:keepNext/>
      </w:pPr>
      <w:r>
        <w:t>9. Artikelstandaardisatie en productkoppeling</w:t>
      </w:r>
    </w:p>
    <w:p>
      <w:r>
        <w:t>Artikelstandaardisatie voorkomt dat dezelfde producten door OCR-varianten, winkelspecifieke namen of typefouten als losse voorraadartikelen ontstaan. De standaardisatie heeft twee lagen: global_products voor productkennis en household_articles voor huishoudgebruik.</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814"/>
            <w:shd w:fill="1F4E3D"/>
            <w:vAlign w:val="center"/>
          </w:tcPr>
          <w:p>
            <w:r/>
            <w:r>
              <w:rPr>
                <w:b/>
                <w:color w:val="FFFFFF"/>
              </w:rPr>
              <w:t>Stap</w:t>
            </w:r>
          </w:p>
        </w:tc>
        <w:tc>
          <w:tcPr>
            <w:tcW w:type="dxa" w:w="3628"/>
            <w:shd w:fill="1F4E3D"/>
            <w:vAlign w:val="center"/>
          </w:tcPr>
          <w:p>
            <w:r/>
            <w:r>
              <w:rPr>
                <w:b/>
                <w:color w:val="FFFFFF"/>
              </w:rPr>
              <w:t>Doel</w:t>
            </w:r>
          </w:p>
        </w:tc>
        <w:tc>
          <w:tcPr>
            <w:tcW w:type="dxa" w:w="3628"/>
            <w:shd w:fill="1F4E3D"/>
            <w:vAlign w:val="center"/>
          </w:tcPr>
          <w:p>
            <w:r/>
            <w:r>
              <w:rPr>
                <w:b/>
                <w:color w:val="FFFFFF"/>
              </w:rPr>
              <w:t>Output</w:t>
            </w:r>
          </w:p>
        </w:tc>
      </w:tr>
      <w:tr>
        <w:tc>
          <w:tcPr>
            <w:tcW w:type="dxa" w:w="1814"/>
            <w:vAlign w:val="top"/>
          </w:tcPr>
          <w:p>
            <w:r/>
            <w:r>
              <w:rPr>
                <w:b w:val="0"/>
              </w:rPr>
              <w:t>Normalisatie</w:t>
            </w:r>
          </w:p>
        </w:tc>
        <w:tc>
          <w:tcPr>
            <w:tcW w:type="dxa" w:w="3628"/>
            <w:vAlign w:val="top"/>
          </w:tcPr>
          <w:p>
            <w:r/>
            <w:r>
              <w:rPr>
                <w:b w:val="0"/>
              </w:rPr>
              <w:t>Ruwe artikelnamen en codes opschonen</w:t>
            </w:r>
          </w:p>
        </w:tc>
        <w:tc>
          <w:tcPr>
            <w:tcW w:type="dxa" w:w="3628"/>
            <w:vAlign w:val="top"/>
          </w:tcPr>
          <w:p>
            <w:r/>
            <w:r>
              <w:rPr>
                <w:b w:val="0"/>
              </w:rPr>
              <w:t>normalized_label, hoeveelheid, unit, prijs</w:t>
            </w:r>
          </w:p>
        </w:tc>
      </w:tr>
      <w:tr>
        <w:tc>
          <w:tcPr>
            <w:tcW w:type="dxa" w:w="1814"/>
            <w:vAlign w:val="top"/>
          </w:tcPr>
          <w:p>
            <w:r/>
            <w:r>
              <w:rPr>
                <w:b w:val="0"/>
              </w:rPr>
              <w:t>Identity match</w:t>
            </w:r>
          </w:p>
        </w:tc>
        <w:tc>
          <w:tcPr>
            <w:tcW w:type="dxa" w:w="3628"/>
            <w:vAlign w:val="top"/>
          </w:tcPr>
          <w:p>
            <w:r/>
            <w:r>
              <w:rPr>
                <w:b w:val="0"/>
              </w:rPr>
              <w:t>Barcode/GTIN/store_sku/text_match koppelen</w:t>
            </w:r>
          </w:p>
        </w:tc>
        <w:tc>
          <w:tcPr>
            <w:tcW w:type="dxa" w:w="3628"/>
            <w:vAlign w:val="top"/>
          </w:tcPr>
          <w:p>
            <w:r/>
            <w:r>
              <w:rPr>
                <w:b w:val="0"/>
              </w:rPr>
              <w:t>product_identity candidate met confidence</w:t>
            </w:r>
          </w:p>
        </w:tc>
      </w:tr>
      <w:tr>
        <w:tc>
          <w:tcPr>
            <w:tcW w:type="dxa" w:w="1814"/>
            <w:vAlign w:val="top"/>
          </w:tcPr>
          <w:p>
            <w:r/>
            <w:r>
              <w:rPr>
                <w:b w:val="0"/>
              </w:rPr>
              <w:t>Product match</w:t>
            </w:r>
          </w:p>
        </w:tc>
        <w:tc>
          <w:tcPr>
            <w:tcW w:type="dxa" w:w="3628"/>
            <w:vAlign w:val="top"/>
          </w:tcPr>
          <w:p>
            <w:r/>
            <w:r>
              <w:rPr>
                <w:b w:val="0"/>
              </w:rPr>
              <w:t>Koppelen aan global_product of nieuw productvoorstel</w:t>
            </w:r>
          </w:p>
        </w:tc>
        <w:tc>
          <w:tcPr>
            <w:tcW w:type="dxa" w:w="3628"/>
            <w:vAlign w:val="top"/>
          </w:tcPr>
          <w:p>
            <w:r/>
            <w:r>
              <w:rPr>
                <w:b w:val="0"/>
              </w:rPr>
              <w:t>matched_global_product_id of review suggestion</w:t>
            </w:r>
          </w:p>
        </w:tc>
      </w:tr>
      <w:tr>
        <w:tc>
          <w:tcPr>
            <w:tcW w:type="dxa" w:w="1814"/>
            <w:vAlign w:val="top"/>
          </w:tcPr>
          <w:p>
            <w:r/>
            <w:r>
              <w:rPr>
                <w:b w:val="0"/>
              </w:rPr>
              <w:t>Household match</w:t>
            </w:r>
          </w:p>
        </w:tc>
        <w:tc>
          <w:tcPr>
            <w:tcW w:type="dxa" w:w="3628"/>
            <w:vAlign w:val="top"/>
          </w:tcPr>
          <w:p>
            <w:r/>
            <w:r>
              <w:rPr>
                <w:b w:val="0"/>
              </w:rPr>
              <w:t>Koppelen aan bestaand huishoudartikel</w:t>
            </w:r>
          </w:p>
        </w:tc>
        <w:tc>
          <w:tcPr>
            <w:tcW w:type="dxa" w:w="3628"/>
            <w:vAlign w:val="top"/>
          </w:tcPr>
          <w:p>
            <w:r/>
            <w:r>
              <w:rPr>
                <w:b w:val="0"/>
              </w:rPr>
              <w:t>matched_household_article_id</w:t>
            </w:r>
          </w:p>
        </w:tc>
      </w:tr>
      <w:tr>
        <w:tc>
          <w:tcPr>
            <w:tcW w:type="dxa" w:w="1814"/>
            <w:vAlign w:val="top"/>
          </w:tcPr>
          <w:p>
            <w:r/>
            <w:r>
              <w:rPr>
                <w:b w:val="0"/>
              </w:rPr>
              <w:t>Enrichment</w:t>
            </w:r>
          </w:p>
        </w:tc>
        <w:tc>
          <w:tcPr>
            <w:tcW w:type="dxa" w:w="3628"/>
            <w:vAlign w:val="top"/>
          </w:tcPr>
          <w:p>
            <w:r/>
            <w:r>
              <w:rPr>
                <w:b w:val="0"/>
              </w:rPr>
              <w:t>Externe of AI-productdata ophalen</w:t>
            </w:r>
          </w:p>
        </w:tc>
        <w:tc>
          <w:tcPr>
            <w:tcW w:type="dxa" w:w="3628"/>
            <w:vAlign w:val="top"/>
          </w:tcPr>
          <w:p>
            <w:r/>
            <w:r>
              <w:rPr>
                <w:b w:val="0"/>
              </w:rPr>
              <w:t>product_enrichment_attempt + product_enrichment</w:t>
            </w:r>
          </w:p>
        </w:tc>
      </w:tr>
      <w:tr>
        <w:tc>
          <w:tcPr>
            <w:tcW w:type="dxa" w:w="1814"/>
            <w:vAlign w:val="top"/>
          </w:tcPr>
          <w:p>
            <w:r/>
            <w:r>
              <w:rPr>
                <w:b w:val="0"/>
              </w:rPr>
              <w:t>PO/gebruikersbesluit</w:t>
            </w:r>
          </w:p>
        </w:tc>
        <w:tc>
          <w:tcPr>
            <w:tcW w:type="dxa" w:w="3628"/>
            <w:vAlign w:val="top"/>
          </w:tcPr>
          <w:p>
            <w:r/>
            <w:r>
              <w:rPr>
                <w:b w:val="0"/>
              </w:rPr>
              <w:t>Onzekere match accorderen of corrigeren</w:t>
            </w:r>
          </w:p>
        </w:tc>
        <w:tc>
          <w:tcPr>
            <w:tcW w:type="dxa" w:w="3628"/>
            <w:vAlign w:val="top"/>
          </w:tcPr>
          <w:p>
            <w:r/>
            <w:r>
              <w:rPr>
                <w:b w:val="0"/>
              </w:rPr>
              <w:t>definitieve koppeling of nieuw household_article</w:t>
            </w:r>
          </w:p>
        </w:tc>
      </w:tr>
    </w:tbl>
    <w:p/>
    <w:p>
      <w:r>
        <w:t>Architectuurregel: receipt_lines zijn geen voorraadartikelen. Ze zijn aankoopregels die pas via purchase_import_lines aan household_articles worden gekoppeld.</w:t>
      </w:r>
    </w:p>
    <w:p>
      <w:pPr>
        <w:pStyle w:val="Heading1"/>
        <w:keepNext/>
      </w:pPr>
      <w:r>
        <w:t>10. Locaties en locatietoewijzing</w:t>
      </w:r>
    </w:p>
    <w:p>
      <w:r>
        <w:t>Locaties zijn noodzakelijk om voorraad bruikbaar te maken. Een artikel kan in meerdere ruimtes of sublocaties liggen. Locatietoewijzing is daarom onderdeel van het opbergen, niet van het parseren.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268"/>
            <w:shd w:fill="1F4E3D"/>
            <w:vAlign w:val="center"/>
          </w:tcPr>
          <w:p>
            <w:r/>
            <w:r>
              <w:rPr>
                <w:b/>
                <w:color w:val="FFFFFF"/>
              </w:rPr>
              <w:t>Onderdeel</w:t>
            </w:r>
          </w:p>
        </w:tc>
        <w:tc>
          <w:tcPr>
            <w:tcW w:type="dxa" w:w="6803"/>
            <w:shd w:fill="1F4E3D"/>
            <w:vAlign w:val="center"/>
          </w:tcPr>
          <w:p>
            <w:r/>
            <w:r>
              <w:rPr>
                <w:b/>
                <w:color w:val="FFFFFF"/>
              </w:rPr>
              <w:t>Norm</w:t>
            </w:r>
          </w:p>
        </w:tc>
      </w:tr>
      <w:tr>
        <w:tc>
          <w:tcPr>
            <w:tcW w:type="dxa" w:w="2268"/>
            <w:vAlign w:val="top"/>
          </w:tcPr>
          <w:p>
            <w:r/>
            <w:r>
              <w:rPr>
                <w:b w:val="0"/>
              </w:rPr>
              <w:t>Ruimte</w:t>
            </w:r>
          </w:p>
        </w:tc>
        <w:tc>
          <w:tcPr>
            <w:tcW w:type="dxa" w:w="6803"/>
            <w:vAlign w:val="top"/>
          </w:tcPr>
          <w:p>
            <w:r/>
            <w:r>
              <w:rPr>
                <w:b w:val="0"/>
              </w:rPr>
              <w:t>Hoofdniveau voor opslag, bijvoorbeeld Keuken, Voorraadkast, Schuur, Badkamer.</w:t>
            </w:r>
          </w:p>
        </w:tc>
      </w:tr>
      <w:tr>
        <w:tc>
          <w:tcPr>
            <w:tcW w:type="dxa" w:w="2268"/>
            <w:vAlign w:val="top"/>
          </w:tcPr>
          <w:p>
            <w:r/>
            <w:r>
              <w:rPr>
                <w:b w:val="0"/>
              </w:rPr>
              <w:t>Sublocatie</w:t>
            </w:r>
          </w:p>
        </w:tc>
        <w:tc>
          <w:tcPr>
            <w:tcW w:type="dxa" w:w="6803"/>
            <w:vAlign w:val="top"/>
          </w:tcPr>
          <w:p>
            <w:r/>
            <w:r>
              <w:rPr>
                <w:b w:val="0"/>
              </w:rPr>
              <w:t>Tweede niveau binnen ruimte, bijvoorbeeld Plank 1, Koelkastdeur, Lade.</w:t>
            </w:r>
          </w:p>
        </w:tc>
      </w:tr>
      <w:tr>
        <w:tc>
          <w:tcPr>
            <w:tcW w:type="dxa" w:w="2268"/>
            <w:vAlign w:val="top"/>
          </w:tcPr>
          <w:p>
            <w:r/>
            <w:r>
              <w:rPr>
                <w:b w:val="0"/>
              </w:rPr>
              <w:t>Doellocatie</w:t>
            </w:r>
          </w:p>
        </w:tc>
        <w:tc>
          <w:tcPr>
            <w:tcW w:type="dxa" w:w="6803"/>
            <w:vAlign w:val="top"/>
          </w:tcPr>
          <w:p>
            <w:r/>
            <w:r>
              <w:rPr>
                <w:b w:val="0"/>
              </w:rPr>
              <w:t>De locatie waar een aankoopregel wordt opgeborgen.</w:t>
            </w:r>
          </w:p>
        </w:tc>
      </w:tr>
      <w:tr>
        <w:tc>
          <w:tcPr>
            <w:tcW w:type="dxa" w:w="2268"/>
            <w:vAlign w:val="top"/>
          </w:tcPr>
          <w:p>
            <w:r/>
            <w:r>
              <w:rPr>
                <w:b w:val="0"/>
              </w:rPr>
              <w:t>Defaultlocatie</w:t>
            </w:r>
          </w:p>
        </w:tc>
        <w:tc>
          <w:tcPr>
            <w:tcW w:type="dxa" w:w="6803"/>
            <w:vAlign w:val="top"/>
          </w:tcPr>
          <w:p>
            <w:r/>
            <w:r>
              <w:rPr>
                <w:b w:val="0"/>
              </w:rPr>
              <w:t>Voorkeurslocatie per household_article; mag voorstel zijn maar nooit blind verplicht.</w:t>
            </w:r>
          </w:p>
        </w:tc>
      </w:tr>
      <w:tr>
        <w:tc>
          <w:tcPr>
            <w:tcW w:type="dxa" w:w="2268"/>
            <w:vAlign w:val="top"/>
          </w:tcPr>
          <w:p>
            <w:r/>
            <w:r>
              <w:rPr>
                <w:b w:val="0"/>
              </w:rPr>
              <w:t>Locatieconflict</w:t>
            </w:r>
          </w:p>
        </w:tc>
        <w:tc>
          <w:tcPr>
            <w:tcW w:type="dxa" w:w="6803"/>
            <w:vAlign w:val="top"/>
          </w:tcPr>
          <w:p>
            <w:r/>
            <w:r>
              <w:rPr>
                <w:b w:val="0"/>
              </w:rPr>
              <w:t>Als een artikel meerdere logische locaties heeft of geen defaultlocatie, moet de uitpakflow om keuze vragen.</w:t>
            </w:r>
          </w:p>
        </w:tc>
      </w:tr>
      <w:tr>
        <w:tc>
          <w:tcPr>
            <w:tcW w:type="dxa" w:w="2268"/>
            <w:vAlign w:val="top"/>
          </w:tcPr>
          <w:p>
            <w:r/>
            <w:r>
              <w:rPr>
                <w:b w:val="0"/>
              </w:rPr>
              <w:t>Transfer</w:t>
            </w:r>
          </w:p>
        </w:tc>
        <w:tc>
          <w:tcPr>
            <w:tcW w:type="dxa" w:w="6803"/>
            <w:vAlign w:val="top"/>
          </w:tcPr>
          <w:p>
            <w:r/>
            <w:r>
              <w:rPr>
                <w:b w:val="0"/>
              </w:rPr>
              <w:t>Verplaatsen tussen locaties is een voorraadgebeurtenis, geen directe wijziging van inventory zonder event.</w:t>
            </w:r>
          </w:p>
        </w:tc>
      </w:tr>
    </w:tbl>
    <w:p/>
    <w:p>
      <w:pPr>
        <w:pStyle w:val="ListBullet"/>
      </w:pPr>
      <w:r>
        <w:t>Elke purchase_import_line heeft target_location_id nodig voordat verwerking naar voorraad mag plaatsvinden.</w:t>
      </w:r>
    </w:p>
    <w:p>
      <w:pPr>
        <w:pStyle w:val="ListBullet"/>
      </w:pPr>
      <w:r>
        <w:t>Als sublocaties actief zijn, moet de gebruiker sublocatie kunnen kiezen per regel of per groep regels.</w:t>
      </w:r>
    </w:p>
    <w:p>
      <w:pPr>
        <w:pStyle w:val="ListBullet"/>
      </w:pPr>
      <w:r>
        <w:t>Voor bulkopslag mag een voorgestelde locatie worden toegepast op meerdere regels, maar zichtbaar en corrigeerbaar blijven.</w:t>
      </w:r>
    </w:p>
    <w:p>
      <w:pPr>
        <w:pStyle w:val="ListBullet"/>
      </w:pPr>
      <w:r>
        <w:t>Locaties worden beheerd in Instellingen en gebruikt in Voorraad, Uitpakken en Artikeldetail.</w:t>
      </w:r>
    </w:p>
    <w:p>
      <w:pPr>
        <w:pStyle w:val="Heading1"/>
        <w:keepNext/>
      </w:pPr>
      <w:r>
        <w:t>11. Voorraadbeheer en afboeking</w:t>
      </w:r>
    </w:p>
    <w:p>
      <w:r>
        <w:t>Voorraadbeheer bestaat uit standen, gebeurtenissen en gebruikersacties. De stand is altijd afgeleid van mutaties of via expliciete correctie met audittrail. Afboeken is een expliciete actie, geen stille wijziging.</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814"/>
            <w:shd w:fill="1F4E3D"/>
            <w:vAlign w:val="center"/>
          </w:tcPr>
          <w:p>
            <w:r/>
            <w:r>
              <w:rPr>
                <w:b/>
                <w:color w:val="FFFFFF"/>
              </w:rPr>
              <w:t>Eventtype</w:t>
            </w:r>
          </w:p>
        </w:tc>
        <w:tc>
          <w:tcPr>
            <w:tcW w:type="dxa" w:w="3855"/>
            <w:shd w:fill="1F4E3D"/>
            <w:vAlign w:val="center"/>
          </w:tcPr>
          <w:p>
            <w:r/>
            <w:r>
              <w:rPr>
                <w:b/>
                <w:color w:val="FFFFFF"/>
              </w:rPr>
              <w:t>Wanneer gebruikt</w:t>
            </w:r>
          </w:p>
        </w:tc>
        <w:tc>
          <w:tcPr>
            <w:tcW w:type="dxa" w:w="3402"/>
            <w:shd w:fill="1F4E3D"/>
            <w:vAlign w:val="center"/>
          </w:tcPr>
          <w:p>
            <w:r/>
            <w:r>
              <w:rPr>
                <w:b/>
                <w:color w:val="FFFFFF"/>
              </w:rPr>
              <w:t>Effect</w:t>
            </w:r>
          </w:p>
        </w:tc>
      </w:tr>
      <w:tr>
        <w:tc>
          <w:tcPr>
            <w:tcW w:type="dxa" w:w="1814"/>
            <w:vAlign w:val="top"/>
          </w:tcPr>
          <w:p>
            <w:r/>
            <w:r>
              <w:rPr>
                <w:b w:val="0"/>
              </w:rPr>
              <w:t>purchase</w:t>
            </w:r>
          </w:p>
        </w:tc>
        <w:tc>
          <w:tcPr>
            <w:tcW w:type="dxa" w:w="3855"/>
            <w:vAlign w:val="top"/>
          </w:tcPr>
          <w:p>
            <w:r/>
            <w:r>
              <w:rPr>
                <w:b w:val="0"/>
              </w:rPr>
              <w:t>Opbergen van aankoop of handmatige toevoeging</w:t>
            </w:r>
          </w:p>
        </w:tc>
        <w:tc>
          <w:tcPr>
            <w:tcW w:type="dxa" w:w="3402"/>
            <w:vAlign w:val="top"/>
          </w:tcPr>
          <w:p>
            <w:r/>
            <w:r>
              <w:rPr>
                <w:b w:val="0"/>
              </w:rPr>
              <w:t>Verhoogt voorraad op locatie.</w:t>
            </w:r>
          </w:p>
        </w:tc>
      </w:tr>
      <w:tr>
        <w:tc>
          <w:tcPr>
            <w:tcW w:type="dxa" w:w="1814"/>
            <w:vAlign w:val="top"/>
          </w:tcPr>
          <w:p>
            <w:r/>
            <w:r>
              <w:rPr>
                <w:b w:val="0"/>
              </w:rPr>
              <w:t>consume</w:t>
            </w:r>
          </w:p>
        </w:tc>
        <w:tc>
          <w:tcPr>
            <w:tcW w:type="dxa" w:w="3855"/>
            <w:vAlign w:val="top"/>
          </w:tcPr>
          <w:p>
            <w:r/>
            <w:r>
              <w:rPr>
                <w:b w:val="0"/>
              </w:rPr>
              <w:t>Verbruik of afboeking door gebruiker/recept/automatisering</w:t>
            </w:r>
          </w:p>
        </w:tc>
        <w:tc>
          <w:tcPr>
            <w:tcW w:type="dxa" w:w="3402"/>
            <w:vAlign w:val="top"/>
          </w:tcPr>
          <w:p>
            <w:r/>
            <w:r>
              <w:rPr>
                <w:b w:val="0"/>
              </w:rPr>
              <w:t>Verlaagt voorraad op locatie.</w:t>
            </w:r>
          </w:p>
        </w:tc>
      </w:tr>
      <w:tr>
        <w:tc>
          <w:tcPr>
            <w:tcW w:type="dxa" w:w="1814"/>
            <w:vAlign w:val="top"/>
          </w:tcPr>
          <w:p>
            <w:r/>
            <w:r>
              <w:rPr>
                <w:b w:val="0"/>
              </w:rPr>
              <w:t>adjustment</w:t>
            </w:r>
          </w:p>
        </w:tc>
        <w:tc>
          <w:tcPr>
            <w:tcW w:type="dxa" w:w="3855"/>
            <w:vAlign w:val="top"/>
          </w:tcPr>
          <w:p>
            <w:r/>
            <w:r>
              <w:rPr>
                <w:b w:val="0"/>
              </w:rPr>
              <w:t>Correctie bij telling of fout</w:t>
            </w:r>
          </w:p>
        </w:tc>
        <w:tc>
          <w:tcPr>
            <w:tcW w:type="dxa" w:w="3402"/>
            <w:vAlign w:val="top"/>
          </w:tcPr>
          <w:p>
            <w:r/>
            <w:r>
              <w:rPr>
                <w:b w:val="0"/>
              </w:rPr>
              <w:t>Corrigeert voorraad met reden.</w:t>
            </w:r>
          </w:p>
        </w:tc>
      </w:tr>
      <w:tr>
        <w:tc>
          <w:tcPr>
            <w:tcW w:type="dxa" w:w="1814"/>
            <w:vAlign w:val="top"/>
          </w:tcPr>
          <w:p>
            <w:r/>
            <w:r>
              <w:rPr>
                <w:b w:val="0"/>
              </w:rPr>
              <w:t>transfer</w:t>
            </w:r>
          </w:p>
        </w:tc>
        <w:tc>
          <w:tcPr>
            <w:tcW w:type="dxa" w:w="3855"/>
            <w:vAlign w:val="top"/>
          </w:tcPr>
          <w:p>
            <w:r/>
            <w:r>
              <w:rPr>
                <w:b w:val="0"/>
              </w:rPr>
              <w:t>Verplaatsing tussen locaties</w:t>
            </w:r>
          </w:p>
        </w:tc>
        <w:tc>
          <w:tcPr>
            <w:tcW w:type="dxa" w:w="3402"/>
            <w:vAlign w:val="top"/>
          </w:tcPr>
          <w:p>
            <w:r/>
            <w:r>
              <w:rPr>
                <w:b w:val="0"/>
              </w:rPr>
              <w:t>Verlaagt bronlocatie en verhoogt doellocatie.</w:t>
            </w:r>
          </w:p>
        </w:tc>
      </w:tr>
      <w:tr>
        <w:tc>
          <w:tcPr>
            <w:tcW w:type="dxa" w:w="1814"/>
            <w:vAlign w:val="top"/>
          </w:tcPr>
          <w:p>
            <w:r/>
            <w:r>
              <w:rPr>
                <w:b w:val="0"/>
              </w:rPr>
              <w:t>expiry</w:t>
            </w:r>
          </w:p>
        </w:tc>
        <w:tc>
          <w:tcPr>
            <w:tcW w:type="dxa" w:w="3855"/>
            <w:vAlign w:val="top"/>
          </w:tcPr>
          <w:p>
            <w:r/>
            <w:r>
              <w:rPr>
                <w:b w:val="0"/>
              </w:rPr>
              <w:t>Vervallen/weggooien</w:t>
            </w:r>
          </w:p>
        </w:tc>
        <w:tc>
          <w:tcPr>
            <w:tcW w:type="dxa" w:w="3402"/>
            <w:vAlign w:val="top"/>
          </w:tcPr>
          <w:p>
            <w:r/>
            <w:r>
              <w:rPr>
                <w:b w:val="0"/>
              </w:rPr>
              <w:t>Verlaagt voorraad met reden houdbaarheid.</w:t>
            </w:r>
          </w:p>
        </w:tc>
      </w:tr>
      <w:tr>
        <w:tc>
          <w:tcPr>
            <w:tcW w:type="dxa" w:w="1814"/>
            <w:vAlign w:val="top"/>
          </w:tcPr>
          <w:p>
            <w:r/>
            <w:r>
              <w:rPr>
                <w:b w:val="0"/>
              </w:rPr>
              <w:t>return</w:t>
            </w:r>
          </w:p>
        </w:tc>
        <w:tc>
          <w:tcPr>
            <w:tcW w:type="dxa" w:w="3855"/>
            <w:vAlign w:val="top"/>
          </w:tcPr>
          <w:p>
            <w:r/>
            <w:r>
              <w:rPr>
                <w:b w:val="0"/>
              </w:rPr>
              <w:t>Retour of terugboeking</w:t>
            </w:r>
          </w:p>
        </w:tc>
        <w:tc>
          <w:tcPr>
            <w:tcW w:type="dxa" w:w="3402"/>
            <w:vAlign w:val="top"/>
          </w:tcPr>
          <w:p>
            <w:r/>
            <w:r>
              <w:rPr>
                <w:b w:val="0"/>
              </w:rPr>
              <w:t>Verlaagt of corrigeert afhankelijk van bron.</w:t>
            </w:r>
          </w:p>
        </w:tc>
      </w:tr>
    </w:tbl>
    <w:p/>
    <w:p>
      <w:pPr>
        <w:pStyle w:val="Heading2"/>
        <w:keepNext/>
      </w:pPr>
      <w:r>
        <w:t>11.1 Afboekingsregels</w:t>
      </w:r>
    </w:p>
    <w:p>
      <w:pPr>
        <w:pStyle w:val="ListBullet"/>
      </w:pPr>
      <w:r>
        <w:t>Afboeken gebeurt vanuit Voorraad, Artikeldetail, Bijna-op, Recepten of toekomstige slimme voorstellen.</w:t>
      </w:r>
    </w:p>
    <w:p>
      <w:pPr>
        <w:pStyle w:val="ListBullet"/>
      </w:pPr>
      <w:r>
        <w:t>De gebruiker kiest hoeveelheid en locatie indien het artikel op meerdere locaties ligt.</w:t>
      </w:r>
    </w:p>
    <w:p>
      <w:pPr>
        <w:pStyle w:val="ListBullet"/>
      </w:pPr>
      <w:r>
        <w:t>Automatische afboeking is pas toegestaan na expliciete productbeslissing en moet uitschakelbaar zijn.</w:t>
      </w:r>
    </w:p>
    <w:p>
      <w:pPr>
        <w:pStyle w:val="ListBullet"/>
      </w:pPr>
      <w:r>
        <w:t>Negatieve voorraad mag alleen als bewuste correctiestatus of moet worden geblokkeerd, afhankelijk van huishoudinstelling.</w:t>
      </w:r>
    </w:p>
    <w:p>
      <w:pPr>
        <w:pStyle w:val="ListBullet"/>
      </w:pPr>
      <w:r>
        <w:t>Elke afboeking schrijft een inventory_event met source, created_by en reden/context.</w:t>
      </w:r>
    </w:p>
    <w:p>
      <w:pPr>
        <w:pStyle w:val="Heading1"/>
        <w:keepNext/>
      </w:pPr>
      <w:r>
        <w:t>12. Schermen en gebruikersflows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814"/>
            <w:shd w:fill="1F4E3D"/>
            <w:vAlign w:val="center"/>
          </w:tcPr>
          <w:p>
            <w:r/>
            <w:r>
              <w:rPr>
                <w:b/>
                <w:color w:val="FFFFFF"/>
              </w:rPr>
              <w:t>Scherm / module</w:t>
            </w:r>
          </w:p>
        </w:tc>
        <w:tc>
          <w:tcPr>
            <w:tcW w:type="dxa" w:w="3118"/>
            <w:shd w:fill="1F4E3D"/>
            <w:vAlign w:val="center"/>
          </w:tcPr>
          <w:p>
            <w:r/>
            <w:r>
              <w:rPr>
                <w:b/>
                <w:color w:val="FFFFFF"/>
              </w:rPr>
              <w:t>Doel</w:t>
            </w:r>
          </w:p>
        </w:tc>
        <w:tc>
          <w:tcPr>
            <w:tcW w:type="dxa" w:w="4139"/>
            <w:shd w:fill="1F4E3D"/>
            <w:vAlign w:val="center"/>
          </w:tcPr>
          <w:p>
            <w:r/>
            <w:r>
              <w:rPr>
                <w:b/>
                <w:color w:val="FFFFFF"/>
              </w:rPr>
              <w:t>Belangrijkste acties</w:t>
            </w:r>
          </w:p>
        </w:tc>
      </w:tr>
      <w:tr>
        <w:tc>
          <w:tcPr>
            <w:tcW w:type="dxa" w:w="1814"/>
            <w:vAlign w:val="top"/>
          </w:tcPr>
          <w:p>
            <w:r/>
            <w:r>
              <w:rPr>
                <w:b w:val="0"/>
              </w:rPr>
              <w:t>Login</w:t>
            </w:r>
          </w:p>
        </w:tc>
        <w:tc>
          <w:tcPr>
            <w:tcW w:type="dxa" w:w="3118"/>
            <w:vAlign w:val="top"/>
          </w:tcPr>
          <w:p>
            <w:r/>
            <w:r>
              <w:rPr>
                <w:b w:val="0"/>
              </w:rPr>
              <w:t>Toegang tot Rezzerv</w:t>
            </w:r>
          </w:p>
        </w:tc>
        <w:tc>
          <w:tcPr>
            <w:tcW w:type="dxa" w:w="4139"/>
            <w:vAlign w:val="top"/>
          </w:tcPr>
          <w:p>
            <w:r/>
            <w:r>
              <w:rPr>
                <w:b w:val="0"/>
              </w:rPr>
              <w:t>Inloggen, sessie herstellen, foutmelding tonen.</w:t>
            </w:r>
          </w:p>
        </w:tc>
      </w:tr>
      <w:tr>
        <w:tc>
          <w:tcPr>
            <w:tcW w:type="dxa" w:w="1814"/>
            <w:vAlign w:val="top"/>
          </w:tcPr>
          <w:p>
            <w:r/>
            <w:r>
              <w:rPr>
                <w:b w:val="0"/>
              </w:rPr>
              <w:t>Landingspagina</w:t>
            </w:r>
          </w:p>
        </w:tc>
        <w:tc>
          <w:tcPr>
            <w:tcW w:type="dxa" w:w="3118"/>
            <w:vAlign w:val="top"/>
          </w:tcPr>
          <w:p>
            <w:r/>
            <w:r>
              <w:rPr>
                <w:b w:val="0"/>
              </w:rPr>
              <w:t>Navigatie naar hoofdmodules en meldingen</w:t>
            </w:r>
          </w:p>
        </w:tc>
        <w:tc>
          <w:tcPr>
            <w:tcW w:type="dxa" w:w="4139"/>
            <w:vAlign w:val="top"/>
          </w:tcPr>
          <w:p>
            <w:r/>
            <w:r>
              <w:rPr>
                <w:b w:val="0"/>
              </w:rPr>
              <w:t>Naar Kassa, Voorraad, Bijna-op, Winkels, Inzichten, Instellingen.</w:t>
            </w:r>
          </w:p>
        </w:tc>
      </w:tr>
      <w:tr>
        <w:tc>
          <w:tcPr>
            <w:tcW w:type="dxa" w:w="1814"/>
            <w:vAlign w:val="top"/>
          </w:tcPr>
          <w:p>
            <w:r/>
            <w:r>
              <w:rPr>
                <w:b w:val="0"/>
              </w:rPr>
              <w:t>Kassa</w:t>
            </w:r>
          </w:p>
        </w:tc>
        <w:tc>
          <w:tcPr>
            <w:tcW w:type="dxa" w:w="3118"/>
            <w:vAlign w:val="top"/>
          </w:tcPr>
          <w:p>
            <w:r/>
            <w:r>
              <w:rPr>
                <w:b w:val="0"/>
              </w:rPr>
              <w:t>Bon uploaden/inlezen en reviewen</w:t>
            </w:r>
          </w:p>
        </w:tc>
        <w:tc>
          <w:tcPr>
            <w:tcW w:type="dxa" w:w="4139"/>
            <w:vAlign w:val="top"/>
          </w:tcPr>
          <w:p>
            <w:r>
              <w:t>Uploaden, bron bekijken, parserresultaat controleren, inbox en bonregels via DataTable tonen, sticky filters gebruiken, centrale overlaymeldingen tonen, technische details alleen voor admin/owner, goedkeuren of parkeren.</w:t>
            </w:r>
          </w:p>
        </w:tc>
      </w:tr>
      <w:tr>
        <w:tc>
          <w:tcPr>
            <w:tcW w:type="dxa" w:w="1814"/>
            <w:vAlign w:val="top"/>
          </w:tcPr>
          <w:p>
            <w:r/>
            <w:r>
              <w:rPr>
                <w:b w:val="0"/>
              </w:rPr>
              <w:t>Uitpakken</w:t>
            </w:r>
          </w:p>
        </w:tc>
        <w:tc>
          <w:tcPr>
            <w:tcW w:type="dxa" w:w="3118"/>
            <w:vAlign w:val="top"/>
          </w:tcPr>
          <w:p>
            <w:r/>
            <w:r>
              <w:rPr>
                <w:b w:val="0"/>
              </w:rPr>
              <w:t>Aankoopregels klaarmaken voor voorraad</w:t>
            </w:r>
          </w:p>
        </w:tc>
        <w:tc>
          <w:tcPr>
            <w:tcW w:type="dxa" w:w="4139"/>
            <w:vAlign w:val="top"/>
          </w:tcPr>
          <w:p>
            <w:r/>
            <w:r>
              <w:rPr>
                <w:b w:val="0"/>
              </w:rPr>
              <w:t>Artikel koppelen, locatie kiezen, hoeveelheid corrigeren, opbergen.</w:t>
            </w:r>
          </w:p>
        </w:tc>
      </w:tr>
      <w:tr>
        <w:tc>
          <w:tcPr>
            <w:tcW w:type="dxa" w:w="1814"/>
            <w:vAlign w:val="top"/>
          </w:tcPr>
          <w:p>
            <w:r/>
            <w:r>
              <w:rPr>
                <w:b w:val="0"/>
              </w:rPr>
              <w:t>Voorraad</w:t>
            </w:r>
          </w:p>
        </w:tc>
        <w:tc>
          <w:tcPr>
            <w:tcW w:type="dxa" w:w="3118"/>
            <w:vAlign w:val="top"/>
          </w:tcPr>
          <w:p>
            <w:r/>
            <w:r>
              <w:rPr>
                <w:b w:val="0"/>
              </w:rPr>
              <w:t>Huidige voorraad zien en beheren</w:t>
            </w:r>
          </w:p>
        </w:tc>
        <w:tc>
          <w:tcPr>
            <w:tcW w:type="dxa" w:w="4139"/>
            <w:vAlign w:val="top"/>
          </w:tcPr>
          <w:p>
            <w:r/>
            <w:r>
              <w:rPr>
                <w:b w:val="0"/>
              </w:rPr>
              <w:t>Zoeken, filteren, corrigeren, afboeken, verplaatsen, toevoegen.</w:t>
            </w:r>
          </w:p>
        </w:tc>
      </w:tr>
      <w:tr>
        <w:tc>
          <w:tcPr>
            <w:tcW w:type="dxa" w:w="1814"/>
            <w:vAlign w:val="top"/>
          </w:tcPr>
          <w:p>
            <w:r/>
            <w:r>
              <w:rPr>
                <w:b w:val="0"/>
              </w:rPr>
              <w:t>Artikeldetail</w:t>
            </w:r>
          </w:p>
        </w:tc>
        <w:tc>
          <w:tcPr>
            <w:tcW w:type="dxa" w:w="3118"/>
            <w:vAlign w:val="top"/>
          </w:tcPr>
          <w:p>
            <w:r/>
            <w:r>
              <w:rPr>
                <w:b w:val="0"/>
              </w:rPr>
              <w:t>Alle informatie over huishoudartikel</w:t>
            </w:r>
          </w:p>
        </w:tc>
        <w:tc>
          <w:tcPr>
            <w:tcW w:type="dxa" w:w="4139"/>
            <w:vAlign w:val="top"/>
          </w:tcPr>
          <w:p>
            <w:r/>
            <w:r>
              <w:rPr>
                <w:b w:val="0"/>
              </w:rPr>
              <w:t>Voorraad per locatie, events, productdata, notities, instellingen.</w:t>
            </w:r>
          </w:p>
        </w:tc>
      </w:tr>
      <w:tr>
        <w:tc>
          <w:tcPr>
            <w:tcW w:type="dxa" w:w="1814"/>
            <w:vAlign w:val="top"/>
          </w:tcPr>
          <w:p>
            <w:r/>
            <w:r>
              <w:rPr>
                <w:b w:val="0"/>
              </w:rPr>
              <w:t>Locaties</w:t>
            </w:r>
          </w:p>
        </w:tc>
        <w:tc>
          <w:tcPr>
            <w:tcW w:type="dxa" w:w="3118"/>
            <w:vAlign w:val="top"/>
          </w:tcPr>
          <w:p>
            <w:r/>
            <w:r>
              <w:rPr>
                <w:b w:val="0"/>
              </w:rPr>
              <w:t>Opslagstructuur beheren</w:t>
            </w:r>
          </w:p>
        </w:tc>
        <w:tc>
          <w:tcPr>
            <w:tcW w:type="dxa" w:w="4139"/>
            <w:vAlign w:val="top"/>
          </w:tcPr>
          <w:p>
            <w:r/>
            <w:r>
              <w:rPr>
                <w:b w:val="0"/>
              </w:rPr>
              <w:t>Ruimtes en sublocaties toevoegen/wijzigen/verwijderen.</w:t>
            </w:r>
          </w:p>
        </w:tc>
      </w:tr>
      <w:tr>
        <w:tc>
          <w:tcPr>
            <w:tcW w:type="dxa" w:w="1814"/>
            <w:vAlign w:val="top"/>
          </w:tcPr>
          <w:p>
            <w:r/>
            <w:r>
              <w:rPr>
                <w:b w:val="0"/>
              </w:rPr>
              <w:t>Winkels</w:t>
            </w:r>
          </w:p>
        </w:tc>
        <w:tc>
          <w:tcPr>
            <w:tcW w:type="dxa" w:w="3118"/>
            <w:vAlign w:val="top"/>
          </w:tcPr>
          <w:p>
            <w:r/>
            <w:r>
              <w:rPr>
                <w:b w:val="0"/>
              </w:rPr>
              <w:t>Winkelketens en bronnen beheren</w:t>
            </w:r>
          </w:p>
        </w:tc>
        <w:tc>
          <w:tcPr>
            <w:tcW w:type="dxa" w:w="4139"/>
            <w:vAlign w:val="top"/>
          </w:tcPr>
          <w:p>
            <w:r/>
            <w:r>
              <w:rPr>
                <w:b w:val="0"/>
              </w:rPr>
              <w:t>Bronnen, kaart/afstand, voorkeuren, winkelkoppelingen.</w:t>
            </w:r>
          </w:p>
        </w:tc>
      </w:tr>
      <w:tr>
        <w:tc>
          <w:tcPr>
            <w:tcW w:type="dxa" w:w="1814"/>
            <w:vAlign w:val="top"/>
          </w:tcPr>
          <w:p>
            <w:r/>
            <w:r>
              <w:rPr>
                <w:b w:val="0"/>
              </w:rPr>
              <w:t>Inzichten</w:t>
            </w:r>
          </w:p>
        </w:tc>
        <w:tc>
          <w:tcPr>
            <w:tcW w:type="dxa" w:w="3118"/>
            <w:vAlign w:val="top"/>
          </w:tcPr>
          <w:p>
            <w:r/>
            <w:r>
              <w:rPr>
                <w:b w:val="0"/>
              </w:rPr>
              <w:t>Slimme informatie tonen</w:t>
            </w:r>
          </w:p>
        </w:tc>
        <w:tc>
          <w:tcPr>
            <w:tcW w:type="dxa" w:w="4139"/>
            <w:vAlign w:val="top"/>
          </w:tcPr>
          <w:p>
            <w:r/>
            <w:r>
              <w:rPr>
                <w:b w:val="0"/>
              </w:rPr>
              <w:t>Bijna-op, trends, prognoses, meldingen.</w:t>
            </w:r>
          </w:p>
        </w:tc>
      </w:tr>
      <w:tr>
        <w:tc>
          <w:tcPr>
            <w:tcW w:type="dxa" w:w="1814"/>
            <w:vAlign w:val="top"/>
          </w:tcPr>
          <w:p>
            <w:r/>
            <w:r>
              <w:rPr>
                <w:b w:val="0"/>
              </w:rPr>
              <w:t>Privacy</w:t>
            </w:r>
          </w:p>
        </w:tc>
        <w:tc>
          <w:tcPr>
            <w:tcW w:type="dxa" w:w="3118"/>
            <w:vAlign w:val="top"/>
          </w:tcPr>
          <w:p>
            <w:r/>
            <w:r>
              <w:rPr>
                <w:b w:val="0"/>
              </w:rPr>
              <w:t>Datadeling beheren</w:t>
            </w:r>
          </w:p>
        </w:tc>
        <w:tc>
          <w:tcPr>
            <w:tcW w:type="dxa" w:w="4139"/>
            <w:vAlign w:val="top"/>
          </w:tcPr>
          <w:p>
            <w:r/>
            <w:r>
              <w:rPr>
                <w:b w:val="0"/>
              </w:rPr>
              <w:t>Serviceprovider toestemming, domeinrechten, exportoverzicht.</w:t>
            </w:r>
          </w:p>
        </w:tc>
      </w:tr>
      <w:tr>
        <w:tc>
          <w:tcPr>
            <w:tcW w:type="dxa" w:w="1814"/>
            <w:vAlign w:val="top"/>
          </w:tcPr>
          <w:p>
            <w:r/>
            <w:r>
              <w:rPr>
                <w:b w:val="0"/>
              </w:rPr>
              <w:t>Admin</w:t>
            </w:r>
          </w:p>
        </w:tc>
        <w:tc>
          <w:tcPr>
            <w:tcW w:type="dxa" w:w="3118"/>
            <w:vAlign w:val="top"/>
          </w:tcPr>
          <w:p>
            <w:r/>
            <w:r>
              <w:rPr>
                <w:b w:val="0"/>
              </w:rPr>
              <w:t>Technische borging</w:t>
            </w:r>
          </w:p>
        </w:tc>
        <w:tc>
          <w:tcPr>
            <w:tcW w:type="dxa" w:w="4139"/>
            <w:vAlign w:val="top"/>
          </w:tcPr>
          <w:p>
            <w:r/>
            <w:r>
              <w:rPr>
                <w:b w:val="0"/>
              </w:rPr>
              <w:t>Regressie, release gate, logs, databaseconsistentie.</w:t>
            </w:r>
          </w:p>
        </w:tc>
      </w:tr>
    </w:tbl>
    <w:p/>
    <w:p>
      <w:pPr>
        <w:pStyle w:val="Heading1"/>
        <w:keepNext/>
      </w:pPr>
      <w:r>
        <w:t>13. API-doelarchitectuur</w:t>
      </w:r>
    </w:p>
    <w:p>
      <w:r>
        <w:t>De API moet domeingericht worden ingericht. Endpoints zijn stabiele contracten; UI-schermen mogen geen directe databasekennis bevatten.</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814"/>
            <w:shd w:fill="1F4E3D"/>
            <w:vAlign w:val="center"/>
          </w:tcPr>
          <w:p>
            <w:r/>
            <w:r>
              <w:rPr>
                <w:b/>
                <w:color w:val="FFFFFF"/>
              </w:rPr>
              <w:t>Resource</w:t>
            </w:r>
          </w:p>
        </w:tc>
        <w:tc>
          <w:tcPr>
            <w:tcW w:type="dxa" w:w="4082"/>
            <w:shd w:fill="1F4E3D"/>
            <w:vAlign w:val="center"/>
          </w:tcPr>
          <w:p>
            <w:r/>
            <w:r>
              <w:rPr>
                <w:b/>
                <w:color w:val="FFFFFF"/>
              </w:rPr>
              <w:t>Voorbeelden</w:t>
            </w:r>
          </w:p>
        </w:tc>
        <w:tc>
          <w:tcPr>
            <w:tcW w:type="dxa" w:w="3175"/>
            <w:shd w:fill="1F4E3D"/>
            <w:vAlign w:val="center"/>
          </w:tcPr>
          <w:p>
            <w:r/>
            <w:r>
              <w:rPr>
                <w:b/>
                <w:color w:val="FFFFFF"/>
              </w:rPr>
              <w:t>Doel</w:t>
            </w:r>
          </w:p>
        </w:tc>
      </w:tr>
      <w:tr>
        <w:tc>
          <w:tcPr>
            <w:tcW w:type="dxa" w:w="1814"/>
            <w:vAlign w:val="top"/>
          </w:tcPr>
          <w:p>
            <w:r/>
            <w:r>
              <w:rPr>
                <w:b w:val="0"/>
              </w:rPr>
              <w:t>Auth/households</w:t>
            </w:r>
          </w:p>
        </w:tc>
        <w:tc>
          <w:tcPr>
            <w:tcW w:type="dxa" w:w="4082"/>
            <w:vAlign w:val="top"/>
          </w:tcPr>
          <w:p>
            <w:r/>
            <w:r>
              <w:rPr>
                <w:b w:val="0"/>
              </w:rPr>
              <w:t>GET /api/auth/context, GET /api/households/current</w:t>
            </w:r>
          </w:p>
        </w:tc>
        <w:tc>
          <w:tcPr>
            <w:tcW w:type="dxa" w:w="3175"/>
            <w:vAlign w:val="top"/>
          </w:tcPr>
          <w:p>
            <w:r/>
            <w:r>
              <w:rPr>
                <w:b w:val="0"/>
              </w:rPr>
              <w:t>Actieve context en bevoegdheden.</w:t>
            </w:r>
          </w:p>
        </w:tc>
      </w:tr>
      <w:tr>
        <w:tc>
          <w:tcPr>
            <w:tcW w:type="dxa" w:w="1814"/>
            <w:vAlign w:val="top"/>
          </w:tcPr>
          <w:p>
            <w:r/>
            <w:r>
              <w:rPr>
                <w:b w:val="0"/>
              </w:rPr>
              <w:t>Receipts</w:t>
            </w:r>
          </w:p>
        </w:tc>
        <w:tc>
          <w:tcPr>
            <w:tcW w:type="dxa" w:w="4082"/>
            <w:vAlign w:val="top"/>
          </w:tcPr>
          <w:p>
            <w:r/>
            <w:r>
              <w:rPr>
                <w:b w:val="0"/>
              </w:rPr>
              <w:t>POST /api/receipts, POST /api/receipts/{id}/parse, GET /api/receipts/{id}</w:t>
            </w:r>
          </w:p>
        </w:tc>
        <w:tc>
          <w:tcPr>
            <w:tcW w:type="dxa" w:w="3175"/>
            <w:vAlign w:val="top"/>
          </w:tcPr>
          <w:p>
            <w:r/>
            <w:r>
              <w:rPr>
                <w:b w:val="0"/>
              </w:rPr>
              <w:t>Bronnen en parserresultaat.</w:t>
            </w:r>
          </w:p>
        </w:tc>
      </w:tr>
      <w:tr>
        <w:tc>
          <w:tcPr>
            <w:tcW w:type="dxa" w:w="1814"/>
            <w:vAlign w:val="top"/>
          </w:tcPr>
          <w:p>
            <w:r/>
            <w:r>
              <w:rPr>
                <w:b w:val="0"/>
              </w:rPr>
              <w:t>Purchase import</w:t>
            </w:r>
          </w:p>
        </w:tc>
        <w:tc>
          <w:tcPr>
            <w:tcW w:type="dxa" w:w="4082"/>
            <w:vAlign w:val="top"/>
          </w:tcPr>
          <w:p>
            <w:r/>
            <w:r>
              <w:rPr>
                <w:b w:val="0"/>
              </w:rPr>
              <w:t>GET /api/purchase-import-batches/{id}, POST /api/purchase-import-lines/{id}/ready, POST /api/purchase-import-batches/{id}/process</w:t>
            </w:r>
          </w:p>
        </w:tc>
        <w:tc>
          <w:tcPr>
            <w:tcW w:type="dxa" w:w="3175"/>
            <w:vAlign w:val="top"/>
          </w:tcPr>
          <w:p>
            <w:r/>
            <w:r>
              <w:rPr>
                <w:b w:val="0"/>
              </w:rPr>
              <w:t>Uitpakken en opbergen.</w:t>
            </w:r>
          </w:p>
        </w:tc>
      </w:tr>
      <w:tr>
        <w:tc>
          <w:tcPr>
            <w:tcW w:type="dxa" w:w="1814"/>
            <w:vAlign w:val="top"/>
          </w:tcPr>
          <w:p>
            <w:r/>
            <w:r>
              <w:rPr>
                <w:b w:val="0"/>
              </w:rPr>
              <w:t>Household articles</w:t>
            </w:r>
          </w:p>
        </w:tc>
        <w:tc>
          <w:tcPr>
            <w:tcW w:type="dxa" w:w="4082"/>
            <w:vAlign w:val="top"/>
          </w:tcPr>
          <w:p>
            <w:r/>
            <w:r>
              <w:rPr>
                <w:b w:val="0"/>
              </w:rPr>
              <w:t>GET /api/household-articles/{id}, POST /api/household-articles</w:t>
            </w:r>
          </w:p>
        </w:tc>
        <w:tc>
          <w:tcPr>
            <w:tcW w:type="dxa" w:w="3175"/>
            <w:vAlign w:val="top"/>
          </w:tcPr>
          <w:p>
            <w:r/>
            <w:r>
              <w:rPr>
                <w:b w:val="0"/>
              </w:rPr>
              <w:t>Functioneel artikelanker.</w:t>
            </w:r>
          </w:p>
        </w:tc>
      </w:tr>
      <w:tr>
        <w:tc>
          <w:tcPr>
            <w:tcW w:type="dxa" w:w="1814"/>
            <w:vAlign w:val="top"/>
          </w:tcPr>
          <w:p>
            <w:r/>
            <w:r>
              <w:rPr>
                <w:b w:val="0"/>
              </w:rPr>
              <w:t>Products</w:t>
            </w:r>
          </w:p>
        </w:tc>
        <w:tc>
          <w:tcPr>
            <w:tcW w:type="dxa" w:w="4082"/>
            <w:vAlign w:val="top"/>
          </w:tcPr>
          <w:p>
            <w:r/>
            <w:r>
              <w:rPr>
                <w:b w:val="0"/>
              </w:rPr>
              <w:t>GET /api/products/{id}, POST /api/products/{id}/enrich</w:t>
            </w:r>
          </w:p>
        </w:tc>
        <w:tc>
          <w:tcPr>
            <w:tcW w:type="dxa" w:w="3175"/>
            <w:vAlign w:val="top"/>
          </w:tcPr>
          <w:p>
            <w:r/>
            <w:r>
              <w:rPr>
                <w:b w:val="0"/>
              </w:rPr>
              <w:t>Productcatalogus en verrijking.</w:t>
            </w:r>
          </w:p>
        </w:tc>
      </w:tr>
      <w:tr>
        <w:tc>
          <w:tcPr>
            <w:tcW w:type="dxa" w:w="1814"/>
            <w:vAlign w:val="top"/>
          </w:tcPr>
          <w:p>
            <w:r/>
            <w:r>
              <w:rPr>
                <w:b w:val="0"/>
              </w:rPr>
              <w:t>Inventory</w:t>
            </w:r>
          </w:p>
        </w:tc>
        <w:tc>
          <w:tcPr>
            <w:tcW w:type="dxa" w:w="4082"/>
            <w:vAlign w:val="top"/>
          </w:tcPr>
          <w:p>
            <w:r/>
            <w:r>
              <w:rPr>
                <w:b w:val="0"/>
              </w:rPr>
              <w:t>GET /api/inventory, POST /api/inventory-events, POST /api/inventory-transfers</w:t>
            </w:r>
          </w:p>
        </w:tc>
        <w:tc>
          <w:tcPr>
            <w:tcW w:type="dxa" w:w="3175"/>
            <w:vAlign w:val="top"/>
          </w:tcPr>
          <w:p>
            <w:r/>
            <w:r>
              <w:rPr>
                <w:b w:val="0"/>
              </w:rPr>
              <w:t>Voorraadstanden en mutaties.</w:t>
            </w:r>
          </w:p>
        </w:tc>
      </w:tr>
      <w:tr>
        <w:tc>
          <w:tcPr>
            <w:tcW w:type="dxa" w:w="1814"/>
            <w:vAlign w:val="top"/>
          </w:tcPr>
          <w:p>
            <w:r/>
            <w:r>
              <w:rPr>
                <w:b w:val="0"/>
              </w:rPr>
              <w:t>Locations</w:t>
            </w:r>
          </w:p>
        </w:tc>
        <w:tc>
          <w:tcPr>
            <w:tcW w:type="dxa" w:w="4082"/>
            <w:vAlign w:val="top"/>
          </w:tcPr>
          <w:p>
            <w:r/>
            <w:r>
              <w:rPr>
                <w:b w:val="0"/>
              </w:rPr>
              <w:t>GET /api/locations, POST /api/locations</w:t>
            </w:r>
          </w:p>
        </w:tc>
        <w:tc>
          <w:tcPr>
            <w:tcW w:type="dxa" w:w="3175"/>
            <w:vAlign w:val="top"/>
          </w:tcPr>
          <w:p>
            <w:r/>
            <w:r>
              <w:rPr>
                <w:b w:val="0"/>
              </w:rPr>
              <w:t>Ruimte/sublocatiebeheer.</w:t>
            </w:r>
          </w:p>
        </w:tc>
      </w:tr>
      <w:tr>
        <w:tc>
          <w:tcPr>
            <w:tcW w:type="dxa" w:w="1814"/>
            <w:vAlign w:val="top"/>
          </w:tcPr>
          <w:p>
            <w:r/>
            <w:r>
              <w:rPr>
                <w:b w:val="0"/>
              </w:rPr>
              <w:t>Insights</w:t>
            </w:r>
          </w:p>
        </w:tc>
        <w:tc>
          <w:tcPr>
            <w:tcW w:type="dxa" w:w="4082"/>
            <w:vAlign w:val="top"/>
          </w:tcPr>
          <w:p>
            <w:r/>
            <w:r>
              <w:rPr>
                <w:b w:val="0"/>
              </w:rPr>
              <w:t>GET /api/insights/almost-out, GET /api/insights/forecast</w:t>
            </w:r>
          </w:p>
        </w:tc>
        <w:tc>
          <w:tcPr>
            <w:tcW w:type="dxa" w:w="3175"/>
            <w:vAlign w:val="top"/>
          </w:tcPr>
          <w:p>
            <w:r/>
            <w:r>
              <w:rPr>
                <w:b w:val="0"/>
              </w:rPr>
              <w:t>Afgeleide inzichten.</w:t>
            </w:r>
          </w:p>
        </w:tc>
      </w:tr>
      <w:tr>
        <w:tc>
          <w:tcPr>
            <w:tcW w:type="dxa" w:w="1814"/>
            <w:vAlign w:val="top"/>
          </w:tcPr>
          <w:p>
            <w:r/>
            <w:r>
              <w:rPr>
                <w:b w:val="0"/>
              </w:rPr>
              <w:t>Privacy/services</w:t>
            </w:r>
          </w:p>
        </w:tc>
        <w:tc>
          <w:tcPr>
            <w:tcW w:type="dxa" w:w="4082"/>
            <w:vAlign w:val="top"/>
          </w:tcPr>
          <w:p>
            <w:r/>
            <w:r>
              <w:rPr>
                <w:b w:val="0"/>
              </w:rPr>
              <w:t>GET/POST /api/data-permissions, GET /api/service-providers</w:t>
            </w:r>
          </w:p>
        </w:tc>
        <w:tc>
          <w:tcPr>
            <w:tcW w:type="dxa" w:w="3175"/>
            <w:vAlign w:val="top"/>
          </w:tcPr>
          <w:p>
            <w:r/>
            <w:r>
              <w:rPr>
                <w:b w:val="0"/>
              </w:rPr>
              <w:t>Datadeling.</w:t>
            </w:r>
          </w:p>
        </w:tc>
      </w:tr>
      <w:tr>
        <w:tc>
          <w:tcPr>
            <w:tcW w:type="dxa" w:w="1814"/>
            <w:vAlign w:val="top"/>
          </w:tcPr>
          <w:p>
            <w:r/>
            <w:r>
              <w:rPr>
                <w:b w:val="0"/>
              </w:rPr>
              <w:t>Admin/regression</w:t>
            </w:r>
          </w:p>
        </w:tc>
        <w:tc>
          <w:tcPr>
            <w:tcW w:type="dxa" w:w="4082"/>
            <w:vAlign w:val="top"/>
          </w:tcPr>
          <w:p>
            <w:r/>
            <w:r>
              <w:rPr>
                <w:b w:val="0"/>
              </w:rPr>
              <w:t>POST /api/admin/regression, GET /api/admin/release-gate</w:t>
            </w:r>
          </w:p>
        </w:tc>
        <w:tc>
          <w:tcPr>
            <w:tcW w:type="dxa" w:w="3175"/>
            <w:vAlign w:val="top"/>
          </w:tcPr>
          <w:p>
            <w:r/>
            <w:r>
              <w:rPr>
                <w:b w:val="0"/>
              </w:rPr>
              <w:t>Technische validatie.</w:t>
            </w:r>
          </w:p>
        </w:tc>
      </w:tr>
    </w:tbl>
    <w:p/>
    <w:p>
      <w:pPr>
        <w:pStyle w:val="Heading1"/>
        <w:keepNext/>
      </w:pPr>
      <w:r>
        <w:t>14. UI- en styleguide-architectuur</w:t>
      </w:r>
    </w:p>
    <w:p>
      <w:r>
        <w:t>De styleguide is onderdeel van de configuratie en groeit mee met de applicatie. Schermen gebruiken standaardcomponenten; er worden geen alternatieve card-, tab-, tabel- of buttonpatronen gebouwd als een component bestaat.</w:t>
      </w:r>
    </w:p>
    <w:p>
      <w:pPr>
        <w:pStyle w:val="ListBullet"/>
      </w:pPr>
      <w:r>
        <w:t>AppShell, Header, ScreenCard/Card, DataTable/Table, Tabs, Button, Input en navigatiecomponenten zijn leidend.</w:t>
      </w:r>
    </w:p>
    <w:p>
      <w:pPr>
        <w:pStyle w:val="ListBullet"/>
      </w:pPr>
      <w:r>
        <w:t>Kassa, Uitpakken, Voorraad en Artikeldetail moeten dezelfde layoutprincipes volgen; tabellen worden zoveel mogelijk via DataTable gestandaardiseerd.</w:t>
      </w:r>
    </w:p>
    <w:p>
      <w:pPr>
        <w:pStyle w:val="ListBullet"/>
      </w:pPr>
      <w:r>
        <w:t>Elke UI-release benoemt expliciet of de styleguide wijzigt. Zo ja, eerst styleguide-alignment release, daarna feature release.</w:t>
      </w:r>
    </w:p>
    <w:p>
      <w:pPr>
        <w:pStyle w:val="ListBullet"/>
      </w:pPr>
      <w:r>
        <w:t>Versielabel blijft zichtbaar zodat caching en verkeerde buildmappen controleerbaar zijn.</w:t>
      </w:r>
    </w:p>
    <w:p>
      <w:pPr>
        <w:pStyle w:val="ListBullet"/>
      </w:pPr>
      <w:r>
        <w:t>PO-teststappen worden beschreven in functionele termen, niet als technische debugopdracht.</w:t>
      </w:r>
    </w:p>
    <w:p>
      <w:pPr>
        <w:pStyle w:val="Heading2"/>
      </w:pPr>
      <w:r>
        <w:t>14.1 Meldingen- en feedbackarchitectuur</w:t>
      </w:r>
    </w:p>
    <w:p>
      <w:pPr/>
      <w:r>
        <w:t>Eindsituatie v2.7: alle zichtbare Kassa-meldingen worden via één component gerenderd: KassaFeedbackPanel. De component toont meldingen als overlay/modal boven het scherm. Succes-, fout-, waarschuwing-, duplicate-, upload-, camera-, e-mail/Picnic-, technische en previewmeldingen gebruiken daarmee één centrale weergavelaag.</w:t>
      </w:r>
    </w:p>
    <w:p>
      <w:pPr/>
      <w:r>
        <w:t>Voor Kassa is de rendercentralisatie gerealiseerd. Normale meldingen hebben een OK-knop en mogen ook sluiten bij klik buiten de melding. Progressmeldingen blijven zichtbaar en niet-dismissable zolang verwerking loopt. Meldingen waarbij een keuze noodzakelijk is voor veilig vervolg krijgen dismissMode blocked en sluiten niet door buitenklik.</w:t>
      </w:r>
    </w:p>
    <w:tbl>
      <w:tblPr>
        <w:tblStyle w:val="TableGrid"/>
        <w:tblW w:type="auto" w:w="0"/>
        <w:jc w:val="center"/>
        <w:tblLook w:firstColumn="1" w:firstRow="1" w:lastColumn="0" w:lastRow="0" w:noHBand="0" w:noVBand="1" w:val="04A0"/>
      </w:tblPr>
      <w:tblGrid>
        <w:gridCol w:w="3400"/>
        <w:gridCol w:w="3400"/>
        <w:gridCol w:w="3400"/>
      </w:tblGrid>
      <w:tr>
        <w:tc>
          <w:tcPr>
            <w:tcW w:type="dxa" w:w="3400"/>
          </w:tcPr>
          <w:p>
            <w:r>
              <w:t>Onderdeel</w:t>
            </w:r>
          </w:p>
        </w:tc>
        <w:tc>
          <w:tcPr>
            <w:tcW w:type="dxa" w:w="3400"/>
          </w:tcPr>
          <w:p>
            <w:r>
              <w:t>Eindsituatie</w:t>
            </w:r>
          </w:p>
        </w:tc>
        <w:tc>
          <w:tcPr>
            <w:tcW w:type="dxa" w:w="3400"/>
          </w:tcPr>
          <w:p>
            <w:r>
              <w:t>Architectuurregel</w:t>
            </w:r>
          </w:p>
        </w:tc>
      </w:tr>
      <w:tr>
        <w:tc>
          <w:tcPr>
            <w:tcW w:type="dxa" w:w="3400"/>
          </w:tcPr>
          <w:p>
            <w:r>
              <w:t>Feedbackcomponent</w:t>
            </w:r>
          </w:p>
        </w:tc>
        <w:tc>
          <w:tcPr>
            <w:tcW w:type="dxa" w:w="3400"/>
          </w:tcPr>
          <w:p>
            <w:r>
              <w:t>KassaFeedbackPanel rendert alle Kassa-proces-, camera- en previewmeldingen als overlay/modal.</w:t>
            </w:r>
          </w:p>
        </w:tc>
        <w:tc>
          <w:tcPr>
            <w:tcW w:type="dxa" w:w="3400"/>
          </w:tcPr>
          <w:p>
            <w:r>
              <w:t>Format, positie, kleur, iconen, spacing, OK-knop, buitenklik, progressblokkade, technische detailweergave en aria-live worden op één plaats beheerd.</w:t>
            </w:r>
          </w:p>
        </w:tc>
      </w:tr>
      <w:tr>
        <w:tc>
          <w:tcPr>
            <w:tcW w:type="dxa" w:w="3400"/>
          </w:tcPr>
          <w:p>
            <w:r>
              <w:t>Feedbackmodel</w:t>
            </w:r>
          </w:p>
        </w:tc>
        <w:tc>
          <w:tcPr>
            <w:tcW w:type="dxa" w:w="3400"/>
          </w:tcPr>
          <w:p>
            <w:r>
              <w:t>Elke melding heeft minimaal variant, titel, bericht, optionele detailtekst, voortgang, technische detailinformatie, testId en dismissMode.</w:t>
            </w:r>
          </w:p>
        </w:tc>
        <w:tc>
          <w:tcPr>
            <w:tcW w:type="dxa" w:w="3400"/>
          </w:tcPr>
          <w:p>
            <w:r>
              <w:t>Losse tekststrings worden niet rechtstreeks in verspreide JSX-blokken getoond; KassaPage levert feedbackdata aan het panel.</w:t>
            </w:r>
          </w:p>
        </w:tc>
      </w:tr>
      <w:tr>
        <w:tc>
          <w:tcPr>
            <w:tcW w:type="dxa" w:w="3400"/>
          </w:tcPr>
          <w:p>
            <w:r>
              <w:t>Meldingsprioriteit</w:t>
            </w:r>
          </w:p>
        </w:tc>
        <w:tc>
          <w:tcPr>
            <w:tcW w:type="dxa" w:w="3400"/>
          </w:tcPr>
          <w:p>
            <w:r>
              <w:t>Progress &gt; technische/e-mailfout &gt; camerafout &gt; algemene fout &gt; duplicate/waarschuwing &gt; succes.</w:t>
            </w:r>
          </w:p>
        </w:tc>
        <w:tc>
          <w:tcPr>
            <w:tcW w:type="dxa" w:w="3400"/>
          </w:tcPr>
          <w:p>
            <w:r>
              <w:t>Bij meerdere meldingen is expliciet vastgelegd welke melding zichtbaar is; de volgende stap is deze prioriteit in een centrale buildKassaFeedback/useKassaFeedback-laag onderbrengen.</w:t>
            </w:r>
          </w:p>
        </w:tc>
      </w:tr>
      <w:tr>
        <w:tc>
          <w:tcPr>
            <w:tcW w:type="dxa" w:w="3400"/>
          </w:tcPr>
          <w:p>
            <w:r>
              <w:t>Technische details</w:t>
            </w:r>
          </w:p>
        </w:tc>
        <w:tc>
          <w:tcPr>
            <w:tcW w:type="dxa" w:w="3400"/>
          </w:tcPr>
          <w:p>
            <w:r>
              <w:t>Alleen zichtbaar voor admin/owner via uitklapdetail binnen de overlay.</w:t>
            </w:r>
          </w:p>
        </w:tc>
        <w:tc>
          <w:tcPr>
            <w:tcW w:type="dxa" w:w="3400"/>
          </w:tcPr>
          <w:p>
            <w:r>
              <w:t>Gewone gebruikers zien begrijpelijke oorzaak en vervolgstap, geen backend- of parserdetails.</w:t>
            </w:r>
          </w:p>
        </w:tc>
      </w:tr>
      <w:tr>
        <w:tc>
          <w:tcPr>
            <w:tcW w:type="dxa" w:w="3400"/>
          </w:tcPr>
          <w:p>
            <w:r>
              <w:t>Lokale componentfouten</w:t>
            </w:r>
          </w:p>
        </w:tc>
        <w:tc>
          <w:tcPr>
            <w:tcW w:type="dxa" w:w="3400"/>
          </w:tcPr>
          <w:p>
            <w:r>
              <w:t>Binnen Kassa zijn ook previewmeldingen via KassaFeedbackPanel aangesloten.</w:t>
            </w:r>
          </w:p>
        </w:tc>
        <w:tc>
          <w:tcPr>
            <w:tcW w:type="dxa" w:w="3400"/>
          </w:tcPr>
          <w:p>
            <w:r>
              <w:t>Voor andere schermen mogen lokale validaties tijdelijk lokaal blijven totdat AppFeedbackDialog app-breed is geïntroduceerd.</w:t>
            </w:r>
          </w:p>
        </w:tc>
      </w:tr>
      <w:tr>
        <w:tc>
          <w:tcPr>
            <w:tcW w:type="dxa" w:w="3400"/>
          </w:tcPr>
          <w:p>
            <w:r>
              <w:t>Sluitgedrag</w:t>
            </w:r>
          </w:p>
        </w:tc>
        <w:tc>
          <w:tcPr>
            <w:tcW w:type="dxa" w:w="3400"/>
          </w:tcPr>
          <w:p>
            <w:r>
              <w:t>Normale meldingen sluiten via OK of klik buiten de overlay. Progress en noodzakelijke-keuzemeldingen hebben dismissMode blocked.</w:t>
            </w:r>
          </w:p>
        </w:tc>
        <w:tc>
          <w:tcPr>
            <w:tcW w:type="dxa" w:w="3400"/>
          </w:tcPr>
          <w:p>
            <w:r>
              <w:t>De gebruiker kan informatieve meldingen snel wegklikken, maar kan geen lopend proces of verplichte keuze onbedoeld sluiten.</w:t>
            </w:r>
          </w:p>
        </w:tc>
      </w:tr>
      <w:tr>
        <w:tc>
          <w:tcPr>
            <w:tcW w:type="dxa" w:w="3400"/>
          </w:tcPr>
          <w:p>
            <w:r>
              <w:t>Roadmap app-breed</w:t>
            </w:r>
          </w:p>
        </w:tc>
        <w:tc>
          <w:tcPr>
            <w:tcW w:type="dxa" w:w="3400"/>
          </w:tcPr>
          <w:p>
            <w:r>
              <w:t>KassaFeedbackPanel wordt na stabilisatie gepromoveerd naar AppFeedbackDialog of generiek FeedbackDialog-component.</w:t>
            </w:r>
          </w:p>
        </w:tc>
        <w:tc>
          <w:tcPr>
            <w:tcW w:type="dxa" w:w="3400"/>
          </w:tcPr>
          <w:p>
            <w:r>
              <w:t>Nieuwe schermen mogen geen eigen inline feedbackpatroon introduceren; zij sluiten aan op het generieke overlaycontract.</w:t>
            </w:r>
          </w:p>
        </w:tc>
      </w:tr>
    </w:tbl>
    <w:p>
      <w:pPr/>
      <w:r>
        <w:t>De bestaande states zoals error, status, duplicateNotice, cameraError, emailRouteError, uploadProgress en technicalUploadError blijven voorlopig als bron bestaan. De eerstvolgende technische vereenvoudiging is het expliciet opbouwen van één feedbackmodel of een useKassaFeedback-hook, zodat niet alleen de rendering maar ook de prioriteit en samenstelling van meldingen centraal beheerd worden.</w:t>
      </w:r>
    </w:p>
    <w:p>
      <w:pPr/>
      <w:r>
        <w:t>Normatieve componentlocatie voor Kassa: frontend/src/features/kassa/components/KassaFeedbackPanel.jsx. Als het patroon stabiel is, wordt dit gepromoveerd naar een generiek app-breed component, bij voorkeur frontend/src/ui/AppFeedbackDialog.jsx, zodat alle schermen dezelfde overlay-, OK-knop-, buitenklik- en blokkaderegels gebruiken.</w:t>
      </w:r>
    </w:p>
    <w:p>
      <w:pPr>
        <w:pStyle w:val="Heading2"/>
      </w:pPr>
      <w:r>
        <w:t>14.2 DataTable- en sticky tabelarchitectuur</w:t>
      </w:r>
    </w:p>
    <w:p>
      <w:pPr/>
      <w:r>
        <w:t>DataTable is de generieke componentlaag voor datatabellen met sorteren, filteren, kolombreedtes en sticky header/filter-gedrag. De Kassa inbox-tabel en de bonregels/detailtabel gebruiken dit patroon; nieuwe tabellen mogen geen afwijkend sticky-filtermechanisme introduceren als DataTable toepasbaar is.</w:t>
      </w:r>
    </w:p>
    <w:p>
      <w:pPr>
        <w:pStyle w:val="ListBullet"/>
      </w:pPr>
      <w:r>
        <w:t>DataTable meet de werkelijke hoogte van tr.rz-table-header met een headerRowRef en ResizeObserver.</w:t>
      </w:r>
    </w:p>
    <w:p>
      <w:pPr>
        <w:pStyle w:val="ListBullet"/>
      </w:pPr>
      <w:r>
        <w:t>De gemeten waarde wordt op de tabelstijl gezet als CSS custom property --rz-sticky-header-offset.</w:t>
      </w:r>
    </w:p>
    <w:p>
      <w:pPr>
        <w:pStyle w:val="ListBullet"/>
      </w:pPr>
      <w:r>
        <w:t>base.css gebruikt top: var(--rz-sticky-header-offset, 32px) voor de filterregel.</w:t>
      </w:r>
    </w:p>
    <w:p>
      <w:pPr>
        <w:pStyle w:val="ListBullet"/>
      </w:pPr>
      <w:r>
        <w:t>Sticky gedrag blijft op de th-cellen van de header- en filterrij; thead zelf blijft position: static.</w:t>
      </w:r>
    </w:p>
    <w:p>
      <w:pPr>
        <w:pStyle w:val="ListBullet"/>
      </w:pPr>
      <w:r>
        <w:t>ResizableHeaderCell mag het sticky gedrag niet blokkeren; position: relative mag alleen functioneel noodzakelijk zijn voor resize-handles en mag de sticky position uit base.css niet overschrijven.</w:t>
      </w:r>
    </w:p>
    <w:p>
      <w:pPr>
        <w:pStyle w:val="ListBullet"/>
      </w:pPr>
      <w:r>
        <w:t>Schermspecifieke wrappers mogen hoogte en scrollruimte bepalen, maar niet de sticky-offset hardcoderen als Kassa-only oplossing.</w:t>
      </w:r>
    </w:p>
    <w:p>
      <w:pPr/>
      <w:r>
        <w:t>Gerealiseerde borging v2.7: Kassa inbox en bonregels/detailtabel zijn visueel gecontroleerd op scrollgedrag. De Kassa/Admin-regressie is via PowerShell/API uitgevoerd op 18 vaste testkassabonnen en is volledig geslaagd.</w:t>
      </w:r>
    </w:p>
    <w:p>
      <w:pPr>
        <w:pStyle w:val="Heading1"/>
        <w:keepNext/>
      </w:pPr>
      <w:r>
        <w:t>15. Admin, regressie en releasekwaliteit</w:t>
      </w:r>
    </w:p>
    <w:p>
      <w:r>
        <w:t>Admin is de technische borgingslaag voor ontwikkelde functionaliteit. De PO mag niet afhankelijk zijn van lokale debug of technische interpretatie. Regressies moeten vroeg en herhaalbaar stoppen.</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814"/>
            <w:shd w:fill="1F4E3D"/>
            <w:vAlign w:val="center"/>
          </w:tcPr>
          <w:p>
            <w:r/>
            <w:r>
              <w:rPr>
                <w:b/>
                <w:color w:val="FFFFFF"/>
              </w:rPr>
              <w:t>Gate</w:t>
            </w:r>
          </w:p>
        </w:tc>
        <w:tc>
          <w:tcPr>
            <w:tcW w:type="dxa" w:w="3969"/>
            <w:shd w:fill="1F4E3D"/>
            <w:vAlign w:val="center"/>
          </w:tcPr>
          <w:p>
            <w:r/>
            <w:r>
              <w:rPr>
                <w:b/>
                <w:color w:val="FFFFFF"/>
              </w:rPr>
              <w:t>Controle</w:t>
            </w:r>
          </w:p>
        </w:tc>
        <w:tc>
          <w:tcPr>
            <w:tcW w:type="dxa" w:w="3288"/>
            <w:shd w:fill="1F4E3D"/>
            <w:vAlign w:val="center"/>
          </w:tcPr>
          <w:p>
            <w:r/>
            <w:r>
              <w:rPr>
                <w:b/>
                <w:color w:val="FFFFFF"/>
              </w:rPr>
              <w:t>Blokkeert bij</w:t>
            </w:r>
          </w:p>
        </w:tc>
      </w:tr>
      <w:tr>
        <w:tc>
          <w:tcPr>
            <w:tcW w:type="dxa" w:w="1814"/>
            <w:vAlign w:val="top"/>
          </w:tcPr>
          <w:p>
            <w:r/>
            <w:r>
              <w:rPr>
                <w:b w:val="0"/>
              </w:rPr>
              <w:t>Scope Gate</w:t>
            </w:r>
          </w:p>
        </w:tc>
        <w:tc>
          <w:tcPr>
            <w:tcW w:type="dxa" w:w="3969"/>
            <w:vAlign w:val="top"/>
          </w:tcPr>
          <w:p>
            <w:r/>
            <w:r>
              <w:rPr>
                <w:b w:val="0"/>
              </w:rPr>
              <w:t>Eén doelwijziging, juiste releasecategorie, expliciet niet-gewijzigd.</w:t>
            </w:r>
          </w:p>
        </w:tc>
        <w:tc>
          <w:tcPr>
            <w:tcW w:type="dxa" w:w="3288"/>
            <w:vAlign w:val="top"/>
          </w:tcPr>
          <w:p>
            <w:r/>
            <w:r>
              <w:rPr>
                <w:b w:val="0"/>
              </w:rPr>
              <w:t>Gemengde scope of onduidelijke basis.</w:t>
            </w:r>
          </w:p>
        </w:tc>
      </w:tr>
      <w:tr>
        <w:tc>
          <w:tcPr>
            <w:tcW w:type="dxa" w:w="1814"/>
            <w:vAlign w:val="top"/>
          </w:tcPr>
          <w:p>
            <w:r/>
            <w:r>
              <w:rPr>
                <w:b w:val="0"/>
              </w:rPr>
              <w:t>QA/QC Gate</w:t>
            </w:r>
          </w:p>
        </w:tc>
        <w:tc>
          <w:tcPr>
            <w:tcW w:type="dxa" w:w="3969"/>
            <w:vAlign w:val="top"/>
          </w:tcPr>
          <w:p>
            <w:r/>
            <w:r>
              <w:rPr>
                <w:b w:val="0"/>
              </w:rPr>
              <w:t>Build, kernflows, regressie, databaseconsistentie, status-SSOT.</w:t>
            </w:r>
          </w:p>
        </w:tc>
        <w:tc>
          <w:tcPr>
            <w:tcW w:type="dxa" w:w="3288"/>
            <w:vAlign w:val="top"/>
          </w:tcPr>
          <w:p>
            <w:r/>
            <w:r>
              <w:rPr>
                <w:b w:val="0"/>
              </w:rPr>
              <w:t>Eén rood punt.</w:t>
            </w:r>
          </w:p>
        </w:tc>
      </w:tr>
      <w:tr>
        <w:tc>
          <w:tcPr>
            <w:tcW w:type="dxa" w:w="1814"/>
            <w:vAlign w:val="top"/>
          </w:tcPr>
          <w:p>
            <w:r/>
            <w:r>
              <w:rPr>
                <w:b w:val="0"/>
              </w:rPr>
              <w:t>Packaging Gate</w:t>
            </w:r>
          </w:p>
        </w:tc>
        <w:tc>
          <w:tcPr>
            <w:tcW w:type="dxa" w:w="3969"/>
            <w:vAlign w:val="top"/>
          </w:tcPr>
          <w:p>
            <w:r/>
            <w:r>
              <w:rPr>
                <w:b w:val="0"/>
              </w:rPr>
              <w:t>Volledige zip, juiste naam, VERSION.txt, geen tijdelijke DB of verborgen afhankelijkheden.</w:t>
            </w:r>
          </w:p>
        </w:tc>
        <w:tc>
          <w:tcPr>
            <w:tcW w:type="dxa" w:w="3288"/>
            <w:vAlign w:val="top"/>
          </w:tcPr>
          <w:p>
            <w:r/>
            <w:r>
              <w:rPr>
                <w:b w:val="0"/>
              </w:rPr>
              <w:t>Patchpakket, verkeerde structuur of runtime-onduidelijkheid.</w:t>
            </w:r>
          </w:p>
        </w:tc>
      </w:tr>
    </w:tbl>
    <w:p/>
    <w:p>
      <w:pPr>
        <w:pStyle w:val="Heading2"/>
        <w:keepNext/>
      </w:pPr>
      <w:r>
        <w:t>15.1 Regressiescope per hoofdmodule</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268"/>
            <w:shd w:fill="1F4E3D"/>
            <w:vAlign w:val="center"/>
          </w:tcPr>
          <w:p>
            <w:r/>
            <w:r>
              <w:rPr>
                <w:b/>
                <w:color w:val="FFFFFF"/>
              </w:rPr>
              <w:t>Module</w:t>
            </w:r>
          </w:p>
        </w:tc>
        <w:tc>
          <w:tcPr>
            <w:tcW w:type="dxa" w:w="6803"/>
            <w:shd w:fill="1F4E3D"/>
            <w:vAlign w:val="center"/>
          </w:tcPr>
          <w:p>
            <w:r/>
            <w:r>
              <w:rPr>
                <w:b/>
                <w:color w:val="FFFFFF"/>
              </w:rPr>
              <w:t>Minimale regressie</w:t>
            </w:r>
          </w:p>
        </w:tc>
      </w:tr>
      <w:tr>
        <w:tc>
          <w:tcPr>
            <w:tcW w:type="dxa" w:w="2268"/>
            <w:vAlign w:val="top"/>
          </w:tcPr>
          <w:p>
            <w:r/>
            <w:r>
              <w:rPr>
                <w:b w:val="0"/>
              </w:rPr>
              <w:t>Login/Home</w:t>
            </w:r>
          </w:p>
        </w:tc>
        <w:tc>
          <w:tcPr>
            <w:tcW w:type="dxa" w:w="6803"/>
            <w:vAlign w:val="top"/>
          </w:tcPr>
          <w:p>
            <w:r/>
            <w:r>
              <w:rPr>
                <w:b w:val="0"/>
              </w:rPr>
              <w:t>Login -&gt; landingspagina; sessiecontext; rol/permissies.</w:t>
            </w:r>
          </w:p>
        </w:tc>
      </w:tr>
      <w:tr>
        <w:tc>
          <w:tcPr>
            <w:tcW w:type="dxa" w:w="2268"/>
            <w:vAlign w:val="top"/>
          </w:tcPr>
          <w:p>
            <w:r/>
            <w:r>
              <w:rPr>
                <w:b w:val="0"/>
              </w:rPr>
              <w:t>Kassa</w:t>
            </w:r>
          </w:p>
        </w:tc>
        <w:tc>
          <w:tcPr>
            <w:tcW w:type="dxa" w:w="6803"/>
            <w:vAlign w:val="top"/>
          </w:tcPr>
          <w:p>
            <w:r>
              <w:t>AH, Aldi, Jumbo, Plus, Picnic en Lidl inlezen; po_norm_status_label via SSOT; DataTable sticky header/filter visueel controleren voor inbox en bonregels/detailtabel; Kassa/Admin-regressie 18/18.</w:t>
            </w:r>
          </w:p>
        </w:tc>
      </w:tr>
      <w:tr>
        <w:tc>
          <w:tcPr>
            <w:tcW w:type="dxa" w:w="2268"/>
            <w:vAlign w:val="top"/>
          </w:tcPr>
          <w:p>
            <w:r/>
            <w:r>
              <w:rPr>
                <w:b w:val="0"/>
              </w:rPr>
              <w:t>Uitpakken</w:t>
            </w:r>
          </w:p>
        </w:tc>
        <w:tc>
          <w:tcPr>
            <w:tcW w:type="dxa" w:w="6803"/>
            <w:vAlign w:val="top"/>
          </w:tcPr>
          <w:p>
            <w:r/>
            <w:r>
              <w:rPr>
                <w:b w:val="0"/>
              </w:rPr>
              <w:t>Kassabonregels naar purchase_import_lines; locatie vereist; idempotente verwerking.</w:t>
            </w:r>
          </w:p>
        </w:tc>
      </w:tr>
      <w:tr>
        <w:tc>
          <w:tcPr>
            <w:tcW w:type="dxa" w:w="2268"/>
            <w:vAlign w:val="top"/>
          </w:tcPr>
          <w:p>
            <w:r/>
            <w:r>
              <w:rPr>
                <w:b w:val="0"/>
              </w:rPr>
              <w:t>Voorraad</w:t>
            </w:r>
          </w:p>
        </w:tc>
        <w:tc>
          <w:tcPr>
            <w:tcW w:type="dxa" w:w="6803"/>
            <w:vAlign w:val="top"/>
          </w:tcPr>
          <w:p>
            <w:r/>
            <w:r>
              <w:rPr>
                <w:b w:val="0"/>
              </w:rPr>
              <w:t>Purchase verhoogt voorraad; consume verlaagt voorraad; transfer behoudt totaal maar wijzigt locatie.</w:t>
            </w:r>
          </w:p>
        </w:tc>
      </w:tr>
      <w:tr>
        <w:tc>
          <w:tcPr>
            <w:tcW w:type="dxa" w:w="2268"/>
            <w:vAlign w:val="top"/>
          </w:tcPr>
          <w:p>
            <w:r/>
            <w:r>
              <w:rPr>
                <w:b w:val="0"/>
              </w:rPr>
              <w:t>Artikelen</w:t>
            </w:r>
          </w:p>
        </w:tc>
        <w:tc>
          <w:tcPr>
            <w:tcW w:type="dxa" w:w="6803"/>
            <w:vAlign w:val="top"/>
          </w:tcPr>
          <w:p>
            <w:r/>
            <w:r>
              <w:rPr>
                <w:b w:val="0"/>
              </w:rPr>
              <w:t>Productmatch, household_article-detail, notities en settings blijven consistent.</w:t>
            </w:r>
          </w:p>
        </w:tc>
      </w:tr>
      <w:tr>
        <w:tc>
          <w:tcPr>
            <w:tcW w:type="dxa" w:w="2268"/>
            <w:vAlign w:val="top"/>
          </w:tcPr>
          <w:p>
            <w:r/>
            <w:r>
              <w:rPr>
                <w:b w:val="0"/>
              </w:rPr>
              <w:t>Locaties</w:t>
            </w:r>
          </w:p>
        </w:tc>
        <w:tc>
          <w:tcPr>
            <w:tcW w:type="dxa" w:w="6803"/>
            <w:vAlign w:val="top"/>
          </w:tcPr>
          <w:p>
            <w:r/>
            <w:r>
              <w:rPr>
                <w:b w:val="0"/>
              </w:rPr>
              <w:t>Ruimte/sublocatie CRUD; niet verwijderen als voorraad afhankelijk is zonder veilige flow.</w:t>
            </w:r>
          </w:p>
        </w:tc>
      </w:tr>
      <w:tr>
        <w:tc>
          <w:tcPr>
            <w:tcW w:type="dxa" w:w="2268"/>
            <w:vAlign w:val="top"/>
          </w:tcPr>
          <w:p>
            <w:r/>
            <w:r>
              <w:rPr>
                <w:b w:val="0"/>
              </w:rPr>
              <w:t>Inzichten</w:t>
            </w:r>
          </w:p>
        </w:tc>
        <w:tc>
          <w:tcPr>
            <w:tcW w:type="dxa" w:w="6803"/>
            <w:vAlign w:val="top"/>
          </w:tcPr>
          <w:p>
            <w:r/>
            <w:r>
              <w:rPr>
                <w:b w:val="0"/>
              </w:rPr>
              <w:t>Bijna-op gebruikt voorraadprojectie, niet ruwe aankoopregels.</w:t>
            </w:r>
          </w:p>
        </w:tc>
      </w:tr>
      <w:tr>
        <w:tc>
          <w:tcPr>
            <w:tcW w:type="dxa" w:w="2268"/>
            <w:vAlign w:val="top"/>
          </w:tcPr>
          <w:p>
            <w:r/>
            <w:r>
              <w:rPr>
                <w:b w:val="0"/>
              </w:rPr>
              <w:t>Privacy</w:t>
            </w:r>
          </w:p>
        </w:tc>
        <w:tc>
          <w:tcPr>
            <w:tcW w:type="dxa" w:w="6803"/>
            <w:vAlign w:val="top"/>
          </w:tcPr>
          <w:p>
            <w:r/>
            <w:r>
              <w:rPr>
                <w:b w:val="0"/>
              </w:rPr>
              <w:t>Geen datadeling zonder permission; permissie persistent.</w:t>
            </w:r>
          </w:p>
        </w:tc>
      </w:tr>
    </w:tbl>
    <w:p/>
    <w:p>
      <w:pPr>
        <w:pStyle w:val="Heading1"/>
        <w:keepNext/>
      </w:pPr>
      <w:r>
        <w:t>16. Cloudready lokale architectuur</w:t>
      </w:r>
    </w:p>
    <w:p>
      <w:r>
        <w:t>De applicatie draait eerst lokaal als gesimuleerde cloudomgeving op de laptop. De structuur moet later met beperkte ingrepen naar cloud deployment kunnen.</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814"/>
            <w:shd w:fill="1F4E3D"/>
            <w:vAlign w:val="center"/>
          </w:tcPr>
          <w:p>
            <w:r/>
            <w:r>
              <w:rPr>
                <w:b/>
                <w:color w:val="FFFFFF"/>
              </w:rPr>
              <w:t>Aspect</w:t>
            </w:r>
          </w:p>
        </w:tc>
        <w:tc>
          <w:tcPr>
            <w:tcW w:type="dxa" w:w="3628"/>
            <w:shd w:fill="1F4E3D"/>
            <w:vAlign w:val="center"/>
          </w:tcPr>
          <w:p>
            <w:r/>
            <w:r>
              <w:rPr>
                <w:b/>
                <w:color w:val="FFFFFF"/>
              </w:rPr>
              <w:t>Lokale norm</w:t>
            </w:r>
          </w:p>
        </w:tc>
        <w:tc>
          <w:tcPr>
            <w:tcW w:type="dxa" w:w="3628"/>
            <w:shd w:fill="1F4E3D"/>
            <w:vAlign w:val="center"/>
          </w:tcPr>
          <w:p>
            <w:r/>
            <w:r>
              <w:rPr>
                <w:b/>
                <w:color w:val="FFFFFF"/>
              </w:rPr>
              <w:t>Cloudready richting</w:t>
            </w:r>
          </w:p>
        </w:tc>
      </w:tr>
      <w:tr>
        <w:tc>
          <w:tcPr>
            <w:tcW w:type="dxa" w:w="1814"/>
            <w:vAlign w:val="top"/>
          </w:tcPr>
          <w:p>
            <w:r/>
            <w:r>
              <w:rPr>
                <w:b w:val="0"/>
              </w:rPr>
              <w:t>Backend</w:t>
            </w:r>
          </w:p>
        </w:tc>
        <w:tc>
          <w:tcPr>
            <w:tcW w:type="dxa" w:w="3628"/>
            <w:vAlign w:val="top"/>
          </w:tcPr>
          <w:p>
            <w:r/>
            <w:r>
              <w:rPr>
                <w:b w:val="0"/>
              </w:rPr>
              <w:t>Startbaar zonder handmatige codefixes.</w:t>
            </w:r>
          </w:p>
        </w:tc>
        <w:tc>
          <w:tcPr>
            <w:tcW w:type="dxa" w:w="3628"/>
            <w:vAlign w:val="top"/>
          </w:tcPr>
          <w:p>
            <w:r/>
            <w:r>
              <w:rPr>
                <w:b w:val="0"/>
              </w:rPr>
              <w:t>Container/managed runtime met health endpoint.</w:t>
            </w:r>
          </w:p>
        </w:tc>
      </w:tr>
      <w:tr>
        <w:tc>
          <w:tcPr>
            <w:tcW w:type="dxa" w:w="1814"/>
            <w:vAlign w:val="top"/>
          </w:tcPr>
          <w:p>
            <w:r/>
            <w:r>
              <w:rPr>
                <w:b w:val="0"/>
              </w:rPr>
              <w:t>Frontend</w:t>
            </w:r>
          </w:p>
        </w:tc>
        <w:tc>
          <w:tcPr>
            <w:tcW w:type="dxa" w:w="3628"/>
            <w:vAlign w:val="top"/>
          </w:tcPr>
          <w:p>
            <w:r/>
            <w:r>
              <w:rPr>
                <w:b w:val="0"/>
              </w:rPr>
              <w:t>Stabiel in browser, build reproduceerbaar.</w:t>
            </w:r>
          </w:p>
        </w:tc>
        <w:tc>
          <w:tcPr>
            <w:tcW w:type="dxa" w:w="3628"/>
            <w:vAlign w:val="top"/>
          </w:tcPr>
          <w:p>
            <w:r/>
            <w:r>
              <w:rPr>
                <w:b w:val="0"/>
              </w:rPr>
              <w:t>Static hosting of container met version label.</w:t>
            </w:r>
          </w:p>
        </w:tc>
      </w:tr>
      <w:tr>
        <w:tc>
          <w:tcPr>
            <w:tcW w:type="dxa" w:w="1814"/>
            <w:vAlign w:val="top"/>
          </w:tcPr>
          <w:p>
            <w:r/>
            <w:r>
              <w:rPr>
                <w:b w:val="0"/>
              </w:rPr>
              <w:t>Database</w:t>
            </w:r>
          </w:p>
        </w:tc>
        <w:tc>
          <w:tcPr>
            <w:tcW w:type="dxa" w:w="3628"/>
            <w:vAlign w:val="top"/>
          </w:tcPr>
          <w:p>
            <w:r/>
            <w:r>
              <w:rPr>
                <w:b w:val="0"/>
              </w:rPr>
              <w:t>Eén expliciete runtime-database, niet tijdelijk.</w:t>
            </w:r>
          </w:p>
        </w:tc>
        <w:tc>
          <w:tcPr>
            <w:tcW w:type="dxa" w:w="3628"/>
            <w:vAlign w:val="top"/>
          </w:tcPr>
          <w:p>
            <w:r/>
            <w:r>
              <w:rPr>
                <w:b w:val="0"/>
              </w:rPr>
              <w:t>PostgreSQL of managed database met migraties.</w:t>
            </w:r>
          </w:p>
        </w:tc>
      </w:tr>
      <w:tr>
        <w:tc>
          <w:tcPr>
            <w:tcW w:type="dxa" w:w="1814"/>
            <w:vAlign w:val="top"/>
          </w:tcPr>
          <w:p>
            <w:r/>
            <w:r>
              <w:rPr>
                <w:b w:val="0"/>
              </w:rPr>
              <w:t>Bestanden</w:t>
            </w:r>
          </w:p>
        </w:tc>
        <w:tc>
          <w:tcPr>
            <w:tcW w:type="dxa" w:w="3628"/>
            <w:vAlign w:val="top"/>
          </w:tcPr>
          <w:p>
            <w:r/>
            <w:r>
              <w:rPr>
                <w:b w:val="0"/>
              </w:rPr>
              <w:t>Receipt storage op vaste map.</w:t>
            </w:r>
          </w:p>
        </w:tc>
        <w:tc>
          <w:tcPr>
            <w:tcW w:type="dxa" w:w="3628"/>
            <w:vAlign w:val="top"/>
          </w:tcPr>
          <w:p>
            <w:r/>
            <w:r>
              <w:rPr>
                <w:b w:val="0"/>
              </w:rPr>
              <w:t>Object storage met storage_key en metadata.</w:t>
            </w:r>
          </w:p>
        </w:tc>
      </w:tr>
      <w:tr>
        <w:tc>
          <w:tcPr>
            <w:tcW w:type="dxa" w:w="1814"/>
            <w:vAlign w:val="top"/>
          </w:tcPr>
          <w:p>
            <w:r/>
            <w:r>
              <w:rPr>
                <w:b w:val="0"/>
              </w:rPr>
              <w:t>Config</w:t>
            </w:r>
          </w:p>
        </w:tc>
        <w:tc>
          <w:tcPr>
            <w:tcW w:type="dxa" w:w="3628"/>
            <w:vAlign w:val="top"/>
          </w:tcPr>
          <w:p>
            <w:r/>
            <w:r>
              <w:rPr>
                <w:b w:val="0"/>
              </w:rPr>
              <w:t>Geen harde lokale paden in code.</w:t>
            </w:r>
          </w:p>
        </w:tc>
        <w:tc>
          <w:tcPr>
            <w:tcW w:type="dxa" w:w="3628"/>
            <w:vAlign w:val="top"/>
          </w:tcPr>
          <w:p>
            <w:r/>
            <w:r>
              <w:rPr>
                <w:b w:val="0"/>
              </w:rPr>
              <w:t>Environment/config provider.</w:t>
            </w:r>
          </w:p>
        </w:tc>
      </w:tr>
      <w:tr>
        <w:tc>
          <w:tcPr>
            <w:tcW w:type="dxa" w:w="1814"/>
            <w:vAlign w:val="top"/>
          </w:tcPr>
          <w:p>
            <w:r/>
            <w:r>
              <w:rPr>
                <w:b w:val="0"/>
              </w:rPr>
              <w:t>Regressie</w:t>
            </w:r>
          </w:p>
        </w:tc>
        <w:tc>
          <w:tcPr>
            <w:tcW w:type="dxa" w:w="3628"/>
            <w:vAlign w:val="top"/>
          </w:tcPr>
          <w:p>
            <w:r/>
            <w:r>
              <w:rPr>
                <w:b w:val="0"/>
              </w:rPr>
              <w:t>Lokaal uitvoerbaar.</w:t>
            </w:r>
          </w:p>
        </w:tc>
        <w:tc>
          <w:tcPr>
            <w:tcW w:type="dxa" w:w="3628"/>
            <w:vAlign w:val="top"/>
          </w:tcPr>
          <w:p>
            <w:r/>
            <w:r>
              <w:rPr>
                <w:b w:val="0"/>
              </w:rPr>
              <w:t>CI-runner met artifacts.</w:t>
            </w:r>
          </w:p>
        </w:tc>
      </w:tr>
    </w:tbl>
    <w:p/>
    <w:p>
      <w:pPr>
        <w:pStyle w:val="Heading1"/>
        <w:keepNext/>
      </w:pPr>
      <w:r>
        <w:t>17. Migratieroadmap vanaf Release 3B/3C</w:t>
      </w:r>
    </w:p>
    <w:p>
      <w:r>
        <w:t>De roadmap volgt het principe: eerst betrouwbaar, dan verder. Elke release heeft exact één hoofddoel.</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1871"/>
            <w:shd w:fill="1F4E3D"/>
            <w:vAlign w:val="center"/>
          </w:tcPr>
          <w:p>
            <w:r/>
            <w:r>
              <w:rPr>
                <w:b/>
                <w:color w:val="FFFFFF"/>
              </w:rPr>
              <w:t>Stap</w:t>
            </w:r>
          </w:p>
        </w:tc>
        <w:tc>
          <w:tcPr>
            <w:tcW w:type="dxa" w:w="1928"/>
            <w:shd w:fill="1F4E3D"/>
            <w:vAlign w:val="center"/>
          </w:tcPr>
          <w:p>
            <w:r/>
            <w:r>
              <w:rPr>
                <w:b/>
                <w:color w:val="FFFFFF"/>
              </w:rPr>
              <w:t>Releasecategorie</w:t>
            </w:r>
          </w:p>
        </w:tc>
        <w:tc>
          <w:tcPr>
            <w:tcW w:type="dxa" w:w="3345"/>
            <w:shd w:fill="1F4E3D"/>
            <w:vAlign w:val="center"/>
          </w:tcPr>
          <w:p>
            <w:r/>
            <w:r>
              <w:rPr>
                <w:b/>
                <w:color w:val="FFFFFF"/>
              </w:rPr>
              <w:t>Doel</w:t>
            </w:r>
          </w:p>
        </w:tc>
        <w:tc>
          <w:tcPr>
            <w:tcW w:type="dxa" w:w="1928"/>
            <w:shd w:fill="1F4E3D"/>
            <w:vAlign w:val="center"/>
          </w:tcPr>
          <w:p>
            <w:r/>
            <w:r>
              <w:rPr>
                <w:b/>
                <w:color w:val="FFFFFF"/>
              </w:rPr>
              <w:t>Regressiescope</w:t>
            </w:r>
          </w:p>
        </w:tc>
      </w:tr>
      <w:tr>
        <w:tc>
          <w:tcPr>
            <w:tcW w:type="dxa" w:w="1871"/>
            <w:vAlign w:val="top"/>
          </w:tcPr>
          <w:p>
            <w:r/>
            <w:r>
              <w:rPr>
                <w:b w:val="0"/>
              </w:rPr>
              <w:t>3B-clean</w:t>
            </w:r>
          </w:p>
        </w:tc>
        <w:tc>
          <w:tcPr>
            <w:tcW w:type="dxa" w:w="1928"/>
            <w:vAlign w:val="top"/>
          </w:tcPr>
          <w:p>
            <w:r/>
            <w:r>
              <w:rPr>
                <w:b w:val="0"/>
              </w:rPr>
              <w:t>Backend/test release</w:t>
            </w:r>
          </w:p>
        </w:tc>
        <w:tc>
          <w:tcPr>
            <w:tcW w:type="dxa" w:w="3345"/>
            <w:vAlign w:val="top"/>
          </w:tcPr>
          <w:p>
            <w:r/>
            <w:r>
              <w:rPr>
                <w:b w:val="0"/>
              </w:rPr>
              <w:t>Kassa-regressieborging en SSOT-statusbasis schoon integreren.</w:t>
            </w:r>
          </w:p>
        </w:tc>
        <w:tc>
          <w:tcPr>
            <w:tcW w:type="dxa" w:w="1928"/>
            <w:vAlign w:val="top"/>
          </w:tcPr>
          <w:p>
            <w:r/>
            <w:r>
              <w:rPr>
                <w:b w:val="0"/>
              </w:rPr>
              <w:t>Build, receipt validation, regressierunner.</w:t>
            </w:r>
          </w:p>
        </w:tc>
      </w:tr>
      <w:tr>
        <w:tc>
          <w:tcPr>
            <w:tcW w:type="dxa" w:w="1871"/>
            <w:vAlign w:val="top"/>
          </w:tcPr>
          <w:p>
            <w:r/>
            <w:r>
              <w:rPr>
                <w:b w:val="0"/>
              </w:rPr>
              <w:t>3C-architecture-docs</w:t>
            </w:r>
          </w:p>
        </w:tc>
        <w:tc>
          <w:tcPr>
            <w:tcW w:type="dxa" w:w="1928"/>
            <w:vAlign w:val="top"/>
          </w:tcPr>
          <w:p>
            <w:r/>
            <w:r>
              <w:rPr>
                <w:b w:val="0"/>
              </w:rPr>
              <w:t>Architectuur/documentatie</w:t>
            </w:r>
          </w:p>
        </w:tc>
        <w:tc>
          <w:tcPr>
            <w:tcW w:type="dxa" w:w="3345"/>
            <w:vAlign w:val="top"/>
          </w:tcPr>
          <w:p>
            <w:r/>
            <w:r>
              <w:rPr>
                <w:b w:val="0"/>
              </w:rPr>
              <w:t>Technisch ontwerp, functioneel ontwerp en doelarchitectuur synchroniseren.</w:t>
            </w:r>
          </w:p>
        </w:tc>
        <w:tc>
          <w:tcPr>
            <w:tcW w:type="dxa" w:w="1928"/>
            <w:vAlign w:val="top"/>
          </w:tcPr>
          <w:p>
            <w:r/>
            <w:r>
              <w:rPr>
                <w:b w:val="0"/>
              </w:rPr>
              <w:t>Geen runtimewijziging; documentreview.</w:t>
            </w:r>
          </w:p>
        </w:tc>
      </w:tr>
      <w:tr>
        <w:tc>
          <w:tcPr>
            <w:tcW w:type="dxa" w:w="1871"/>
            <w:vAlign w:val="top"/>
          </w:tcPr>
          <w:p>
            <w:r/>
            <w:r>
              <w:rPr>
                <w:b w:val="0"/>
              </w:rPr>
              <w:t>4A-uitpakken-basis</w:t>
            </w:r>
          </w:p>
        </w:tc>
        <w:tc>
          <w:tcPr>
            <w:tcW w:type="dxa" w:w="1928"/>
            <w:vAlign w:val="top"/>
          </w:tcPr>
          <w:p>
            <w:r/>
            <w:r>
              <w:rPr>
                <w:b w:val="0"/>
              </w:rPr>
              <w:t>Backend/UI feature</w:t>
            </w:r>
          </w:p>
        </w:tc>
        <w:tc>
          <w:tcPr>
            <w:tcW w:type="dxa" w:w="3345"/>
            <w:vAlign w:val="top"/>
          </w:tcPr>
          <w:p>
            <w:r/>
            <w:r>
              <w:rPr>
                <w:b w:val="0"/>
              </w:rPr>
              <w:t>Purchase import batches en uitpakscherm als aparte flow.</w:t>
            </w:r>
          </w:p>
        </w:tc>
        <w:tc>
          <w:tcPr>
            <w:tcW w:type="dxa" w:w="1928"/>
            <w:vAlign w:val="top"/>
          </w:tcPr>
          <w:p>
            <w:r/>
            <w:r>
              <w:rPr>
                <w:b w:val="0"/>
              </w:rPr>
              <w:t>Kassa -&gt; uitpakken zonder voorraadmutatie.</w:t>
            </w:r>
          </w:p>
        </w:tc>
      </w:tr>
      <w:tr>
        <w:tc>
          <w:tcPr>
            <w:tcW w:type="dxa" w:w="1871"/>
            <w:vAlign w:val="top"/>
          </w:tcPr>
          <w:p>
            <w:r/>
            <w:r>
              <w:rPr>
                <w:b w:val="0"/>
              </w:rPr>
              <w:t>4B-opbergen</w:t>
            </w:r>
          </w:p>
        </w:tc>
        <w:tc>
          <w:tcPr>
            <w:tcW w:type="dxa" w:w="1928"/>
            <w:vAlign w:val="top"/>
          </w:tcPr>
          <w:p>
            <w:r/>
            <w:r>
              <w:rPr>
                <w:b w:val="0"/>
              </w:rPr>
              <w:t>Backend feature</w:t>
            </w:r>
          </w:p>
        </w:tc>
        <w:tc>
          <w:tcPr>
            <w:tcW w:type="dxa" w:w="3345"/>
            <w:vAlign w:val="top"/>
          </w:tcPr>
          <w:p>
            <w:r/>
            <w:r>
              <w:rPr>
                <w:b w:val="0"/>
              </w:rPr>
              <w:t>Ready importregels verwerken naar inventory_events.</w:t>
            </w:r>
          </w:p>
        </w:tc>
        <w:tc>
          <w:tcPr>
            <w:tcW w:type="dxa" w:w="1928"/>
            <w:vAlign w:val="top"/>
          </w:tcPr>
          <w:p>
            <w:r/>
            <w:r>
              <w:rPr>
                <w:b w:val="0"/>
              </w:rPr>
              <w:t>Idempotente voorraadverhoging per locatie.</w:t>
            </w:r>
          </w:p>
        </w:tc>
      </w:tr>
      <w:tr>
        <w:tc>
          <w:tcPr>
            <w:tcW w:type="dxa" w:w="1871"/>
            <w:vAlign w:val="top"/>
          </w:tcPr>
          <w:p>
            <w:r/>
            <w:r>
              <w:rPr>
                <w:b w:val="0"/>
              </w:rPr>
              <w:t>4C-locaties</w:t>
            </w:r>
          </w:p>
        </w:tc>
        <w:tc>
          <w:tcPr>
            <w:tcW w:type="dxa" w:w="1928"/>
            <w:vAlign w:val="top"/>
          </w:tcPr>
          <w:p>
            <w:r/>
            <w:r>
              <w:rPr>
                <w:b w:val="0"/>
              </w:rPr>
              <w:t>UI/backend feature</w:t>
            </w:r>
          </w:p>
        </w:tc>
        <w:tc>
          <w:tcPr>
            <w:tcW w:type="dxa" w:w="3345"/>
            <w:vAlign w:val="top"/>
          </w:tcPr>
          <w:p>
            <w:r/>
            <w:r>
              <w:rPr>
                <w:b w:val="0"/>
              </w:rPr>
              <w:t>Locatie- en sublocatiebeheer stabiliseren.</w:t>
            </w:r>
          </w:p>
        </w:tc>
        <w:tc>
          <w:tcPr>
            <w:tcW w:type="dxa" w:w="1928"/>
            <w:vAlign w:val="top"/>
          </w:tcPr>
          <w:p>
            <w:r/>
            <w:r>
              <w:rPr>
                <w:b w:val="0"/>
              </w:rPr>
              <w:t>CRUD + voorraad afhankelijkheden.</w:t>
            </w:r>
          </w:p>
        </w:tc>
      </w:tr>
      <w:tr>
        <w:tc>
          <w:tcPr>
            <w:tcW w:type="dxa" w:w="1871"/>
            <w:vAlign w:val="top"/>
          </w:tcPr>
          <w:p>
            <w:r/>
            <w:r>
              <w:rPr>
                <w:b w:val="0"/>
              </w:rPr>
              <w:t>4D-afboeken</w:t>
            </w:r>
          </w:p>
        </w:tc>
        <w:tc>
          <w:tcPr>
            <w:tcW w:type="dxa" w:w="1928"/>
            <w:vAlign w:val="top"/>
          </w:tcPr>
          <w:p>
            <w:r/>
            <w:r>
              <w:rPr>
                <w:b w:val="0"/>
              </w:rPr>
              <w:t>Backend/UI feature</w:t>
            </w:r>
          </w:p>
        </w:tc>
        <w:tc>
          <w:tcPr>
            <w:tcW w:type="dxa" w:w="3345"/>
            <w:vAlign w:val="top"/>
          </w:tcPr>
          <w:p>
            <w:r/>
            <w:r>
              <w:rPr>
                <w:b w:val="0"/>
              </w:rPr>
              <w:t>Consume/adjustment/transfer events inclusief audit.</w:t>
            </w:r>
          </w:p>
        </w:tc>
        <w:tc>
          <w:tcPr>
            <w:tcW w:type="dxa" w:w="1928"/>
            <w:vAlign w:val="top"/>
          </w:tcPr>
          <w:p>
            <w:r/>
            <w:r>
              <w:rPr>
                <w:b w:val="0"/>
              </w:rPr>
              <w:t>Voorraadprojectie correct.</w:t>
            </w:r>
          </w:p>
        </w:tc>
      </w:tr>
      <w:tr>
        <w:tc>
          <w:tcPr>
            <w:tcW w:type="dxa" w:w="1871"/>
            <w:vAlign w:val="top"/>
          </w:tcPr>
          <w:p>
            <w:r/>
            <w:r>
              <w:rPr>
                <w:b w:val="0"/>
              </w:rPr>
              <w:t>5A-productcatalogus</w:t>
            </w:r>
          </w:p>
        </w:tc>
        <w:tc>
          <w:tcPr>
            <w:tcW w:type="dxa" w:w="1928"/>
            <w:vAlign w:val="top"/>
          </w:tcPr>
          <w:p>
            <w:r/>
            <w:r>
              <w:rPr>
                <w:b w:val="0"/>
              </w:rPr>
              <w:t>Infrastructuur/backend</w:t>
            </w:r>
          </w:p>
        </w:tc>
        <w:tc>
          <w:tcPr>
            <w:tcW w:type="dxa" w:w="3345"/>
            <w:vAlign w:val="top"/>
          </w:tcPr>
          <w:p>
            <w:r/>
            <w:r>
              <w:rPr>
                <w:b w:val="0"/>
              </w:rPr>
              <w:t>global_products en product_identities als centrale laag.</w:t>
            </w:r>
          </w:p>
        </w:tc>
        <w:tc>
          <w:tcPr>
            <w:tcW w:type="dxa" w:w="1928"/>
            <w:vAlign w:val="top"/>
          </w:tcPr>
          <w:p>
            <w:r/>
            <w:r>
              <w:rPr>
                <w:b w:val="0"/>
              </w:rPr>
              <w:t>Bestaande voorraad en kassa blijven werken.</w:t>
            </w:r>
          </w:p>
        </w:tc>
      </w:tr>
      <w:tr>
        <w:tc>
          <w:tcPr>
            <w:tcW w:type="dxa" w:w="1871"/>
            <w:vAlign w:val="top"/>
          </w:tcPr>
          <w:p>
            <w:r/>
            <w:r>
              <w:rPr>
                <w:b w:val="0"/>
              </w:rPr>
              <w:t>5B-household-article-anchor</w:t>
            </w:r>
          </w:p>
        </w:tc>
        <w:tc>
          <w:tcPr>
            <w:tcW w:type="dxa" w:w="1928"/>
            <w:vAlign w:val="top"/>
          </w:tcPr>
          <w:p>
            <w:r/>
            <w:r>
              <w:rPr>
                <w:b w:val="0"/>
              </w:rPr>
              <w:t>Breaking change</w:t>
            </w:r>
          </w:p>
        </w:tc>
        <w:tc>
          <w:tcPr>
            <w:tcW w:type="dxa" w:w="3345"/>
            <w:vAlign w:val="top"/>
          </w:tcPr>
          <w:p>
            <w:r/>
            <w:r>
              <w:rPr>
                <w:b w:val="0"/>
              </w:rPr>
              <w:t>Frontend/API verankeren op household_article_id.</w:t>
            </w:r>
          </w:p>
        </w:tc>
        <w:tc>
          <w:tcPr>
            <w:tcW w:type="dxa" w:w="1928"/>
            <w:vAlign w:val="top"/>
          </w:tcPr>
          <w:p>
            <w:r/>
            <w:r>
              <w:rPr>
                <w:b w:val="0"/>
              </w:rPr>
              <w:t>Voorraad, detail, uitpakken, kassa.</w:t>
            </w:r>
          </w:p>
        </w:tc>
      </w:tr>
      <w:tr>
        <w:tc>
          <w:tcPr>
            <w:tcW w:type="dxa" w:w="1871"/>
            <w:vAlign w:val="top"/>
          </w:tcPr>
          <w:p>
            <w:r/>
            <w:r>
              <w:rPr>
                <w:b w:val="0"/>
              </w:rPr>
              <w:t>6A-privacy-services</w:t>
            </w:r>
          </w:p>
        </w:tc>
        <w:tc>
          <w:tcPr>
            <w:tcW w:type="dxa" w:w="1928"/>
            <w:vAlign w:val="top"/>
          </w:tcPr>
          <w:p>
            <w:r/>
            <w:r>
              <w:rPr>
                <w:b w:val="0"/>
              </w:rPr>
              <w:t>Backend feature</w:t>
            </w:r>
          </w:p>
        </w:tc>
        <w:tc>
          <w:tcPr>
            <w:tcW w:type="dxa" w:w="3345"/>
            <w:vAlign w:val="top"/>
          </w:tcPr>
          <w:p>
            <w:r/>
            <w:r>
              <w:rPr>
                <w:b w:val="0"/>
              </w:rPr>
              <w:t>Datadeling en serviceproviders modelleren.</w:t>
            </w:r>
          </w:p>
        </w:tc>
        <w:tc>
          <w:tcPr>
            <w:tcW w:type="dxa" w:w="1928"/>
            <w:vAlign w:val="top"/>
          </w:tcPr>
          <w:p>
            <w:r/>
            <w:r>
              <w:rPr>
                <w:b w:val="0"/>
              </w:rPr>
              <w:t>Permissions persistent en geen onbedoelde export.</w:t>
            </w:r>
          </w:p>
        </w:tc>
      </w:tr>
      <w:tr>
        <w:tc>
          <w:tcPr>
            <w:tcW w:type="dxa" w:w="2550"/>
          </w:tcPr>
          <w:p>
            <w:r>
              <w:t>3D-kassa-feedback-panel</w:t>
            </w:r>
          </w:p>
        </w:tc>
        <w:tc>
          <w:tcPr>
            <w:tcW w:type="dxa" w:w="2550"/>
          </w:tcPr>
          <w:p>
            <w:r>
              <w:t>Frontend/UX architecture</w:t>
            </w:r>
          </w:p>
        </w:tc>
        <w:tc>
          <w:tcPr>
            <w:tcW w:type="dxa" w:w="2550"/>
          </w:tcPr>
          <w:p>
            <w:r>
              <w:t>Centrale feedbackcomponent voor Kassa-meldingen introduceren zonder parser- of backendwijziging.</w:t>
            </w:r>
          </w:p>
        </w:tc>
        <w:tc>
          <w:tcPr>
            <w:tcW w:type="dxa" w:w="2550"/>
          </w:tcPr>
          <w:p>
            <w:r>
              <w:t>Frontend build, Kassa openen, uploadflows en Kassa/Admin-regressie 18/18.</w:t>
            </w:r>
          </w:p>
        </w:tc>
      </w:tr>
      <w:tr>
        <w:tc>
          <w:tcPr>
            <w:tcW w:type="dxa" w:w="2550"/>
          </w:tcPr>
          <w:p>
            <w:r>
              <w:t>3D-kassa-feedback-overlay</w:t>
            </w:r>
          </w:p>
        </w:tc>
        <w:tc>
          <w:tcPr>
            <w:tcW w:type="dxa" w:w="2550"/>
          </w:tcPr>
          <w:p>
            <w:r>
              <w:t>UX/architectuur release</w:t>
            </w:r>
          </w:p>
        </w:tc>
        <w:tc>
          <w:tcPr>
            <w:tcW w:type="dxa" w:w="2550"/>
          </w:tcPr>
          <w:p>
            <w:r>
              <w:t>Kassa-meldingen centraliseren in overlay/modal met OK-knop, buitenklik-sluiting en progressblokkade.</w:t>
            </w:r>
          </w:p>
        </w:tc>
        <w:tc>
          <w:tcPr>
            <w:tcW w:type="dxa" w:w="2550"/>
          </w:tcPr>
          <w:p>
            <w:r>
              <w:t>Frontend build, uitgebreide opstart met Kassa-smoke 6/6, Kassa/Admin-regressie 18/18.</w:t>
            </w:r>
          </w:p>
        </w:tc>
      </w:tr>
      <w:tr>
        <w:tc>
          <w:tcPr>
            <w:tcW w:type="dxa" w:w="2550"/>
          </w:tcPr>
          <w:p>
            <w:r>
              <w:t>3E-kassa-inbox-datatable</w:t>
            </w:r>
          </w:p>
        </w:tc>
        <w:tc>
          <w:tcPr>
            <w:tcW w:type="dxa" w:w="2550"/>
          </w:tcPr>
          <w:p>
            <w:r>
              <w:t>Frontend/UX architecture</w:t>
            </w:r>
          </w:p>
        </w:tc>
        <w:tc>
          <w:tcPr>
            <w:tcW w:type="dxa" w:w="2550"/>
          </w:tcPr>
          <w:p>
            <w:r>
              <w:t>Kassa inbox migreren naar DataTable en sticky-offset generiek borgen voor inbox en bonregels/detailtabel.</w:t>
            </w:r>
          </w:p>
        </w:tc>
        <w:tc>
          <w:tcPr>
            <w:tcW w:type="dxa" w:w="2550"/>
          </w:tcPr>
          <w:p>
            <w:r>
              <w:t>Officiële Docker-opstart, visuele Kassa-check, Kassa/Admin-regressie 18/18 via PowerShell/API.</w:t>
            </w:r>
          </w:p>
        </w:tc>
      </w:tr>
    </w:tbl>
    <w:p/>
    <w:p>
      <w:pPr>
        <w:pStyle w:val="Heading1"/>
        <w:keepNext/>
      </w:pPr>
      <w:r>
        <w:t>18. Acceptatiecriteria doelarchitectuur</w:t>
      </w:r>
    </w:p>
    <w:p>
      <w:pPr>
        <w:pStyle w:val="ListBullet"/>
      </w:pPr>
      <w:r>
        <w:t>Kassa kan meerdere supermarktketens verwerken zonder parserstatus in UI of frontendlogica te bepalen.</w:t>
      </w:r>
    </w:p>
    <w:p>
      <w:pPr>
        <w:pStyle w:val="ListBullet"/>
      </w:pPr>
      <w:r>
        <w:t>Uitpakken bestaat als expliciete stap tussen aankoop en voorraad.</w:t>
      </w:r>
    </w:p>
    <w:p>
      <w:pPr>
        <w:pStyle w:val="ListBullet"/>
      </w:pPr>
      <w:r>
        <w:t>Opbergen schrijft inventory_events en is idempotent.</w:t>
      </w:r>
    </w:p>
    <w:p>
      <w:pPr>
        <w:pStyle w:val="ListBullet"/>
      </w:pPr>
      <w:r>
        <w:t>Afboeken schrijft consume/adjustment/transfer-events met audittrail.</w:t>
      </w:r>
    </w:p>
    <w:p>
      <w:pPr>
        <w:pStyle w:val="ListBullet"/>
      </w:pPr>
      <w:r>
        <w:t>Voorraadstand is herleidbaar naar events en locatie.</w:t>
      </w:r>
    </w:p>
    <w:p>
      <w:pPr>
        <w:pStyle w:val="ListBullet"/>
      </w:pPr>
      <w:r>
        <w:t>Aankoopregels zijn gekoppeld aan household_articles en via die route aan global_products.</w:t>
      </w:r>
    </w:p>
    <w:p>
      <w:pPr>
        <w:pStyle w:val="ListBullet"/>
      </w:pPr>
      <w:r>
        <w:t>Locaties en sublocaties zijn beheerbaar en verplicht waar voorraadmutaties dat vereisen.</w:t>
      </w:r>
    </w:p>
    <w:p>
      <w:pPr>
        <w:pStyle w:val="ListBullet"/>
      </w:pPr>
      <w:r>
        <w:t>Productstandaardisatie voorkomt duplicaten en maakt verrijking mogelijk.</w:t>
      </w:r>
    </w:p>
    <w:p>
      <w:pPr>
        <w:pStyle w:val="ListBullet"/>
      </w:pPr>
      <w:r>
        <w:t>Alle hoofdmodules hebben regressietests of expliciete testscope.</w:t>
      </w:r>
    </w:p>
    <w:p>
      <w:pPr>
        <w:pStyle w:val="ListBullet"/>
      </w:pPr>
      <w:r>
        <w:t>Geen release gaat naar PO zonder 3x groen op release gate.</w:t>
      </w:r>
    </w:p>
    <w:p>
      <w:pPr>
        <w:pStyle w:val="ListBullet"/>
      </w:pPr>
      <w:r>
        <w:t>Kassa-meldingen worden via KassaFeedbackPanel als overlay/modal getoond; normale meldingen sluiten via OK of buitenklik, progressmeldingen blijven geblokkeerd zolang verwerking loopt en technische details zijn admin/owner-only.</w:t>
      </w:r>
    </w:p>
    <w:p>
      <w:pPr>
        <w:pStyle w:val="ListBullet"/>
      </w:pPr>
      <w:r>
        <w:t>App-brede feedbackroadmap is expliciet: na Kassa wordt het overlaypatroon gepromoveerd naar een generiek FeedbackDialog-component voor alle schermen.</w:t>
      </w:r>
    </w:p>
    <w:p>
      <w:pPr>
        <w:pStyle w:val="ListBullet"/>
      </w:pPr>
      <w:r>
        <w:t>Kassa inbox en bonregels/detailtabel gebruiken DataTable als standaardcomponent voor sorteren, filteren, kolombreedtes en sticky gedrag.</w:t>
      </w:r>
    </w:p>
    <w:p>
      <w:pPr>
        <w:pStyle w:val="ListBullet"/>
      </w:pPr>
      <w:r>
        <w:t>Sticky filterregels gebruiken een gemeten header-offset via --rz-sticky-header-offset en overlappen niet met de kolomtitelregel.</w:t>
      </w:r>
    </w:p>
    <w:p>
      <w:pPr>
        <w:pStyle w:val="Heading1"/>
        <w:keepNext/>
      </w:pPr>
      <w:r>
        <w:t>19. Open risico’s en beheersmaatregelen</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551"/>
            <w:shd w:fill="1F4E3D"/>
            <w:vAlign w:val="center"/>
          </w:tcPr>
          <w:p>
            <w:r/>
            <w:r>
              <w:rPr>
                <w:b/>
                <w:color w:val="FFFFFF"/>
              </w:rPr>
              <w:t>Risico</w:t>
            </w:r>
          </w:p>
        </w:tc>
        <w:tc>
          <w:tcPr>
            <w:tcW w:type="dxa" w:w="3118"/>
            <w:shd w:fill="1F4E3D"/>
            <w:vAlign w:val="center"/>
          </w:tcPr>
          <w:p>
            <w:r/>
            <w:r>
              <w:rPr>
                <w:b/>
                <w:color w:val="FFFFFF"/>
              </w:rPr>
              <w:t>Impact</w:t>
            </w:r>
          </w:p>
        </w:tc>
        <w:tc>
          <w:tcPr>
            <w:tcW w:type="dxa" w:w="3402"/>
            <w:shd w:fill="1F4E3D"/>
            <w:vAlign w:val="center"/>
          </w:tcPr>
          <w:p>
            <w:r/>
            <w:r>
              <w:rPr>
                <w:b/>
                <w:color w:val="FFFFFF"/>
              </w:rPr>
              <w:t>Beheersmaatregel</w:t>
            </w:r>
          </w:p>
        </w:tc>
      </w:tr>
      <w:tr>
        <w:tc>
          <w:tcPr>
            <w:tcW w:type="dxa" w:w="2551"/>
            <w:vAlign w:val="top"/>
          </w:tcPr>
          <w:p>
            <w:r/>
            <w:r>
              <w:rPr>
                <w:b w:val="0"/>
              </w:rPr>
              <w:t>Schone integratiebranch regressie nog rood</w:t>
            </w:r>
          </w:p>
        </w:tc>
        <w:tc>
          <w:tcPr>
            <w:tcW w:type="dxa" w:w="3118"/>
            <w:vAlign w:val="top"/>
          </w:tcPr>
          <w:p>
            <w:r/>
            <w:r>
              <w:rPr>
                <w:b w:val="0"/>
              </w:rPr>
              <w:t>Geen merge-kandidaat naar main.</w:t>
            </w:r>
          </w:p>
        </w:tc>
        <w:tc>
          <w:tcPr>
            <w:tcW w:type="dxa" w:w="3402"/>
            <w:vAlign w:val="top"/>
          </w:tcPr>
          <w:p>
            <w:r/>
            <w:r>
              <w:rPr>
                <w:b w:val="0"/>
              </w:rPr>
              <w:t>Regressierunner-route/auth-context apart oplossen, niet via brede branchmerge.</w:t>
            </w:r>
          </w:p>
        </w:tc>
      </w:tr>
      <w:tr>
        <w:tc>
          <w:tcPr>
            <w:tcW w:type="dxa" w:w="2551"/>
            <w:vAlign w:val="top"/>
          </w:tcPr>
          <w:p>
            <w:r/>
            <w:r>
              <w:rPr>
                <w:b w:val="0"/>
              </w:rPr>
              <w:t>Megabestanden in backend</w:t>
            </w:r>
          </w:p>
        </w:tc>
        <w:tc>
          <w:tcPr>
            <w:tcW w:type="dxa" w:w="3118"/>
            <w:vAlign w:val="top"/>
          </w:tcPr>
          <w:p>
            <w:r/>
            <w:r>
              <w:rPr>
                <w:b w:val="0"/>
              </w:rPr>
              <w:t>Onveilige wijzigingen en moeilijk reviewbare diffs.</w:t>
            </w:r>
          </w:p>
        </w:tc>
        <w:tc>
          <w:tcPr>
            <w:tcW w:type="dxa" w:w="3402"/>
            <w:vAlign w:val="top"/>
          </w:tcPr>
          <w:p>
            <w:r/>
            <w:r>
              <w:rPr>
                <w:b w:val="0"/>
              </w:rPr>
              <w:t>receipt_service.py afslanken en functionaliteit modulariseren.</w:t>
            </w:r>
          </w:p>
        </w:tc>
      </w:tr>
      <w:tr>
        <w:tc>
          <w:tcPr>
            <w:tcW w:type="dxa" w:w="2551"/>
            <w:vAlign w:val="top"/>
          </w:tcPr>
          <w:p>
            <w:r/>
            <w:r>
              <w:rPr>
                <w:b w:val="0"/>
              </w:rPr>
              <w:t>Databasebron onduidelijk</w:t>
            </w:r>
          </w:p>
        </w:tc>
        <w:tc>
          <w:tcPr>
            <w:tcW w:type="dxa" w:w="3118"/>
            <w:vAlign w:val="top"/>
          </w:tcPr>
          <w:p>
            <w:r/>
            <w:r>
              <w:rPr>
                <w:b w:val="0"/>
              </w:rPr>
              <w:t>Tests en UI kunnen andere data gebruiken.</w:t>
            </w:r>
          </w:p>
        </w:tc>
        <w:tc>
          <w:tcPr>
            <w:tcW w:type="dxa" w:w="3402"/>
            <w:vAlign w:val="top"/>
          </w:tcPr>
          <w:p>
            <w:r/>
            <w:r>
              <w:rPr>
                <w:b w:val="0"/>
              </w:rPr>
              <w:t>Één runtime database expliciet vastleggen en gate controleren.</w:t>
            </w:r>
          </w:p>
        </w:tc>
      </w:tr>
      <w:tr>
        <w:tc>
          <w:tcPr>
            <w:tcW w:type="dxa" w:w="2551"/>
            <w:vAlign w:val="top"/>
          </w:tcPr>
          <w:p>
            <w:r/>
            <w:r>
              <w:rPr>
                <w:b w:val="0"/>
              </w:rPr>
              <w:t>Parserhacks per bestand</w:t>
            </w:r>
          </w:p>
        </w:tc>
        <w:tc>
          <w:tcPr>
            <w:tcW w:type="dxa" w:w="3118"/>
            <w:vAlign w:val="top"/>
          </w:tcPr>
          <w:p>
            <w:r/>
            <w:r>
              <w:rPr>
                <w:b w:val="0"/>
              </w:rPr>
              <w:t>Regressies bij nieuwe bonnen.</w:t>
            </w:r>
          </w:p>
        </w:tc>
        <w:tc>
          <w:tcPr>
            <w:tcW w:type="dxa" w:w="3402"/>
            <w:vAlign w:val="top"/>
          </w:tcPr>
          <w:p>
            <w:r/>
            <w:r>
              <w:rPr>
                <w:b w:val="0"/>
              </w:rPr>
              <w:t>Alle winkelspecifieke regels naar profiles; geen filename-hacks.</w:t>
            </w:r>
          </w:p>
        </w:tc>
      </w:tr>
      <w:tr>
        <w:tc>
          <w:tcPr>
            <w:tcW w:type="dxa" w:w="2551"/>
            <w:vAlign w:val="top"/>
          </w:tcPr>
          <w:p>
            <w:r/>
            <w:r>
              <w:rPr>
                <w:b w:val="0"/>
              </w:rPr>
              <w:t>Voorraadmutaties zonder idempotentie</w:t>
            </w:r>
          </w:p>
        </w:tc>
        <w:tc>
          <w:tcPr>
            <w:tcW w:type="dxa" w:w="3118"/>
            <w:vAlign w:val="top"/>
          </w:tcPr>
          <w:p>
            <w:r/>
            <w:r>
              <w:rPr>
                <w:b w:val="0"/>
              </w:rPr>
              <w:t>Dubbele voorraad bij opnieuw verwerken.</w:t>
            </w:r>
          </w:p>
        </w:tc>
        <w:tc>
          <w:tcPr>
            <w:tcW w:type="dxa" w:w="3402"/>
            <w:vAlign w:val="top"/>
          </w:tcPr>
          <w:p>
            <w:r/>
            <w:r>
              <w:rPr>
                <w:b w:val="0"/>
              </w:rPr>
              <w:t>processed_event_id en unique processing contract.</w:t>
            </w:r>
          </w:p>
        </w:tc>
      </w:tr>
      <w:tr>
        <w:tc>
          <w:tcPr>
            <w:tcW w:type="dxa" w:w="2551"/>
            <w:vAlign w:val="top"/>
          </w:tcPr>
          <w:p>
            <w:r/>
            <w:r>
              <w:rPr>
                <w:b w:val="0"/>
              </w:rPr>
              <w:t>Locatie ontbreekt bij import</w:t>
            </w:r>
          </w:p>
        </w:tc>
        <w:tc>
          <w:tcPr>
            <w:tcW w:type="dxa" w:w="3118"/>
            <w:vAlign w:val="top"/>
          </w:tcPr>
          <w:p>
            <w:r/>
            <w:r>
              <w:rPr>
                <w:b w:val="0"/>
              </w:rPr>
              <w:t>Voorraad onbruikbaar of verkeerd opgeborgen.</w:t>
            </w:r>
          </w:p>
        </w:tc>
        <w:tc>
          <w:tcPr>
            <w:tcW w:type="dxa" w:w="3402"/>
            <w:vAlign w:val="top"/>
          </w:tcPr>
          <w:p>
            <w:r/>
            <w:r>
              <w:rPr>
                <w:b w:val="0"/>
              </w:rPr>
              <w:t>Uitpakflow blokkeert verwerking zonder target_location_id.</w:t>
            </w:r>
          </w:p>
        </w:tc>
      </w:tr>
      <w:tr>
        <w:tc>
          <w:tcPr>
            <w:tcW w:type="dxa" w:w="2551"/>
            <w:vAlign w:val="top"/>
          </w:tcPr>
          <w:p>
            <w:r/>
            <w:r>
              <w:rPr>
                <w:b w:val="0"/>
              </w:rPr>
              <w:t>Productduplicaten</w:t>
            </w:r>
          </w:p>
        </w:tc>
        <w:tc>
          <w:tcPr>
            <w:tcW w:type="dxa" w:w="3118"/>
            <w:vAlign w:val="top"/>
          </w:tcPr>
          <w:p>
            <w:r/>
            <w:r>
              <w:rPr>
                <w:b w:val="0"/>
              </w:rPr>
              <w:t>Inzichten en voorraad worden rommelig.</w:t>
            </w:r>
          </w:p>
        </w:tc>
        <w:tc>
          <w:tcPr>
            <w:tcW w:type="dxa" w:w="3402"/>
            <w:vAlign w:val="top"/>
          </w:tcPr>
          <w:p>
            <w:r/>
            <w:r>
              <w:rPr>
                <w:b w:val="0"/>
              </w:rPr>
              <w:t>Product identities en reviewbare matchregels.</w:t>
            </w:r>
          </w:p>
        </w:tc>
      </w:tr>
      <w:tr>
        <w:tc>
          <w:tcPr>
            <w:tcW w:type="dxa" w:w="3400"/>
          </w:tcPr>
          <w:p>
            <w:r>
              <w:t>Hardcoded sticky-offsets per scherm</w:t>
            </w:r>
          </w:p>
        </w:tc>
        <w:tc>
          <w:tcPr>
            <w:tcW w:type="dxa" w:w="3400"/>
          </w:tcPr>
          <w:p>
            <w:r>
              <w:t>Nieuwe tabellen kunnen opnieuw overlap krijgen of visueel afwijken van DataTable.</w:t>
            </w:r>
          </w:p>
        </w:tc>
        <w:tc>
          <w:tcPr>
            <w:tcW w:type="dxa" w:w="3400"/>
          </w:tcPr>
          <w:p>
            <w:r>
              <w:t>Sticky-offset normatief in DataTable/base.css houden; geen Kassa-only CSS-hacks; visuele scrollcheck opnemen bij UI-regressie.</w:t>
            </w:r>
          </w:p>
        </w:tc>
      </w:tr>
    </w:tbl>
    <w:p/>
    <w:p>
      <w:pPr>
        <w:pStyle w:val="Heading1"/>
        <w:keepNext/>
      </w:pPr>
      <w:r>
        <w:t>20. Conclusie</w:t>
      </w:r>
    </w:p>
    <w:p>
      <w:r>
        <w:t>v2.8 bevestigt de Receipt Ingestion Engine als centrale inleeslaag binnen de bredere Rezzerv-platformarchitectuur en voegt de gerealiseerde generieke DataTable-architectuur toe. De kern van Rezzerv blijft de samenhang tussen productcatalogus, huishoudartikelen, voorraad, locaties, aankoopimport en privacy. Kassa is daarin een invoerkanaal met centraal beheerde feedback én gestandaardiseerde tabellen: inbox en bonregels/detailtabel gebruiken DataTable met gemeten sticky header-offset.</w:t>
      </w:r>
    </w:p>
    <w:p>
      <w:r>
        <w:t>De eerstvolgende technische prioriteit blijft het verder generiek maken van UI-patronen: KassaFeedbackPanel abstraheren naar een generieke AppFeedbackDialog en DataTable gecontroleerd toepassen op andere tabelschermen zonder nieuwe inline feedback- of sticky-filterpatronen. Betrouwbaarheid blijft leidend: officiële Docker-opstart, visuele Kassa-check en volledige Kassa/Admin-regressie blijven de borging voor Kassa-gerelateerde wijzigingen.</w:t>
      </w:r>
    </w:p>
    <w:p>
      <w:pPr>
        <w:pStyle w:val="Heading1"/>
      </w:pPr>
      <w:r>
        <w:t>21. Versie-update v2.8 - Kassa detailreview en lokale ontvangstfallback</w:t>
      </w:r>
    </w:p>
    <w:p>
      <w:pPr>
        <w:spacing w:after="120"/>
      </w:pPr>
      <w:r>
        <w:t>v2.8 legt aanvullend de gerealiseerde Kassa detailreview-architectuur vast. Deze update volgt op de DataTable-migratie en richt zich op de zichtbare review-layout, actieknoppen en het voorkomen van een onterechte 500-melding bij Bon toevoegen in de lokale ontwikkelomgeving.</w:t>
      </w:r>
    </w:p>
    <w:p>
      <w:pPr>
        <w:pStyle w:val="Heading2"/>
      </w:pPr>
      <w:r>
        <w:t>21.1 Normatieve Kassa UI-besluiten</w:t>
      </w:r>
    </w:p>
    <w:tbl>
      <w:tblPr>
        <w:tblStyle w:val="TableGrid"/>
        <w:tblW w:type="auto" w:w="0"/>
        <w:jc w:val="center"/>
        <w:tblLook w:firstColumn="1" w:firstRow="1" w:lastColumn="0" w:lastRow="0" w:noHBand="0" w:noVBand="1" w:val="04A0"/>
      </w:tblPr>
      <w:tblGrid>
        <w:gridCol w:w="5100"/>
        <w:gridCol w:w="5100"/>
      </w:tblGrid>
      <w:tr>
        <w:tc>
          <w:tcPr>
            <w:tcW w:type="dxa" w:w="5100"/>
            <w:vAlign w:val="top"/>
            <w:shd w:fill="D9EAD3"/>
          </w:tcPr>
          <w:p>
            <w:r>
              <w:rPr>
                <w:b/>
                <w:sz w:val="18"/>
              </w:rPr>
              <w:t>Besluit</w:t>
            </w:r>
          </w:p>
        </w:tc>
        <w:tc>
          <w:tcPr>
            <w:tcW w:type="dxa" w:w="5100"/>
            <w:vAlign w:val="top"/>
            <w:shd w:fill="D9EAD3"/>
          </w:tcPr>
          <w:p>
            <w:r>
              <w:rPr>
                <w:b/>
                <w:sz w:val="18"/>
              </w:rPr>
              <w:t>Normatieve betekenis</w:t>
            </w:r>
          </w:p>
        </w:tc>
      </w:tr>
      <w:tr>
        <w:tc>
          <w:tcPr>
            <w:tcW w:type="dxa" w:w="5100"/>
          </w:tcPr>
          <w:p>
            <w:r>
              <w:rPr>
                <w:sz w:val="18"/>
              </w:rPr>
              <w:t>Preview-cardhoogte</w:t>
            </w:r>
          </w:p>
        </w:tc>
        <w:tc>
          <w:tcPr>
            <w:tcW w:type="dxa" w:w="5100"/>
          </w:tcPr>
          <w:p>
            <w:r>
              <w:rPr>
                <w:sz w:val="18"/>
              </w:rPr>
              <w:t>Het volledige witte vlak Originele kassabon is even hoog als het rechter detailvlak. Niet alleen het binnenframe, maar de gehele card is het visuele anker.</w:t>
            </w:r>
          </w:p>
        </w:tc>
      </w:tr>
      <w:tr>
        <w:tc>
          <w:tcPr>
            <w:tcW w:type="dxa" w:w="5100"/>
          </w:tcPr>
          <w:p>
            <w:r>
              <w:rPr>
                <w:sz w:val="18"/>
              </w:rPr>
              <w:t>Maximaal 10 artikelregels</w:t>
            </w:r>
          </w:p>
        </w:tc>
        <w:tc>
          <w:tcPr>
            <w:tcW w:type="dxa" w:w="5100"/>
          </w:tcPr>
          <w:p>
            <w:r>
              <w:rPr>
                <w:sz w:val="18"/>
              </w:rPr>
              <w:t>De artikelregeltabel toont maximaal ongeveer 10 regels en scrollt daarna. De layout varieert niet ongewenst mee met het actuele aantal artikelregels.</w:t>
            </w:r>
          </w:p>
        </w:tc>
      </w:tr>
      <w:tr>
        <w:tc>
          <w:tcPr>
            <w:tcW w:type="dxa" w:w="5100"/>
          </w:tcPr>
          <w:p>
            <w:r>
              <w:rPr>
                <w:sz w:val="18"/>
              </w:rPr>
              <w:t>Fotozoom</w:t>
            </w:r>
          </w:p>
        </w:tc>
        <w:tc>
          <w:tcPr>
            <w:tcW w:type="dxa" w:w="5100"/>
          </w:tcPr>
          <w:p>
            <w:r>
              <w:rPr>
                <w:sz w:val="18"/>
              </w:rPr>
              <w:t>Foto’s ondersteunen inzoomen, uitzoomen en horizontaal/verticaal scrollen binnen de preview.</w:t>
            </w:r>
          </w:p>
        </w:tc>
      </w:tr>
      <w:tr>
        <w:tc>
          <w:tcPr>
            <w:tcW w:type="dxa" w:w="5100"/>
          </w:tcPr>
          <w:p>
            <w:r>
              <w:rPr>
                <w:sz w:val="18"/>
              </w:rPr>
              <w:t>Origineel/Bewerkt verwijderd</w:t>
            </w:r>
          </w:p>
        </w:tc>
        <w:tc>
          <w:tcPr>
            <w:tcW w:type="dxa" w:w="5100"/>
          </w:tcPr>
          <w:p>
            <w:r>
              <w:rPr>
                <w:sz w:val="18"/>
              </w:rPr>
              <w:t>Er is geen zichtbare varianttoggle meer in Kassa.</w:t>
            </w:r>
          </w:p>
        </w:tc>
      </w:tr>
      <w:tr>
        <w:tc>
          <w:tcPr>
            <w:tcW w:type="dxa" w:w="5100"/>
          </w:tcPr>
          <w:p>
            <w:r>
              <w:rPr>
                <w:sz w:val="18"/>
              </w:rPr>
              <w:t>Bonkop opslaan verwijderd</w:t>
            </w:r>
          </w:p>
        </w:tc>
        <w:tc>
          <w:tcPr>
            <w:tcW w:type="dxa" w:w="5100"/>
          </w:tcPr>
          <w:p>
            <w:r>
              <w:rPr>
                <w:sz w:val="18"/>
              </w:rPr>
              <w:t>Er is geen losse gebruikersactie meer om alleen de bonkop op te slaan.</w:t>
            </w:r>
          </w:p>
        </w:tc>
      </w:tr>
      <w:tr>
        <w:tc>
          <w:tcPr>
            <w:tcW w:type="dxa" w:w="5100"/>
          </w:tcPr>
          <w:p>
            <w:r>
              <w:rPr>
                <w:sz w:val="18"/>
              </w:rPr>
              <w:t>Actieknoppen</w:t>
            </w:r>
          </w:p>
        </w:tc>
        <w:tc>
          <w:tcPr>
            <w:tcW w:type="dxa" w:w="5100"/>
          </w:tcPr>
          <w:p>
            <w:r>
              <w:rPr>
                <w:sz w:val="18"/>
              </w:rPr>
              <w:t>De detailacties zijn verdeeld over twee regels: Toevoegen/Verwijderen/Exporteren en daaronder Goedkeuren/JSON.</w:t>
            </w:r>
          </w:p>
        </w:tc>
      </w:tr>
    </w:tbl>
    <w:p/>
    <w:p>
      <w:pPr>
        <w:pStyle w:val="Heading2"/>
      </w:pPr>
      <w:r>
        <w:t>21.2 Receipt source fallback</w:t>
      </w:r>
    </w:p>
    <w:p>
      <w:pPr>
        <w:spacing w:after="120"/>
      </w:pPr>
      <w:r>
        <w:t>De endpoint GET /api/receipt-sources/email-route mag in de lokale ontwikkelomgeving geen 500 teruggeven wanneer de receipt source helper service niet is geconfigureerd. De architectuurnorm is dat lokale niet-geconfigureerde ontvangst een local_demo fallbackstatus geeft. Echte backendfouten worden niet gemaskeerd.</w:t>
      </w:r>
    </w:p>
    <w:p>
      <w:pPr>
        <w:pStyle w:val="Heading2"/>
      </w:pPr>
      <w:r>
        <w:t>21.3 Regressie-impact</w:t>
      </w:r>
    </w:p>
    <w:p>
      <w:pPr>
        <w:pStyle w:val="ListBullet"/>
        <w:spacing w:after="40"/>
      </w:pPr>
      <w:r>
        <w:t>Visuele Kassa-check omvat voortaan ook gelijkheid van linker en rechter witte detailvlakken.</w:t>
      </w:r>
    </w:p>
    <w:p>
      <w:pPr>
        <w:pStyle w:val="ListBullet"/>
        <w:spacing w:after="40"/>
      </w:pPr>
      <w:r>
        <w:t>Kassa-check omvat de tweede knopregel Goedkeuren/JSON en gelijke knopmarges.</w:t>
      </w:r>
    </w:p>
    <w:p>
      <w:pPr>
        <w:pStyle w:val="ListBullet"/>
        <w:spacing w:after="40"/>
      </w:pPr>
      <w:r>
        <w:t>Bon toevoegen moet zonder Interne serverfout in de API openen.</w:t>
      </w:r>
    </w:p>
    <w:p>
      <w:pPr>
        <w:pStyle w:val="ListBullet"/>
        <w:spacing w:after="40"/>
      </w:pPr>
      <w:r>
        <w:t>Volledige Kassa/Admin-regressie blijft verplicht bij deze Kassa-gerelateerde wijziging.</w:t>
      </w:r>
    </w:p>
    <w:p>
      <w:r>
        <w:br w:type="page"/>
      </w:r>
    </w:p>
    <w:p>
      <w:pPr>
        <w:pStyle w:val="Heading1"/>
      </w:pPr>
      <w:r>
        <w:t>22. Versie-update v2.9 - Uitpakken, artikelcatalogus en externe databases</w:t>
      </w:r>
    </w:p>
    <w:p>
      <w:r>
        <w:rPr>
          <w:b w:val="0"/>
        </w:rPr>
        <w:t>v2.9 legt de voortgang van de laatste ontwikkelstappen vast: Uitpakken is verder geborgd als brug tussen Kassa en Voorraad, de artikelcatalogus is geïnventariseerd en de eerste navigatiebasis voor Externe databases is toegevoegd. De update is documentair en normatief: de daadwerkelijke GTIN-invoer en OFF-koppeling volgen in een aparte vervolgrelease.</w:t>
      </w:r>
    </w:p>
    <w:p>
      <w:pPr>
        <w:pStyle w:val="Heading2"/>
      </w:pPr>
      <w:r>
        <w:t>22.1 Gerealiseerde voortgang in Uitpakken</w:t>
      </w:r>
    </w:p>
    <w:p>
      <w:pPr>
        <w:pStyle w:val="ListBullet"/>
      </w:pPr>
      <w:r>
        <w:t>Er is een stabiele basis voor Uitpakken vastgelegd op basis/kassa-uitpakken-regressie-stabiel-20260612 met tag stable-kassa-uitpakken-regressie-20260612.</w:t>
      </w:r>
    </w:p>
    <w:p>
      <w:pPr>
        <w:pStyle w:val="ListBullet"/>
      </w:pPr>
      <w:r>
        <w:t>De uitpakflow is geborgd met geïsoleerde smoke- en regressietests voor purchase import, doellocaties en verwerking.</w:t>
      </w:r>
    </w:p>
    <w:p>
      <w:pPr>
        <w:pStyle w:val="ListBullet"/>
      </w:pPr>
      <w:r>
        <w:t>Locatie- en sublocatiekeuze zijn aangescherpt: een ruimte met actieve sublocaties is geen eindlocatie; de gebruiker moet dan een sublocatie kiezen.</w:t>
      </w:r>
    </w:p>
    <w:p>
      <w:pPr>
        <w:pStyle w:val="ListBullet"/>
      </w:pPr>
      <w:r>
        <w:t>De locatiepicker is visueel verfijnd en ondersteunt beheeractie, verwijderen, sluiten en consistente uitlijning van locatie- en sublocatieblokken.</w:t>
      </w:r>
    </w:p>
    <w:p>
      <w:pPr>
        <w:pStyle w:val="ListBullet"/>
      </w:pPr>
      <w:r>
        <w:t>Bulktoepassing van locaties op geselecteerde regels is toegevoegd als UX-stap voor sneller uitpakken.</w:t>
      </w:r>
    </w:p>
    <w:p>
      <w:pPr>
        <w:pStyle w:val="ListBullet"/>
      </w:pPr>
      <w:r>
        <w:t>De uitpaktabel is functioneel herordend en verduidelijkt; de gebruikersordening wordt als “Artikelgroep” gepresenteerd.</w:t>
      </w:r>
    </w:p>
    <w:p>
      <w:pPr>
        <w:pStyle w:val="ListBullet"/>
      </w:pPr>
      <w:r>
        <w:t>De export van Uitpakken vult de gekozen locatie/sublocatie robuuster en gebruikt dezelfde locatie-helper als de tabel.</w:t>
      </w:r>
    </w:p>
    <w:p>
      <w:pPr>
        <w:pStyle w:val="Heading2"/>
      </w:pPr>
      <w:r>
        <w:t>22.2 Artikelcatalogus en OFF-status</w:t>
      </w:r>
    </w:p>
    <w:p>
      <w:r>
        <w:rPr>
          <w:b w:val="0"/>
        </w:rPr>
        <w:t>De runtime-database laat de volgende actuele catalogusstatus zien:</w:t>
      </w:r>
    </w:p>
    <w:tbl>
      <w:tblPr>
        <w:tblStyle w:val="TableGrid"/>
        <w:tblW w:type="auto" w:w="0"/>
        <w:jc w:val="center"/>
        <w:tblLook w:firstColumn="1" w:firstRow="1" w:lastColumn="0" w:lastRow="0" w:noHBand="0" w:noVBand="1" w:val="04A0"/>
      </w:tblPr>
      <w:tblGrid>
        <w:gridCol w:w="5100"/>
        <w:gridCol w:w="5100"/>
      </w:tblGrid>
      <w:tr>
        <w:tc>
          <w:tcPr>
            <w:tcW w:type="dxa" w:w="5100"/>
          </w:tcPr>
          <w:p>
            <w:r>
              <w:rPr>
                <w:b/>
              </w:rPr>
              <w:t>Onderdeel</w:t>
            </w:r>
          </w:p>
        </w:tc>
        <w:tc>
          <w:tcPr>
            <w:tcW w:type="dxa" w:w="5100"/>
          </w:tcPr>
          <w:p>
            <w:r>
              <w:rPr>
                <w:b/>
              </w:rPr>
              <w:t>Status</w:t>
            </w:r>
          </w:p>
        </w:tc>
      </w:tr>
      <w:tr>
        <w:tc>
          <w:tcPr>
            <w:tcW w:type="dxa" w:w="5100"/>
          </w:tcPr>
          <w:p>
            <w:r>
              <w:t>household_articles</w:t>
            </w:r>
          </w:p>
        </w:tc>
        <w:tc>
          <w:tcPr>
            <w:tcW w:type="dxa" w:w="5100"/>
          </w:tcPr>
          <w:p>
            <w:r>
              <w:t>5 records: Melk, Tuna, Geraspte kaas, Banaan, Tomaten. Alle vijf hebben een global_product_id, maar geen barcode/GTIN.</w:t>
            </w:r>
          </w:p>
        </w:tc>
      </w:tr>
      <w:tr>
        <w:tc>
          <w:tcPr>
            <w:tcW w:type="dxa" w:w="5100"/>
          </w:tcPr>
          <w:p>
            <w:r>
              <w:t>global_products</w:t>
            </w:r>
          </w:p>
        </w:tc>
        <w:tc>
          <w:tcPr>
            <w:tcW w:type="dxa" w:w="5100"/>
          </w:tcPr>
          <w:p>
            <w:r>
              <w:t>9 records, waarvan 4 met een primary_gtin uit kassabon-/receiptcontext.</w:t>
            </w:r>
          </w:p>
        </w:tc>
      </w:tr>
      <w:tr>
        <w:tc>
          <w:tcPr>
            <w:tcW w:type="dxa" w:w="5100"/>
          </w:tcPr>
          <w:p>
            <w:r>
              <w:t>product_identities</w:t>
            </w:r>
          </w:p>
        </w:tc>
        <w:tc>
          <w:tcPr>
            <w:tcW w:type="dxa" w:w="5100"/>
          </w:tcPr>
          <w:p>
            <w:r>
              <w:t>4 records met identity_type = gtin, confidence_score = 1 en source = receipt. Deze zijn gekoppeld aan Lidl non-food global products.</w:t>
            </w:r>
          </w:p>
        </w:tc>
      </w:tr>
      <w:tr>
        <w:tc>
          <w:tcPr>
            <w:tcW w:type="dxa" w:w="5100"/>
          </w:tcPr>
          <w:p>
            <w:r>
              <w:t>external_product_candidates</w:t>
            </w:r>
          </w:p>
        </w:tc>
        <w:tc>
          <w:tcPr>
            <w:tcW w:type="dxa" w:w="5100"/>
          </w:tcPr>
          <w:p>
            <w:r>
              <w:t>0 records. Er zijn nog geen OFF-kandidaten opgeslagen.</w:t>
            </w:r>
          </w:p>
        </w:tc>
      </w:tr>
      <w:tr>
        <w:tc>
          <w:tcPr>
            <w:tcW w:type="dxa" w:w="5100"/>
          </w:tcPr>
          <w:p>
            <w:r>
              <w:t>external_product_index</w:t>
            </w:r>
          </w:p>
        </w:tc>
        <w:tc>
          <w:tcPr>
            <w:tcW w:type="dxa" w:w="5100"/>
          </w:tcPr>
          <w:p>
            <w:r>
              <w:t>0 records. Er is nog geen lokale externe productindex opgebouwd.</w:t>
            </w:r>
          </w:p>
        </w:tc>
      </w:tr>
      <w:tr>
        <w:tc>
          <w:tcPr>
            <w:tcW w:type="dxa" w:w="5100"/>
          </w:tcPr>
          <w:p>
            <w:r>
              <w:t>product_enrichments</w:t>
            </w:r>
          </w:p>
        </w:tc>
        <w:tc>
          <w:tcPr>
            <w:tcW w:type="dxa" w:w="5100"/>
          </w:tcPr>
          <w:p>
            <w:r>
              <w:t>0 records. Er is nog geen verrijking vanuit OFF of andere externe bron vastgelegd.</w:t>
            </w:r>
          </w:p>
        </w:tc>
      </w:tr>
    </w:tbl>
    <w:p>
      <w:r>
        <w:rPr>
          <w:b w:val="0"/>
        </w:rPr>
        <w:t>Architectuurconclusie: er is nog geen bewezen Open Food Facts-koppeling in de runtime-database. GTIN is de voorkeursroute voor betrouwbare externe productkoppeling, maar moet voor de voedingsartikelen nog door de gebruiker worden toegevoegd of via een later scan-/zoekproces worden gevuld.</w:t>
      </w:r>
    </w:p>
    <w:p>
      <w:pPr>
        <w:pStyle w:val="Heading2"/>
      </w:pPr>
      <w:r>
        <w:t>22.3 Externe databases als toekomstige module</w:t>
      </w:r>
    </w:p>
    <w:p>
      <w:pPr>
        <w:pStyle w:val="ListBullet"/>
      </w:pPr>
      <w:r>
        <w:t>De landingspagina bevat nu een actiebutton “Externe databases”.</w:t>
      </w:r>
    </w:p>
    <w:p>
      <w:pPr>
        <w:pStyle w:val="ListBullet"/>
      </w:pPr>
      <w:r>
        <w:t>De route /externe-databases is toegevoegd met een placeholderpagina voor toekomstige externe productdatabases zoals Open Food Facts.</w:t>
      </w:r>
    </w:p>
    <w:p>
      <w:pPr>
        <w:pStyle w:val="ListBullet"/>
      </w:pPr>
      <w:r>
        <w:t>De module Externe databases wordt de plek voor cataloguscontrole, GTIN-aanvulling, OFF-lookup en later validatie van automatische koppelingen.</w:t>
      </w:r>
    </w:p>
    <w:p>
      <w:pPr>
        <w:pStyle w:val="ListBullet"/>
      </w:pPr>
      <w:r>
        <w:t>De module is vooralsnog een navigatie- en voorbereidingsstap; zij wijzigt nog geen product- of voorraaddata.</w:t>
      </w:r>
    </w:p>
    <w:p>
      <w:pPr>
        <w:pStyle w:val="Heading2"/>
      </w:pPr>
      <w:r>
        <w:t>22.4 Normatief besluit voor OFF-koppeling</w:t>
      </w:r>
    </w:p>
    <w:p>
      <w:pPr>
        <w:pStyle w:val="ListBullet"/>
      </w:pPr>
      <w:r>
        <w:t>OFF is een verrijkingsbron en geen primaire bron van Rezzerv-productwaarheid.</w:t>
      </w:r>
    </w:p>
    <w:p>
      <w:pPr>
        <w:pStyle w:val="ListBullet"/>
      </w:pPr>
      <w:r>
        <w:t>Prioriteit B is leidend: een OFF-match mag eerst alleen aan een bestaand global_product worden gekoppeld.</w:t>
      </w:r>
    </w:p>
    <w:p>
      <w:pPr>
        <w:pStyle w:val="ListBullet"/>
      </w:pPr>
      <w:r>
        <w:t>Automatisch aanmaken van nieuwe global_products uit OFF gebeurt niet zonder aparte ontwerp- en acceptatiestap.</w:t>
      </w:r>
    </w:p>
    <w:p>
      <w:pPr>
        <w:pStyle w:val="ListBullet"/>
      </w:pPr>
      <w:r>
        <w:t>Exacte, gevalideerde GTIN-match krijgt de hoogste betrouwbaarheid; tekstmatching zonder GTIN blijft review- of kandidaatniveau.</w:t>
      </w:r>
    </w:p>
    <w:p>
      <w:pPr>
        <w:pStyle w:val="ListBullet"/>
      </w:pPr>
      <w:r>
        <w:t>Automatische koppeling vereist later een confidence score, een duidelijke marge ten opzichte van alternatieven en geen merk- of inhoudconflict.</w:t>
      </w:r>
    </w:p>
    <w:p>
      <w:pPr>
        <w:pStyle w:val="Heading2"/>
      </w:pPr>
      <w:r>
        <w:t>22.5 Aangepaste acceptatiecriteria</w:t>
      </w:r>
    </w:p>
    <w:p>
      <w:pPr>
        <w:pStyle w:val="ListBullet"/>
      </w:pPr>
      <w:r>
        <w:t>Home toont de actiebutton “Externe databases”.</w:t>
      </w:r>
    </w:p>
    <w:p>
      <w:pPr>
        <w:pStyle w:val="ListBullet"/>
      </w:pPr>
      <w:r>
        <w:t>Klikken op “Externe databases” opent de placeholderpagina zonder regressie in Home, Kassa, Uitpakken of Voorraad.</w:t>
      </w:r>
    </w:p>
    <w:p>
      <w:pPr>
        <w:pStyle w:val="ListBullet"/>
      </w:pPr>
      <w:r>
        <w:t>Artikelcatalogusrapportage kan tonen hoeveel huishoudartikelen, global_products, GTIN-identiteiten, OFF-kandidaten en verrijkingen aanwezig zijn.</w:t>
      </w:r>
    </w:p>
    <w:p>
      <w:pPr>
        <w:pStyle w:val="ListBullet"/>
      </w:pPr>
      <w:r>
        <w:t>Een toekomstige GTIN-invoerflow moet minimaal huishoudartikel, global_product en product_identity consistent bijwerken.</w:t>
      </w:r>
    </w:p>
    <w:p>
      <w:r>
        <w:br w:type="page"/>
      </w:r>
    </w:p>
    <w:p>
      <w:pPr>
        <w:pStyle w:val="Heading1"/>
      </w:pPr>
      <w:r>
        <w:t>23. Versie-update v2.13 - Frontend-regressieborging en main merge-gate</w:t>
      </w:r>
    </w:p>
    <w:p>
      <w:r>
        <w:t>v2.13 legt vast dat Rezzerv vanaf main @ 96dbe8ae beschikt over een expliciete frontend-regressieset voor Kassa, Uitpakken en Externe databases. Deze regressieset is verplicht onderdeel van de technische borging voorafgaand aan merges naar main wanneer deze domeinen geraakt worden.</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00"/>
        <w:gridCol w:w="5100"/>
      </w:tblGrid>
      <w:tr>
        <w:tc>
          <w:tcPr>
            <w:tcW w:type="dxa" w:w="5100"/>
            <w:shd w:fill="D9EAD3"/>
          </w:tcPr>
          <w:p>
            <w:r>
              <w:rPr>
                <w:b/>
              </w:rPr>
            </w:r>
            <w:r>
              <w:rPr>
                <w:b/>
                <w:sz w:val="18"/>
              </w:rPr>
              <w:t>Onderdeel</w:t>
            </w:r>
          </w:p>
        </w:tc>
        <w:tc>
          <w:tcPr>
            <w:tcW w:type="dxa" w:w="5100"/>
            <w:shd w:fill="D9EAD3"/>
          </w:tcPr>
          <w:p>
            <w:r>
              <w:rPr>
                <w:b/>
              </w:rPr>
            </w:r>
            <w:r>
              <w:rPr>
                <w:b/>
                <w:sz w:val="18"/>
              </w:rPr>
              <w:t>Normatieve toevoeging</w:t>
            </w:r>
          </w:p>
        </w:tc>
      </w:tr>
      <w:tr>
        <w:tc>
          <w:tcPr>
            <w:tcW w:type="dxa" w:w="5100"/>
          </w:tcPr>
          <w:p>
            <w:r/>
            <w:r>
              <w:rPr>
                <w:sz w:val="18"/>
              </w:rPr>
              <w:t>Nieuwe baseline</w:t>
            </w:r>
          </w:p>
        </w:tc>
        <w:tc>
          <w:tcPr>
            <w:tcW w:type="dxa" w:w="5100"/>
          </w:tcPr>
          <w:p>
            <w:r/>
            <w:r>
              <w:rPr>
                <w:sz w:val="18"/>
              </w:rPr>
              <w:t>main @ 96dbe8ae na PR #63; regressie Kassa + Uitpakken + Externe databases 7/7 groen.</w:t>
            </w:r>
          </w:p>
        </w:tc>
      </w:tr>
      <w:tr>
        <w:tc>
          <w:tcPr>
            <w:tcW w:type="dxa" w:w="5100"/>
          </w:tcPr>
          <w:p>
            <w:r/>
            <w:r>
              <w:rPr>
                <w:sz w:val="18"/>
              </w:rPr>
              <w:t>Merge-gate</w:t>
            </w:r>
          </w:p>
        </w:tc>
        <w:tc>
          <w:tcPr>
            <w:tcW w:type="dxa" w:w="5100"/>
          </w:tcPr>
          <w:p>
            <w:r/>
            <w:r>
              <w:rPr>
                <w:sz w:val="18"/>
              </w:rPr>
              <w:t>Geen branch naar main zonder aantoonbaar geslaagde relevante regressietesten.</w:t>
            </w:r>
          </w:p>
        </w:tc>
      </w:tr>
      <w:tr>
        <w:tc>
          <w:tcPr>
            <w:tcW w:type="dxa" w:w="5100"/>
          </w:tcPr>
          <w:p>
            <w:r/>
            <w:r>
              <w:rPr>
                <w:sz w:val="18"/>
              </w:rPr>
              <w:t>Frontend-regressierunner</w:t>
            </w:r>
          </w:p>
        </w:tc>
        <w:tc>
          <w:tcPr>
            <w:tcW w:type="dxa" w:w="5100"/>
          </w:tcPr>
          <w:p>
            <w:r/>
            <w:r>
              <w:rPr>
                <w:sz w:val="18"/>
              </w:rPr>
              <w:t>scripts/run-frontend-regression-report.ps1 voert backend-healthcheck uit en draait Playwright via Docker.</w:t>
            </w:r>
          </w:p>
        </w:tc>
      </w:tr>
      <w:tr>
        <w:tc>
          <w:tcPr>
            <w:tcW w:type="dxa" w:w="5100"/>
          </w:tcPr>
          <w:p>
            <w:r/>
            <w:r>
              <w:rPr>
                <w:sz w:val="18"/>
              </w:rPr>
              <w:t>Scope</w:t>
            </w:r>
          </w:p>
        </w:tc>
        <w:tc>
          <w:tcPr>
            <w:tcW w:type="dxa" w:w="5100"/>
          </w:tcPr>
          <w:p>
            <w:r/>
            <w:r>
              <w:rPr>
                <w:sz w:val="18"/>
              </w:rPr>
              <w:t>Kassa, Kassa nieuw-route, Kassabonnen-overzicht, Uitpakken batch-detail, Locatiebeheer en Externe databases.</w:t>
            </w:r>
          </w:p>
        </w:tc>
      </w:tr>
      <w:tr>
        <w:tc>
          <w:tcPr>
            <w:tcW w:type="dxa" w:w="5100"/>
          </w:tcPr>
          <w:p>
            <w:r/>
            <w:r>
              <w:rPr>
                <w:sz w:val="18"/>
              </w:rPr>
              <w:t>Architectuurstatus</w:t>
            </w:r>
          </w:p>
        </w:tc>
        <w:tc>
          <w:tcPr>
            <w:tcW w:type="dxa" w:w="5100"/>
          </w:tcPr>
          <w:p>
            <w:r/>
            <w:r>
              <w:rPr>
                <w:sz w:val="18"/>
              </w:rPr>
              <w:t>Dit is een QA/testrelease: geen productcodewijziging, geen schemawijziging en geen UI-gedragswijziging.</w:t>
            </w:r>
          </w:p>
        </w:tc>
      </w:tr>
    </w:tbl>
    <w:p>
      <w:pPr>
        <w:pStyle w:val="Heading2"/>
      </w:pPr>
      <w:r>
        <w:t>Aanvulling - Frontend-regressieborging en mergevoorwaarde</w:t>
      </w:r>
    </w:p>
    <w:p>
      <w:r>
        <w:t>Vastgelegd na merge van PR #63 / c069569b / main merge 96dbe8ae. De wijziging voegt regressiedekking toe en wijzigt geen productcode, UI-gedrag, backendlogica of database-schema.</w:t>
      </w:r>
    </w:p>
    <w:p>
      <w:r>
        <w:t>Nieuwe harde regel: vóór een branch naar main wordt gemerged, moeten alle regressietesten die bij de wijzigingszwaarte horen succesvol zijn doorlopen. Bij twijfel geldt de zwaarste relevante testset.</w:t>
      </w:r>
    </w:p>
    <w:p>
      <w:pPr>
        <w:pStyle w:val="Heading3"/>
      </w:pPr>
      <w:r>
        <w:t>Extra frontend-regressietesten</w:t>
      </w:r>
    </w:p>
    <w:p>
      <w:pPr>
        <w:pStyle w:val="ListBullet"/>
      </w:pPr>
      <w:r>
        <w:t>Kassa: /kassa laadt zonder frontendcorruptie, console errors of page errors.</w:t>
      </w:r>
    </w:p>
    <w:p>
      <w:pPr>
        <w:pStyle w:val="ListBullet"/>
      </w:pPr>
      <w:r>
        <w:t>Kassa nieuw-route: /kassa/nieuw blijft naar dezelfde flow leiden.</w:t>
      </w:r>
    </w:p>
    <w:p>
      <w:pPr>
        <w:pStyle w:val="ListBullet"/>
      </w:pPr>
      <w:r>
        <w:t>Kassabonnen-overzicht: /kassabonnen laadt en toont kernlabels.</w:t>
      </w:r>
    </w:p>
    <w:p>
      <w:pPr>
        <w:pStyle w:val="ListBullet"/>
      </w:pPr>
      <w:r>
        <w:t>Uitpakken batch-detail: een aangemaakte aankoopbatch opent via /kassabonnen/batch/:batchId.</w:t>
      </w:r>
    </w:p>
    <w:p>
      <w:pPr>
        <w:pStyle w:val="ListBullet"/>
      </w:pPr>
      <w:r>
        <w:t>Locatiebeheer: /instellingen/locaties blijft bereikbaar voor de Uitpakken-flow.</w:t>
      </w:r>
    </w:p>
    <w:p>
      <w:pPr>
        <w:pStyle w:val="ListBullet"/>
      </w:pPr>
      <w:r>
        <w:t>Externe databases: /externe-databases laadt en behoudt het bonartikelen/productkandidaten-overzicht.</w:t>
      </w:r>
    </w:p>
    <w:p>
      <w:pPr>
        <w:pStyle w:val="ListBullet"/>
      </w:pPr>
      <w:r>
        <w:t>Testsetup: browser-regression fixture reset en Kassa-seed draaien met platform-admin Bearer-token.</w:t>
      </w:r>
    </w:p>
    <w:p>
      <w:pPr>
        <w:pStyle w:val="ListBullet"/>
      </w:pPr>
      <w:r>
        <w:t>Runner: scripts/run-frontend-regression-report.ps1 start backend-healthcheck en voert Playwright uit in Docker.</w:t>
      </w:r>
    </w:p>
    <w:p>
      <w:pPr>
        <w:pStyle w:val="Heading3"/>
      </w:pPr>
      <w:r>
        <w:t>Regressiezwaarte per wijziging</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00"/>
        <w:gridCol w:w="3400"/>
        <w:gridCol w:w="3400"/>
      </w:tblGrid>
      <w:tr>
        <w:tc>
          <w:tcPr>
            <w:tcW w:type="dxa" w:w="3400"/>
            <w:shd w:fill="D9EAD3"/>
          </w:tcPr>
          <w:p>
            <w:r>
              <w:rPr>
                <w:b/>
              </w:rPr>
            </w:r>
            <w:r>
              <w:rPr>
                <w:b/>
                <w:sz w:val="18"/>
              </w:rPr>
              <w:t>Wijzigingszwaarte</w:t>
            </w:r>
          </w:p>
        </w:tc>
        <w:tc>
          <w:tcPr>
            <w:tcW w:type="dxa" w:w="3400"/>
            <w:shd w:fill="D9EAD3"/>
          </w:tcPr>
          <w:p>
            <w:r>
              <w:rPr>
                <w:b/>
              </w:rPr>
            </w:r>
            <w:r>
              <w:rPr>
                <w:b/>
                <w:sz w:val="18"/>
              </w:rPr>
              <w:t>Voorbeelden</w:t>
            </w:r>
          </w:p>
        </w:tc>
        <w:tc>
          <w:tcPr>
            <w:tcW w:type="dxa" w:w="3400"/>
            <w:shd w:fill="D9EAD3"/>
          </w:tcPr>
          <w:p>
            <w:r>
              <w:rPr>
                <w:b/>
              </w:rPr>
            </w:r>
            <w:r>
              <w:rPr>
                <w:b/>
                <w:sz w:val="18"/>
              </w:rPr>
              <w:t>Minimale controle voor merge naar main</w:t>
            </w:r>
          </w:p>
        </w:tc>
      </w:tr>
      <w:tr>
        <w:tc>
          <w:tcPr>
            <w:tcW w:type="dxa" w:w="3400"/>
          </w:tcPr>
          <w:p>
            <w:r/>
            <w:r>
              <w:rPr>
                <w:sz w:val="18"/>
              </w:rPr>
              <w:t>Licht</w:t>
            </w:r>
          </w:p>
        </w:tc>
        <w:tc>
          <w:tcPr>
            <w:tcW w:type="dxa" w:w="3400"/>
          </w:tcPr>
          <w:p>
            <w:r/>
            <w:r>
              <w:rPr>
                <w:sz w:val="18"/>
              </w:rPr>
              <w:t>Documentatie, tekst zonder runtime-effect</w:t>
            </w:r>
          </w:p>
        </w:tc>
        <w:tc>
          <w:tcPr>
            <w:tcW w:type="dxa" w:w="3400"/>
          </w:tcPr>
          <w:p>
            <w:r/>
            <w:r>
              <w:rPr>
                <w:sz w:val="18"/>
              </w:rPr>
              <w:t>Git-status schoon, diff-review, geen runtime-regressie nodig tenzij code geraakt wordt.</w:t>
            </w:r>
          </w:p>
        </w:tc>
      </w:tr>
      <w:tr>
        <w:tc>
          <w:tcPr>
            <w:tcW w:type="dxa" w:w="3400"/>
          </w:tcPr>
          <w:p>
            <w:r/>
            <w:r>
              <w:rPr>
                <w:sz w:val="18"/>
              </w:rPr>
              <w:t>UI-smoke</w:t>
            </w:r>
          </w:p>
        </w:tc>
        <w:tc>
          <w:tcPr>
            <w:tcW w:type="dxa" w:w="3400"/>
          </w:tcPr>
          <w:p>
            <w:r/>
            <w:r>
              <w:rPr>
                <w:sz w:val="18"/>
              </w:rPr>
              <w:t>Navigatie, labels, schermtekst, styling zonder datastroom</w:t>
            </w:r>
          </w:p>
        </w:tc>
        <w:tc>
          <w:tcPr>
            <w:tcW w:type="dxa" w:w="3400"/>
          </w:tcPr>
          <w:p>
            <w:r/>
            <w:r>
              <w:rPr>
                <w:sz w:val="18"/>
              </w:rPr>
              <w:t>Docker up, backend health, handmatige smoke op geraakte route en bestaande route ernaast.</w:t>
            </w:r>
          </w:p>
        </w:tc>
      </w:tr>
      <w:tr>
        <w:tc>
          <w:tcPr>
            <w:tcW w:type="dxa" w:w="3400"/>
          </w:tcPr>
          <w:p>
            <w:r/>
            <w:r>
              <w:rPr>
                <w:sz w:val="18"/>
              </w:rPr>
              <w:t>Frontend-regressie</w:t>
            </w:r>
          </w:p>
        </w:tc>
        <w:tc>
          <w:tcPr>
            <w:tcW w:type="dxa" w:w="3400"/>
          </w:tcPr>
          <w:p>
            <w:r/>
            <w:r>
              <w:rPr>
                <w:sz w:val="18"/>
              </w:rPr>
              <w:t>Kassa, Uitpakken, Externe databases, routewijziging, DataTable/sticky UI</w:t>
            </w:r>
          </w:p>
        </w:tc>
        <w:tc>
          <w:tcPr>
            <w:tcW w:type="dxa" w:w="3400"/>
          </w:tcPr>
          <w:p>
            <w:r/>
            <w:r>
              <w:rPr>
                <w:sz w:val="18"/>
              </w:rPr>
              <w:t>Volledige frontend-regressie: scripts/run-frontend-regression-report.ps1. Uitslag moet groen zijn.</w:t>
            </w:r>
          </w:p>
        </w:tc>
      </w:tr>
      <w:tr>
        <w:tc>
          <w:tcPr>
            <w:tcW w:type="dxa" w:w="3400"/>
          </w:tcPr>
          <w:p>
            <w:r/>
            <w:r>
              <w:rPr>
                <w:sz w:val="18"/>
              </w:rPr>
              <w:t>Backend/API</w:t>
            </w:r>
          </w:p>
        </w:tc>
        <w:tc>
          <w:tcPr>
            <w:tcW w:type="dxa" w:w="3400"/>
          </w:tcPr>
          <w:p>
            <w:r/>
            <w:r>
              <w:rPr>
                <w:sz w:val="18"/>
              </w:rPr>
              <w:t>Endpoints, auth-context, fixture-routes, purchase import, receipt APIs</w:t>
            </w:r>
          </w:p>
        </w:tc>
        <w:tc>
          <w:tcPr>
            <w:tcW w:type="dxa" w:w="3400"/>
          </w:tcPr>
          <w:p>
            <w:r/>
            <w:r>
              <w:rPr>
                <w:sz w:val="18"/>
              </w:rPr>
              <w:t>Backend health, relevante backend/API-test, plus volledige frontend-regressie als UI-routes of API-contract geraakt worden.</w:t>
            </w:r>
          </w:p>
        </w:tc>
      </w:tr>
      <w:tr>
        <w:tc>
          <w:tcPr>
            <w:tcW w:type="dxa" w:w="3400"/>
          </w:tcPr>
          <w:p>
            <w:r/>
            <w:r>
              <w:rPr>
                <w:sz w:val="18"/>
              </w:rPr>
              <w:t>Database/infrastructuur</w:t>
            </w:r>
          </w:p>
        </w:tc>
        <w:tc>
          <w:tcPr>
            <w:tcW w:type="dxa" w:w="3400"/>
          </w:tcPr>
          <w:p>
            <w:r/>
            <w:r>
              <w:rPr>
                <w:sz w:val="18"/>
              </w:rPr>
              <w:t>Schema, runtime database, Docker, mounts, storage</w:t>
            </w:r>
          </w:p>
        </w:tc>
        <w:tc>
          <w:tcPr>
            <w:tcW w:type="dxa" w:w="3400"/>
          </w:tcPr>
          <w:p>
            <w:r/>
            <w:r>
              <w:rPr>
                <w:sz w:val="18"/>
              </w:rPr>
              <w:t>Build/up, health, database-consistentie, relevante backend-regressie en volledige frontend-regressie. Geen merge bij database-onduidelijkheid.</w:t>
            </w:r>
          </w:p>
        </w:tc>
      </w:tr>
      <w:tr>
        <w:tc>
          <w:tcPr>
            <w:tcW w:type="dxa" w:w="3400"/>
          </w:tcPr>
          <w:p>
            <w:r/>
            <w:r>
              <w:rPr>
                <w:sz w:val="18"/>
              </w:rPr>
              <w:t>Release/main merge</w:t>
            </w:r>
          </w:p>
        </w:tc>
        <w:tc>
          <w:tcPr>
            <w:tcW w:type="dxa" w:w="3400"/>
          </w:tcPr>
          <w:p>
            <w:r/>
            <w:r>
              <w:rPr>
                <w:sz w:val="18"/>
              </w:rPr>
              <w:t>Elke PR of branch naar main</w:t>
            </w:r>
          </w:p>
        </w:tc>
        <w:tc>
          <w:tcPr>
            <w:tcW w:type="dxa" w:w="3400"/>
          </w:tcPr>
          <w:p>
            <w:r/>
            <w:r>
              <w:rPr>
                <w:sz w:val="18"/>
              </w:rPr>
              <w:t>Alle relevante regressietesten groen. Bij Kassa/Uitpakken/Externe databases altijd 7/7 frontend-regressie groen.</w:t>
            </w:r>
          </w:p>
        </w:tc>
      </w:tr>
    </w:tbl>
    <w:p>
      <w:pPr>
        <w:pStyle w:val="Heading3"/>
      </w:pPr>
      <w:r>
        <w:t>Standaard mergecontrole</w:t>
      </w:r>
    </w:p>
    <w:p>
      <w:r>
        <w:t>Voor Kassa-, Uitpakken- en Externe-databasewijzigingen is de standaard lokale mergecontrole:</w:t>
      </w:r>
    </w:p>
    <w:p>
      <w:r>
        <w:rPr>
          <w:rFonts w:ascii="Consolas" w:hAnsi="Consolas"/>
        </w:rPr>
        <w:t>cd C:\Users\Gebruiker\Rezzerv_Github</w:t>
        <w:br/>
      </w:r>
      <w:r>
        <w:rPr>
          <w:rFonts w:ascii="Consolas" w:hAnsi="Consolas"/>
        </w:rPr>
        <w:t>git status --short</w:t>
        <w:br/>
      </w:r>
      <w:r>
        <w:rPr>
          <w:rFonts w:ascii="Consolas" w:hAnsi="Consolas"/>
        </w:rPr>
        <w:t>.\scripts\run-frontend-regression-report.ps1 -SkipDockerBuild</w:t>
        <w:br/>
      </w:r>
      <w:r>
        <w:rPr>
          <w:rFonts w:ascii="Consolas" w:hAnsi="Consolas"/>
        </w:rPr>
        <w:t>git status --short</w:t>
      </w:r>
    </w:p>
    <w:p>
      <w:r>
        <w:t>Acceptatiecriterium: een merge naar main is pas toegestaan na aantoonbare groene regressie en een schone werkmap. Rood of onduidelijk resultaat betekent: niet mergen, eerst oorzaak vaststellen.</w:t>
      </w:r>
    </w:p>
    <w:p>
      <w:pPr>
        <w:pStyle w:val="Heading2"/>
      </w:pPr>
      <w:r>
        <w:t>23.1 Architectuurregel: regressie vóór main</w:t>
      </w:r>
    </w:p>
    <w:p>
      <w:r>
        <w:t>Regressietesten zijn onderdeel van de platformarchitectuur. Ze zijn niet optioneel en niet alleen bedoeld voor een release achteraf. De regressiestatus hoort bekend te zijn voordat de PR of branch in main wordt geïntegreerd.</w:t>
      </w:r>
    </w:p>
    <w:p>
      <w:r>
        <w:br w:type="page"/>
      </w:r>
    </w:p>
    <w:p>
      <w:pPr>
        <w:pStyle w:val="Heading1"/>
      </w:pPr>
      <w:r>
        <w:rPr>
          <w:b/>
        </w:rPr>
        <w:t>24. Versie-update v2.11 - Regressiefixture-isolatie en PO-runtime-scheiding</w:t>
      </w:r>
    </w:p>
    <w:p>
      <w:r>
        <w:t>v2.11 scherpt de regressie- en runtime-architectuur aan. Testfixtures mogen nooit ongemerkt zichtbaar blijven in de gewone lokale PO-runtime. Kassa-seedbonnen zijn toegestaan als regressiehulpmiddel, maar alleen wanneer zij geïsoleerd zijn of na afloop expliciet worden opgeruimd.</w:t>
      </w:r>
    </w:p>
    <w:p>
      <w:r>
        <w:t>Deze actualisatie voorkomt dat regression-seedbonnen, bijvoorbeeld seed-reviewed.eml, seed-review.jpg en seed-new.eml, functionele PO-beoordeling of statuscounts beïnvloeden.</w:t>
      </w:r>
    </w:p>
    <w:p>
      <w:pPr>
        <w:pStyle w:val="ListBullet"/>
      </w:pPr>
      <w:r>
        <w:t>De PO-runtime en regressiefixture-state zijn gescheiden verantwoordelijkheden.</w:t>
      </w:r>
    </w:p>
    <w:p>
      <w:pPr>
        <w:pStyle w:val="ListBullet"/>
      </w:pPr>
      <w:r>
        <w:t>Regressieroutes onder /api/testing/fixtures/* mogen testdata schrijven, maar die data mag geen gewone functionele acceptatie vervuilen.</w:t>
      </w:r>
    </w:p>
    <w:p>
      <w:pPr>
        <w:pStyle w:val="ListBullet"/>
      </w:pPr>
      <w:r>
        <w:t>Fixture-state leakage is een releaseblokker, ook wanneer de regressietest zelf groen is.</w:t>
      </w:r>
    </w:p>
    <w:p>
      <w:pPr>
        <w:pStyle w:val="ListBullet"/>
      </w:pPr>
      <w:r>
        <w:t>Kassa blijft een invoerkanaal; testbonnen zijn geen echte gebruikersinvoer.</w:t>
      </w:r>
    </w:p>
    <w:p>
      <w:pPr>
        <w:pStyle w:val="ListBullet"/>
      </w:pPr>
      <w:r>
        <w:t>Databaseconsistentie omvat voortaan ook de afwezigheid van ongeïsoleerde regression-seedrecords in PO-runtime.</w:t>
      </w:r>
    </w:p>
    <w:tbl>
      <w:tblPr>
        <w:tblStyle w:val="TableGrid"/>
        <w:tblW w:type="auto" w:w="0"/>
        <w:tblLook w:firstColumn="1" w:firstRow="1" w:lastColumn="0" w:lastRow="0" w:noHBand="0" w:noVBand="1" w:val="04A0"/>
      </w:tblPr>
      <w:tblGrid>
        <w:gridCol w:w="4986"/>
        <w:gridCol w:w="4986"/>
      </w:tblGrid>
      <w:tr>
        <w:tc>
          <w:tcPr>
            <w:tcW w:type="dxa" w:w="4986"/>
          </w:tcPr>
          <w:p>
            <w:r>
              <w:rPr>
                <w:b/>
              </w:rPr>
              <w:t>Architectuurregel</w:t>
            </w:r>
          </w:p>
        </w:tc>
        <w:tc>
          <w:tcPr>
            <w:tcW w:type="dxa" w:w="4986"/>
          </w:tcPr>
          <w:p>
            <w:r>
              <w:rPr>
                <w:b/>
              </w:rPr>
              <w:t>Normatieve betekenis</w:t>
            </w:r>
          </w:p>
        </w:tc>
      </w:tr>
      <w:tr>
        <w:tc>
          <w:tcPr>
            <w:tcW w:type="dxa" w:w="4986"/>
          </w:tcPr>
          <w:p>
            <w:r>
              <w:t>Geen testdata-lekkage</w:t>
            </w:r>
          </w:p>
        </w:tc>
        <w:tc>
          <w:tcPr>
            <w:tcW w:type="dxa" w:w="4986"/>
          </w:tcPr>
          <w:p>
            <w:r>
              <w:t>Regression-seedrecords mogen niet als gewone kassabonnen zichtbaar blijven.</w:t>
            </w:r>
          </w:p>
        </w:tc>
      </w:tr>
      <w:tr>
        <w:tc>
          <w:tcPr>
            <w:tcW w:type="dxa" w:w="4986"/>
          </w:tcPr>
          <w:p>
            <w:r>
              <w:t>Herkenbare testdata</w:t>
            </w:r>
          </w:p>
        </w:tc>
        <w:tc>
          <w:tcPr>
            <w:tcW w:type="dxa" w:w="4986"/>
          </w:tcPr>
          <w:p>
            <w:r>
              <w:t>Seeddata heeft expliciete marker, bijvoorbeeld regression-seed:: of seed-* bestandsnaam.</w:t>
            </w:r>
          </w:p>
        </w:tc>
      </w:tr>
      <w:tr>
        <w:tc>
          <w:tcPr>
            <w:tcW w:type="dxa" w:w="4986"/>
          </w:tcPr>
          <w:p>
            <w:r>
              <w:t>Opruimplicht</w:t>
            </w:r>
          </w:p>
        </w:tc>
        <w:tc>
          <w:tcPr>
            <w:tcW w:type="dxa" w:w="4986"/>
          </w:tcPr>
          <w:p>
            <w:r>
              <w:t>Elke regressierun die Kassa-seeddata schrijft, moet cleanup of isolatie borgen.</w:t>
            </w:r>
          </w:p>
        </w:tc>
      </w:tr>
      <w:tr>
        <w:tc>
          <w:tcPr>
            <w:tcW w:type="dxa" w:w="4986"/>
          </w:tcPr>
          <w:p>
            <w:r>
              <w:t>PO-acceptatie</w:t>
            </w:r>
          </w:p>
        </w:tc>
        <w:tc>
          <w:tcPr>
            <w:tcW w:type="dxa" w:w="4986"/>
          </w:tcPr>
          <w:p>
            <w:r>
              <w:t>Functionele PO-test start pas na controle dat de runtime niet door regressiefixtures is vervuild.</w:t>
            </w:r>
          </w:p>
        </w:tc>
      </w:tr>
    </w:tbl>
    <w:p>
      <w:r>
        <w:br w:type="page"/>
      </w:r>
    </w:p>
    <w:p>
      <w:pPr>
        <w:pStyle w:val="Heading1"/>
      </w:pPr>
      <w:r>
        <w:t>25. Versie-update v2.13 - Externe kandidaten en dedupeborging</w:t>
      </w:r>
    </w:p>
    <w:p>
      <w:r>
        <w:t>v2.13 legt de architectuurregel vast dat Externe databases een herkennings- en beslisondersteunende laag is. De onderste kandidatentabel mag geen inhoudelijke doublures tonen, omdat dubbele rijen de PO en gebruiker ten onrechte kunnen laten denken dat er meerdere productkandidaten zijn.</w:t>
      </w:r>
    </w:p>
    <w:p>
      <w:r>
        <w:t>De dedupe vindt plaats in de presentatielaag op basis van externe productidentiteit: bron + externe code, met GTIN/EAN als alternatieve sleutel en naam + merk + variant als fallback. Deze keuze houdt het backendcontract stabiel en voorkomt dat de UI technische candidate-id’s als functionele productverschillen presenteert.</w:t>
      </w:r>
    </w:p>
    <w:p>
      <w:r>
        <w:t>De regressiearchitectuur is uitgebreid met een expliciete Externe databases-test voor dit gedrag. De standaard frontend-regressie bestaat na deze update uit 8 tests en blijft onderdeel van de merge-gate.</w:t>
      </w:r>
    </w:p>
    <w:p>
      <w:pPr>
        <w:pStyle w:val="Heading2"/>
      </w:pPr>
      <w:r>
        <w:t>Borging en validatie</w:t>
      </w:r>
    </w:p>
    <w:p>
      <w:pPr>
        <w:pStyle w:val="ListBullet"/>
      </w:pPr>
      <w:r>
        <w:t>Externe databases blijft de plek voor cataloguscontrole, GTIN-aanvulling en externe productkandidaten.</w:t>
      </w:r>
    </w:p>
    <w:p>
      <w:pPr>
        <w:pStyle w:val="ListBullet"/>
      </w:pPr>
      <w:r>
        <w:t>Kandidaatdedupe is onderdeel van functionele betrouwbaarheid van de productherkenning.</w:t>
      </w:r>
    </w:p>
    <w:p>
      <w:pPr>
        <w:pStyle w:val="ListBullet"/>
      </w:pPr>
      <w:r>
        <w:t>De PO-test bevestigde dat geen doublures meer zichtbaar zijn in de onderste kandidatentabel.</w:t>
      </w:r>
    </w:p>
    <w:p>
      <w:pPr>
        <w:pStyle w:val="ListBullet"/>
      </w:pPr>
      <w:r>
        <w:t>De volledige frontend-regressie was groen met 8 passed.</w:t>
      </w:r>
    </w:p>
    <w:p>
      <w:r>
        <w:br w:type="page"/>
      </w:r>
    </w:p>
    <w:p>
      <w:pPr>
        <w:pStyle w:val="Heading1"/>
      </w:pPr>
      <w:r>
        <w:t>Architectuurupdate v2.13 - Externe kandidaatidentificatie in Uitpakken</w:t>
      </w:r>
    </w:p>
    <w:p>
      <w:r>
        <w:t>M2C2i-8j verduidelijkt de grens tussen externe kandidaatdata en definitieve productkoppelingen.</w:t>
      </w:r>
    </w:p>
    <w:p>
      <w:r>
        <w:t>De bovenste bonartikelentabel mag externe kandidaatidentificatie tonen om herkenning en PO-beoordeling te ondersteunen, maar dit maakt nog geen definitieve artikelgroep- of productkoppeling aan.</w:t>
      </w:r>
    </w:p>
    <w:p>
      <w:r>
        <w:t>External product candidates blijven een voorstel- en herkenningslaag. Pas expliciete bevestiging of koppeling mag leiden tot verdere verwerking richting catalogus of productverrijking.</w:t>
      </w:r>
    </w:p>
    <w:p>
      <w:r>
        <w:t>De architectuurregel is dat UI-presentatie van Artikelnummer en GTIN / EAN uit de voorkeurskandidaat wordt afgeleid: gekoppeld gaat voor hoogste score; GTIN/EAN wordt strikt gevalideerd.</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D3"/>
          </w:tcPr>
          <w:p>
            <w:r>
              <w:rPr>
                <w:sz w:val="18"/>
              </w:rPr>
            </w:r>
            <w:r>
              <w:rPr>
                <w:b/>
                <w:sz w:val="18"/>
              </w:rPr>
              <w:t>Architectuurlaag</w:t>
            </w:r>
          </w:p>
        </w:tc>
        <w:tc>
          <w:tcPr>
            <w:tcW w:type="dxa" w:w="3324"/>
            <w:vAlign w:val="center"/>
            <w:shd w:fill="D9EAD3"/>
          </w:tcPr>
          <w:p>
            <w:r>
              <w:rPr>
                <w:sz w:val="18"/>
              </w:rPr>
            </w:r>
            <w:r>
              <w:rPr>
                <w:b/>
                <w:sz w:val="18"/>
              </w:rPr>
              <w:t>Rol na M2C2i-8j</w:t>
            </w:r>
          </w:p>
        </w:tc>
        <w:tc>
          <w:tcPr>
            <w:tcW w:type="dxa" w:w="3324"/>
            <w:vAlign w:val="center"/>
            <w:shd w:fill="D9EAD3"/>
          </w:tcPr>
          <w:p>
            <w:r>
              <w:rPr>
                <w:sz w:val="18"/>
              </w:rPr>
            </w:r>
            <w:r>
              <w:rPr>
                <w:b/>
                <w:sz w:val="18"/>
              </w:rPr>
              <w:t>Grens</w:t>
            </w:r>
          </w:p>
        </w:tc>
      </w:tr>
      <w:tr>
        <w:tc>
          <w:tcPr>
            <w:tcW w:type="dxa" w:w="3324"/>
            <w:vAlign w:val="center"/>
          </w:tcPr>
          <w:p>
            <w:r>
              <w:rPr>
                <w:sz w:val="18"/>
              </w:rPr>
            </w:r>
            <w:r>
              <w:rPr>
                <w:b w:val="0"/>
                <w:sz w:val="18"/>
              </w:rPr>
              <w:t>Bonregel / receipt item</w:t>
            </w:r>
          </w:p>
        </w:tc>
        <w:tc>
          <w:tcPr>
            <w:tcW w:type="dxa" w:w="3324"/>
            <w:vAlign w:val="center"/>
          </w:tcPr>
          <w:p>
            <w:r>
              <w:rPr>
                <w:sz w:val="18"/>
              </w:rPr>
            </w:r>
            <w:r>
              <w:rPr>
                <w:b w:val="0"/>
                <w:sz w:val="18"/>
              </w:rPr>
              <w:t>Functionele drager waarop kandidaten worden getoond.</w:t>
            </w:r>
          </w:p>
        </w:tc>
        <w:tc>
          <w:tcPr>
            <w:tcW w:type="dxa" w:w="3324"/>
            <w:vAlign w:val="center"/>
          </w:tcPr>
          <w:p>
            <w:r>
              <w:rPr>
                <w:sz w:val="18"/>
              </w:rPr>
            </w:r>
            <w:r>
              <w:rPr>
                <w:b w:val="0"/>
                <w:sz w:val="18"/>
              </w:rPr>
              <w:t>Niet automatisch de bron voor externe Artikelnummer/GTIN-presentatie.</w:t>
            </w:r>
          </w:p>
        </w:tc>
      </w:tr>
      <w:tr>
        <w:tc>
          <w:tcPr>
            <w:tcW w:type="dxa" w:w="3324"/>
            <w:vAlign w:val="center"/>
          </w:tcPr>
          <w:p>
            <w:r>
              <w:rPr>
                <w:sz w:val="18"/>
              </w:rPr>
            </w:r>
            <w:r>
              <w:rPr>
                <w:b w:val="0"/>
                <w:sz w:val="18"/>
              </w:rPr>
              <w:t>External product candidates</w:t>
            </w:r>
          </w:p>
        </w:tc>
        <w:tc>
          <w:tcPr>
            <w:tcW w:type="dxa" w:w="3324"/>
            <w:vAlign w:val="center"/>
          </w:tcPr>
          <w:p>
            <w:r>
              <w:rPr>
                <w:sz w:val="18"/>
              </w:rPr>
            </w:r>
            <w:r>
              <w:rPr>
                <w:b w:val="0"/>
                <w:sz w:val="18"/>
              </w:rPr>
              <w:t>Bron voor kandidaatcode, GTIN/EAN, score en koppelstatus.</w:t>
            </w:r>
          </w:p>
        </w:tc>
        <w:tc>
          <w:tcPr>
            <w:tcW w:type="dxa" w:w="3324"/>
            <w:vAlign w:val="center"/>
          </w:tcPr>
          <w:p>
            <w:r>
              <w:rPr>
                <w:sz w:val="18"/>
              </w:rPr>
              <w:t>Geen automatische artikelgroep-aanmaak.</w:t>
            </w:r>
            <w:r>
              <w:rPr>
                <w:b w:val="0"/>
                <w:sz w:val="18"/>
              </w:rPr>
            </w:r>
          </w:p>
        </w:tc>
      </w:tr>
      <w:tr>
        <w:tc>
          <w:tcPr>
            <w:tcW w:type="dxa" w:w="3324"/>
            <w:vAlign w:val="center"/>
          </w:tcPr>
          <w:p>
            <w:r>
              <w:rPr>
                <w:sz w:val="18"/>
              </w:rPr>
            </w:r>
            <w:r>
              <w:rPr>
                <w:b w:val="0"/>
                <w:sz w:val="18"/>
              </w:rPr>
              <w:t>Voorkeurskandidaat</w:t>
            </w:r>
          </w:p>
        </w:tc>
        <w:tc>
          <w:tcPr>
            <w:tcW w:type="dxa" w:w="3324"/>
            <w:vAlign w:val="center"/>
          </w:tcPr>
          <w:p>
            <w:r>
              <w:rPr>
                <w:sz w:val="18"/>
              </w:rPr>
            </w:r>
            <w:r>
              <w:rPr>
                <w:b w:val="0"/>
                <w:sz w:val="18"/>
              </w:rPr>
              <w:t>Bepaalt presentatie in bovenste tabel.</w:t>
            </w:r>
          </w:p>
        </w:tc>
        <w:tc>
          <w:tcPr>
            <w:tcW w:type="dxa" w:w="3324"/>
            <w:vAlign w:val="center"/>
          </w:tcPr>
          <w:p>
            <w:r>
              <w:rPr>
                <w:sz w:val="18"/>
              </w:rPr>
            </w:r>
            <w:r>
              <w:rPr>
                <w:b w:val="0"/>
                <w:sz w:val="18"/>
              </w:rPr>
              <w:t>Gekoppeld boven hoogste score.</w:t>
            </w:r>
          </w:p>
        </w:tc>
      </w:tr>
      <w:tr>
        <w:tc>
          <w:tcPr>
            <w:tcW w:type="dxa" w:w="3324"/>
            <w:vAlign w:val="center"/>
          </w:tcPr>
          <w:p>
            <w:r>
              <w:rPr>
                <w:sz w:val="18"/>
              </w:rPr>
              <w:t>Catalogus / Artikelgroep</w:t>
            </w:r>
            <w:r>
              <w:rPr>
                <w:b w:val="0"/>
                <w:sz w:val="18"/>
              </w:rPr>
            </w:r>
          </w:p>
        </w:tc>
        <w:tc>
          <w:tcPr>
            <w:tcW w:type="dxa" w:w="3324"/>
            <w:vAlign w:val="center"/>
          </w:tcPr>
          <w:p>
            <w:r>
              <w:rPr>
                <w:sz w:val="18"/>
              </w:rPr>
            </w:r>
            <w:r>
              <w:rPr>
                <w:b w:val="0"/>
                <w:sz w:val="18"/>
              </w:rPr>
              <w:t>Definitieve gebruikerskoppeling na expliciete actie.</w:t>
            </w:r>
          </w:p>
        </w:tc>
        <w:tc>
          <w:tcPr>
            <w:tcW w:type="dxa" w:w="3324"/>
            <w:vAlign w:val="center"/>
          </w:tcPr>
          <w:p>
            <w:r>
              <w:rPr>
                <w:sz w:val="18"/>
              </w:rPr>
            </w:r>
            <w:r>
              <w:rPr>
                <w:b w:val="0"/>
                <w:sz w:val="18"/>
              </w:rPr>
              <w:t>Niet impliciet door kandidaatweergave.</w:t>
            </w:r>
          </w:p>
        </w:tc>
      </w:tr>
    </w:tbl>
    <w:p>
      <w:r>
        <w:br w:type="page"/>
      </w:r>
    </w:p>
    <w:p>
      <w:pPr>
        <w:pStyle w:val="Heading1"/>
      </w:pPr>
      <w:r>
        <w:t>26. Versie-update v2.14 - Datagedreven productkennis, taxonomie en externe kandidaten</w:t>
      </w:r>
    </w:p>
    <w:p>
      <w:r>
        <w:t>v2.14 legt vast dat productkennis binnen Rezzerv als data wordt beheerd en niet als programmacode. Dit principe geldt voor Externe databases, Uitpakken, artikelstandaardisatie, productcatalogus, receipt candidate coverage en toekomstige scanner-/barcodefunctionaliteit.</w:t>
      </w:r>
    </w:p>
    <w:p>
      <w:r>
        <w:t>Aanleiding: bij externe kandidaatselectie bleek dat termen zoals gouda, gerasp, fraiche/frache en retailer-specifieke bonvarianten functioneel noodzakelijk zijn, maar niet in Python-, JavaScript- of JSX-code mogen worden vastgelegd. Zij horen in een beheerde taxonomie-, dictionary- of database-laag.</w:t>
      </w:r>
    </w:p>
    <w:p>
      <w:pPr>
        <w:pStyle w:val="Heading2"/>
      </w:pPr>
      <w:r>
        <w:t>26.1 Architectuurregel: productkennis is data</w:t>
      </w:r>
    </w:p>
    <w:tbl>
      <w:tblPr>
        <w:tblStyle w:val="TableGrid"/>
        <w:tblW w:type="auto" w:w="0"/>
        <w:jc w:val="left"/>
        <w:tblLook w:firstColumn="1" w:firstRow="1" w:lastColumn="0" w:lastRow="0" w:noHBand="0" w:noVBand="1" w:val="04A0"/>
      </w:tblPr>
      <w:tblGrid>
        <w:gridCol w:w="4986"/>
        <w:gridCol w:w="4986"/>
      </w:tblGrid>
      <w:tr>
        <w:tc>
          <w:tcPr>
            <w:tcW w:type="dxa" w:w="4986"/>
            <w:shd w:fill="D9EAD3"/>
          </w:tcPr>
          <w:p>
            <w:r>
              <w:rPr>
                <w:b/>
              </w:rPr>
              <w:t>Onderdeel</w:t>
            </w:r>
          </w:p>
        </w:tc>
        <w:tc>
          <w:tcPr>
            <w:tcW w:type="dxa" w:w="4986"/>
            <w:shd w:fill="D9EAD3"/>
          </w:tcPr>
          <w:p>
            <w:r>
              <w:rPr>
                <w:b/>
              </w:rPr>
              <w:t>Normatieve architectuurregel</w:t>
            </w:r>
          </w:p>
        </w:tc>
      </w:tr>
      <w:tr>
        <w:tc>
          <w:tcPr>
            <w:tcW w:type="dxa" w:w="4986"/>
            <w:vAlign w:val="top"/>
          </w:tcPr>
          <w:p>
            <w:r>
              <w:t>Programmacode</w:t>
            </w:r>
          </w:p>
        </w:tc>
        <w:tc>
          <w:tcPr>
            <w:tcW w:type="dxa" w:w="4986"/>
            <w:vAlign w:val="top"/>
          </w:tcPr>
          <w:p>
            <w:r>
              <w:t>Bevat alleen generieke algoritmes: normaliseren, tokeniseren, termmatch, scoreberekening, kandidaatdedupe, validatie en audit. Geen specifieke productkennis.</w:t>
            </w:r>
          </w:p>
        </w:tc>
      </w:tr>
      <w:tr>
        <w:tc>
          <w:tcPr>
            <w:tcW w:type="dxa" w:w="4986"/>
            <w:vAlign w:val="top"/>
          </w:tcPr>
          <w:p>
            <w:r>
              <w:t>Producttaxonomie</w:t>
            </w:r>
          </w:p>
        </w:tc>
        <w:tc>
          <w:tcPr>
            <w:tcW w:type="dxa" w:w="4986"/>
            <w:vAlign w:val="top"/>
          </w:tcPr>
          <w:p>
            <w:r>
              <w:t>Bevat intent_key, canonical_name, category en product_type. Dit is de bron voor productbetekenis.</w:t>
            </w:r>
          </w:p>
        </w:tc>
      </w:tr>
      <w:tr>
        <w:tc>
          <w:tcPr>
            <w:tcW w:type="dxa" w:w="4986"/>
            <w:vAlign w:val="top"/>
          </w:tcPr>
          <w:p>
            <w:r>
              <w:t>Taxonomietermen</w:t>
            </w:r>
          </w:p>
        </w:tc>
        <w:tc>
          <w:tcPr>
            <w:tcW w:type="dxa" w:w="4986"/>
            <w:vAlign w:val="top"/>
          </w:tcPr>
          <w:p>
            <w:r>
              <w:t>Bevat synoniemen, OCR-varianten, spelfouten en alternatieve productbenamingen met confidence en bron.</w:t>
            </w:r>
          </w:p>
        </w:tc>
      </w:tr>
      <w:tr>
        <w:tc>
          <w:tcPr>
            <w:tcW w:type="dxa" w:w="4986"/>
            <w:vAlign w:val="top"/>
          </w:tcPr>
          <w:p>
            <w:r>
              <w:t>Retailer receipt terms</w:t>
            </w:r>
          </w:p>
        </w:tc>
        <w:tc>
          <w:tcPr>
            <w:tcW w:type="dxa" w:w="4986"/>
            <w:vAlign w:val="top"/>
          </w:tcPr>
          <w:p>
            <w:r>
              <w:t>Bevat winkelketen-specifieke bontekst, afkortingen en kassavarianten. Dit is data per retailer, geen parser- of frontendlogica.</w:t>
            </w:r>
          </w:p>
        </w:tc>
      </w:tr>
      <w:tr>
        <w:tc>
          <w:tcPr>
            <w:tcW w:type="dxa" w:w="4986"/>
            <w:vAlign w:val="top"/>
          </w:tcPr>
          <w:p>
            <w:r>
              <w:t>Varianttermen</w:t>
            </w:r>
          </w:p>
        </w:tc>
        <w:tc>
          <w:tcPr>
            <w:tcW w:type="dxa" w:w="4986"/>
            <w:vAlign w:val="top"/>
          </w:tcPr>
          <w:p>
            <w:r>
              <w:t>Bevat variantbetekenissen zoals vorm, rijping, smaak, verpakking, productsoort of grootte; gekoppeld aan intent_key waar relevant.</w:t>
            </w:r>
          </w:p>
        </w:tc>
      </w:tr>
      <w:tr>
        <w:tc>
          <w:tcPr>
            <w:tcW w:type="dxa" w:w="4986"/>
            <w:vAlign w:val="top"/>
          </w:tcPr>
          <w:p>
            <w:r>
              <w:t>Zoektermexpansie</w:t>
            </w:r>
          </w:p>
        </w:tc>
        <w:tc>
          <w:tcPr>
            <w:tcW w:type="dxa" w:w="4986"/>
            <w:vAlign w:val="top"/>
          </w:tcPr>
          <w:p>
            <w:r>
              <w:t>Wordt generiek opgebouwd uit taxonomiedata en kandidaatcontext. De inhoudelijke termen komen uit de dictionary/database.</w:t>
            </w:r>
          </w:p>
        </w:tc>
      </w:tr>
    </w:tbl>
    <w:p>
      <w:pPr>
        <w:pStyle w:val="Heading2"/>
      </w:pPr>
      <w:r>
        <w:t>26.2 Gewenst gegevensmodel voor taxonomie</w:t>
      </w:r>
    </w:p>
    <w:tbl>
      <w:tblPr>
        <w:tblStyle w:val="TableGrid"/>
        <w:tblW w:type="auto" w:w="0"/>
        <w:jc w:val="left"/>
        <w:tblLook w:firstColumn="1" w:firstRow="1" w:lastColumn="0" w:lastRow="0" w:noHBand="0" w:noVBand="1" w:val="04A0"/>
      </w:tblPr>
      <w:tblGrid>
        <w:gridCol w:w="3324"/>
        <w:gridCol w:w="3324"/>
        <w:gridCol w:w="3324"/>
      </w:tblGrid>
      <w:tr>
        <w:tc>
          <w:tcPr>
            <w:tcW w:type="dxa" w:w="3324"/>
            <w:shd w:fill="D9EAD3"/>
          </w:tcPr>
          <w:p>
            <w:r>
              <w:rPr>
                <w:b/>
              </w:rPr>
              <w:t>Tabel / dictionary</w:t>
            </w:r>
          </w:p>
        </w:tc>
        <w:tc>
          <w:tcPr>
            <w:tcW w:type="dxa" w:w="3324"/>
            <w:shd w:fill="D9EAD3"/>
          </w:tcPr>
          <w:p>
            <w:r>
              <w:rPr>
                <w:b/>
              </w:rPr>
              <w:t>Doel</w:t>
            </w:r>
          </w:p>
        </w:tc>
        <w:tc>
          <w:tcPr>
            <w:tcW w:type="dxa" w:w="3324"/>
            <w:shd w:fill="D9EAD3"/>
          </w:tcPr>
          <w:p>
            <w:r>
              <w:rPr>
                <w:b/>
              </w:rPr>
              <w:t>Kernvelden</w:t>
            </w:r>
          </w:p>
        </w:tc>
      </w:tr>
      <w:tr>
        <w:tc>
          <w:tcPr>
            <w:tcW w:type="dxa" w:w="3324"/>
            <w:vAlign w:val="top"/>
          </w:tcPr>
          <w:p>
            <w:r>
              <w:t>product_taxonomy</w:t>
            </w:r>
          </w:p>
        </w:tc>
        <w:tc>
          <w:tcPr>
            <w:tcW w:type="dxa" w:w="3324"/>
            <w:vAlign w:val="top"/>
          </w:tcPr>
          <w:p>
            <w:r>
              <w:t>Centrale productbetekenis vastleggen.</w:t>
            </w:r>
          </w:p>
        </w:tc>
        <w:tc>
          <w:tcPr>
            <w:tcW w:type="dxa" w:w="3324"/>
            <w:vAlign w:val="top"/>
          </w:tcPr>
          <w:p>
            <w:r>
              <w:t>intent_key, canonical_name, category, product_type, active</w:t>
            </w:r>
          </w:p>
        </w:tc>
      </w:tr>
      <w:tr>
        <w:tc>
          <w:tcPr>
            <w:tcW w:type="dxa" w:w="3324"/>
            <w:vAlign w:val="top"/>
          </w:tcPr>
          <w:p>
            <w:r>
              <w:t>product_taxonomy_terms</w:t>
            </w:r>
          </w:p>
        </w:tc>
        <w:tc>
          <w:tcPr>
            <w:tcW w:type="dxa" w:w="3324"/>
            <w:vAlign w:val="top"/>
          </w:tcPr>
          <w:p>
            <w:r>
              <w:t>Synoniemen, OCR-varianten en spelfouten aan intent koppelen.</w:t>
            </w:r>
          </w:p>
        </w:tc>
        <w:tc>
          <w:tcPr>
            <w:tcW w:type="dxa" w:w="3324"/>
            <w:vAlign w:val="top"/>
          </w:tcPr>
          <w:p>
            <w:r>
              <w:t>intent_key, term, term_type, confidence, source, active</w:t>
            </w:r>
          </w:p>
        </w:tc>
      </w:tr>
      <w:tr>
        <w:tc>
          <w:tcPr>
            <w:tcW w:type="dxa" w:w="3324"/>
            <w:vAlign w:val="top"/>
          </w:tcPr>
          <w:p>
            <w:r>
              <w:t>retailer_receipt_terms</w:t>
            </w:r>
          </w:p>
        </w:tc>
        <w:tc>
          <w:tcPr>
            <w:tcW w:type="dxa" w:w="3324"/>
            <w:vAlign w:val="top"/>
          </w:tcPr>
          <w:p>
            <w:r>
              <w:t>Retailer-specifieke bonregels en afkortingen beheren.</w:t>
            </w:r>
          </w:p>
        </w:tc>
        <w:tc>
          <w:tcPr>
            <w:tcW w:type="dxa" w:w="3324"/>
            <w:vAlign w:val="top"/>
          </w:tcPr>
          <w:p>
            <w:r>
              <w:t>retailer_code, receipt_term, normalized_term, intent_key, confidence, source</w:t>
            </w:r>
          </w:p>
        </w:tc>
      </w:tr>
      <w:tr>
        <w:tc>
          <w:tcPr>
            <w:tcW w:type="dxa" w:w="3324"/>
            <w:vAlign w:val="top"/>
          </w:tcPr>
          <w:p>
            <w:r>
              <w:t>product_variant_terms</w:t>
            </w:r>
          </w:p>
        </w:tc>
        <w:tc>
          <w:tcPr>
            <w:tcW w:type="dxa" w:w="3324"/>
            <w:vAlign w:val="top"/>
          </w:tcPr>
          <w:p>
            <w:r>
              <w:t>Productvarianten data-gedreven herkennen.</w:t>
            </w:r>
          </w:p>
        </w:tc>
        <w:tc>
          <w:tcPr>
            <w:tcW w:type="dxa" w:w="3324"/>
            <w:vAlign w:val="top"/>
          </w:tcPr>
          <w:p>
            <w:r>
              <w:t>intent_key, variant_term, variant_type, confidence</w:t>
            </w:r>
          </w:p>
        </w:tc>
      </w:tr>
      <w:tr>
        <w:tc>
          <w:tcPr>
            <w:tcW w:type="dxa" w:w="3324"/>
            <w:vAlign w:val="top"/>
          </w:tcPr>
          <w:p>
            <w:r>
              <w:t>external_product_index</w:t>
            </w:r>
          </w:p>
        </w:tc>
        <w:tc>
          <w:tcPr>
            <w:tcW w:type="dxa" w:w="3324"/>
            <w:vAlign w:val="top"/>
          </w:tcPr>
          <w:p>
            <w:r>
              <w:t>Lokale externe productdata doorzoekbaar maken.</w:t>
            </w:r>
          </w:p>
        </w:tc>
        <w:tc>
          <w:tcPr>
            <w:tcW w:type="dxa" w:w="3324"/>
            <w:vAlign w:val="top"/>
          </w:tcPr>
          <w:p>
            <w:r>
              <w:t>source_name, source_product_code, gtin/ean, product_name, brand, category, normalized_search_text</w:t>
            </w:r>
          </w:p>
        </w:tc>
      </w:tr>
      <w:tr>
        <w:tc>
          <w:tcPr>
            <w:tcW w:type="dxa" w:w="3324"/>
            <w:vAlign w:val="top"/>
          </w:tcPr>
          <w:p>
            <w:r>
              <w:t>external_product_candidates</w:t>
            </w:r>
          </w:p>
        </w:tc>
        <w:tc>
          <w:tcPr>
            <w:tcW w:type="dxa" w:w="3324"/>
            <w:vAlign w:val="top"/>
          </w:tcPr>
          <w:p>
            <w:r>
              <w:t>Reviewbare kandidaten voor bonregels bewaren.</w:t>
            </w:r>
          </w:p>
        </w:tc>
        <w:tc>
          <w:tcPr>
            <w:tcW w:type="dxa" w:w="3324"/>
            <w:vAlign w:val="top"/>
          </w:tcPr>
          <w:p>
            <w:r>
              <w:t>receipt_line_id, candidate_status, source, score, external identifiers, requires_user_confirmation</w:t>
            </w:r>
          </w:p>
        </w:tc>
      </w:tr>
    </w:tbl>
    <w:p>
      <w:pPr>
        <w:pStyle w:val="Heading2"/>
      </w:pPr>
      <w:r>
        <w:t>26.3 Grens tussen taxonomie, externe kandidaten en productcatalogus</w:t>
      </w:r>
    </w:p>
    <w:tbl>
      <w:tblPr>
        <w:tblStyle w:val="TableGrid"/>
        <w:tblW w:type="auto" w:w="0"/>
        <w:jc w:val="left"/>
        <w:tblLook w:firstColumn="1" w:firstRow="1" w:lastColumn="0" w:lastRow="0" w:noHBand="0" w:noVBand="1" w:val="04A0"/>
      </w:tblPr>
      <w:tblGrid>
        <w:gridCol w:w="3324"/>
        <w:gridCol w:w="3324"/>
        <w:gridCol w:w="3324"/>
      </w:tblGrid>
      <w:tr>
        <w:tc>
          <w:tcPr>
            <w:tcW w:type="dxa" w:w="3324"/>
            <w:shd w:fill="D9EAD3"/>
          </w:tcPr>
          <w:p>
            <w:r>
              <w:rPr>
                <w:b/>
              </w:rPr>
              <w:t>Laag</w:t>
            </w:r>
          </w:p>
        </w:tc>
        <w:tc>
          <w:tcPr>
            <w:tcW w:type="dxa" w:w="3324"/>
            <w:shd w:fill="D9EAD3"/>
          </w:tcPr>
          <w:p>
            <w:r>
              <w:rPr>
                <w:b/>
              </w:rPr>
              <w:t>Rol</w:t>
            </w:r>
          </w:p>
        </w:tc>
        <w:tc>
          <w:tcPr>
            <w:tcW w:type="dxa" w:w="3324"/>
            <w:shd w:fill="D9EAD3"/>
          </w:tcPr>
          <w:p>
            <w:r>
              <w:rPr>
                <w:b/>
              </w:rPr>
              <w:t>Niet toegestaan</w:t>
            </w:r>
          </w:p>
        </w:tc>
      </w:tr>
      <w:tr>
        <w:tc>
          <w:tcPr>
            <w:tcW w:type="dxa" w:w="3324"/>
            <w:vAlign w:val="top"/>
          </w:tcPr>
          <w:p>
            <w:r>
              <w:t>Receipt line / bonartikel</w:t>
            </w:r>
          </w:p>
        </w:tc>
        <w:tc>
          <w:tcPr>
            <w:tcW w:type="dxa" w:w="3324"/>
            <w:vAlign w:val="top"/>
          </w:tcPr>
          <w:p>
            <w:r>
              <w:t>Drager van ruwe gebruiker-/bontekst.</w:t>
            </w:r>
          </w:p>
        </w:tc>
        <w:tc>
          <w:tcPr>
            <w:tcW w:type="dxa" w:w="3324"/>
            <w:vAlign w:val="top"/>
          </w:tcPr>
          <w:p>
            <w:r>
              <w:t>Geen bron voor definitieve productidentiteit of GTIN/EAN.</w:t>
            </w:r>
          </w:p>
        </w:tc>
      </w:tr>
      <w:tr>
        <w:tc>
          <w:tcPr>
            <w:tcW w:type="dxa" w:w="3324"/>
            <w:vAlign w:val="top"/>
          </w:tcPr>
          <w:p>
            <w:r>
              <w:t>Taxonomie/dictionary</w:t>
            </w:r>
          </w:p>
        </w:tc>
        <w:tc>
          <w:tcPr>
            <w:tcW w:type="dxa" w:w="3324"/>
            <w:vAlign w:val="top"/>
          </w:tcPr>
          <w:p>
            <w:r>
              <w:t>Bepaalt product-intent, categorie, producttype, varianten en zoektermexpansie.</w:t>
            </w:r>
          </w:p>
        </w:tc>
        <w:tc>
          <w:tcPr>
            <w:tcW w:type="dxa" w:w="3324"/>
            <w:vAlign w:val="top"/>
          </w:tcPr>
          <w:p>
            <w:r>
              <w:t>Geen voorraadmutatie en geen huishoudspecifieke artikelkeuze.</w:t>
            </w:r>
          </w:p>
        </w:tc>
      </w:tr>
      <w:tr>
        <w:tc>
          <w:tcPr>
            <w:tcW w:type="dxa" w:w="3324"/>
            <w:vAlign w:val="top"/>
          </w:tcPr>
          <w:p>
            <w:r>
              <w:t>External product index</w:t>
            </w:r>
          </w:p>
        </w:tc>
        <w:tc>
          <w:tcPr>
            <w:tcW w:type="dxa" w:w="3324"/>
            <w:vAlign w:val="top"/>
          </w:tcPr>
          <w:p>
            <w:r>
              <w:t>Lokale doorzoekbare kopie van externe brondata zoals Open Food Facts.</w:t>
            </w:r>
          </w:p>
        </w:tc>
        <w:tc>
          <w:tcPr>
            <w:tcW w:type="dxa" w:w="3324"/>
            <w:vAlign w:val="top"/>
          </w:tcPr>
          <w:p>
            <w:r>
              <w:t>Geen directe artikelgroep- of voorraadmutatie.</w:t>
            </w:r>
          </w:p>
        </w:tc>
      </w:tr>
      <w:tr>
        <w:tc>
          <w:tcPr>
            <w:tcW w:type="dxa" w:w="3324"/>
            <w:vAlign w:val="top"/>
          </w:tcPr>
          <w:p>
            <w:r>
              <w:t>External product candidates</w:t>
            </w:r>
          </w:p>
        </w:tc>
        <w:tc>
          <w:tcPr>
            <w:tcW w:type="dxa" w:w="3324"/>
            <w:vAlign w:val="top"/>
          </w:tcPr>
          <w:p>
            <w:r>
              <w:t>Beslisondersteunende kandidaatlaag met status en score.</w:t>
            </w:r>
          </w:p>
        </w:tc>
        <w:tc>
          <w:tcPr>
            <w:tcW w:type="dxa" w:w="3324"/>
            <w:vAlign w:val="top"/>
          </w:tcPr>
          <w:p>
            <w:r>
              <w:t>Geen automatische global_product-, product_enrichment-, household_article- of inventory_event-mutatie.</w:t>
            </w:r>
          </w:p>
        </w:tc>
      </w:tr>
      <w:tr>
        <w:tc>
          <w:tcPr>
            <w:tcW w:type="dxa" w:w="3324"/>
            <w:vAlign w:val="top"/>
          </w:tcPr>
          <w:p>
            <w:r>
              <w:t>Global products / product identities</w:t>
            </w:r>
          </w:p>
        </w:tc>
        <w:tc>
          <w:tcPr>
            <w:tcW w:type="dxa" w:w="3324"/>
            <w:vAlign w:val="top"/>
          </w:tcPr>
          <w:p>
            <w:r>
              <w:t>Definitieve productcatalogus na gevalideerde identiteit of gebruikersbesluit.</w:t>
            </w:r>
          </w:p>
        </w:tc>
        <w:tc>
          <w:tcPr>
            <w:tcW w:type="dxa" w:w="3324"/>
            <w:vAlign w:val="top"/>
          </w:tcPr>
          <w:p>
            <w:r>
              <w:t>Geen automatische aanmaak vanuit fallback of onzekere tekstmatch.</w:t>
            </w:r>
          </w:p>
        </w:tc>
      </w:tr>
      <w:tr>
        <w:tc>
          <w:tcPr>
            <w:tcW w:type="dxa" w:w="3324"/>
            <w:vAlign w:val="top"/>
          </w:tcPr>
          <w:p>
            <w:r>
              <w:t>Household articles</w:t>
            </w:r>
          </w:p>
        </w:tc>
        <w:tc>
          <w:tcPr>
            <w:tcW w:type="dxa" w:w="3324"/>
            <w:vAlign w:val="top"/>
          </w:tcPr>
          <w:p>
            <w:r>
              <w:t>Huishoudspecifieke artikelkeuze na expliciete gebruikersactie.</w:t>
            </w:r>
          </w:p>
        </w:tc>
        <w:tc>
          <w:tcPr>
            <w:tcW w:type="dxa" w:w="3324"/>
            <w:vAlign w:val="top"/>
          </w:tcPr>
          <w:p>
            <w:r>
              <w:t>Geen impliciete aanmaak door kandidaatweergave.</w:t>
            </w:r>
          </w:p>
        </w:tc>
      </w:tr>
    </w:tbl>
    <w:p>
      <w:pPr>
        <w:pStyle w:val="Heading2"/>
      </w:pPr>
      <w:r>
        <w:t>26.4 Kandidaatstatus en gebruikersveiligheid</w:t>
      </w:r>
    </w:p>
    <w:p>
      <w:r>
        <w:t>Elke externe kandidaat heeft een expliciete candidate_status. Een echte externe match, een taxonomiegebaseerde fallback en een unresolved fallback worden visueel en functioneel verschillend behandeld.</w:t>
      </w:r>
    </w:p>
    <w:tbl>
      <w:tblPr>
        <w:tblStyle w:val="TableGrid"/>
        <w:tblW w:type="auto" w:w="0"/>
        <w:jc w:val="left"/>
        <w:tblLook w:firstColumn="1" w:firstRow="1" w:lastColumn="0" w:lastRow="0" w:noHBand="0" w:noVBand="1" w:val="04A0"/>
      </w:tblPr>
      <w:tblGrid>
        <w:gridCol w:w="3324"/>
        <w:gridCol w:w="3324"/>
        <w:gridCol w:w="3324"/>
      </w:tblGrid>
      <w:tr>
        <w:tc>
          <w:tcPr>
            <w:tcW w:type="dxa" w:w="3324"/>
            <w:shd w:fill="D9EAD3"/>
          </w:tcPr>
          <w:p>
            <w:r>
              <w:rPr>
                <w:b/>
              </w:rPr>
              <w:t>Candidate status</w:t>
            </w:r>
          </w:p>
        </w:tc>
        <w:tc>
          <w:tcPr>
            <w:tcW w:type="dxa" w:w="3324"/>
            <w:shd w:fill="D9EAD3"/>
          </w:tcPr>
          <w:p>
            <w:r>
              <w:rPr>
                <w:b/>
              </w:rPr>
              <w:t>Betekenis</w:t>
            </w:r>
          </w:p>
        </w:tc>
        <w:tc>
          <w:tcPr>
            <w:tcW w:type="dxa" w:w="3324"/>
            <w:shd w:fill="D9EAD3"/>
          </w:tcPr>
          <w:p>
            <w:r>
              <w:rPr>
                <w:b/>
              </w:rPr>
              <w:t>UI-/verwerkingsregel</w:t>
            </w:r>
          </w:p>
        </w:tc>
      </w:tr>
      <w:tr>
        <w:tc>
          <w:tcPr>
            <w:tcW w:type="dxa" w:w="3324"/>
            <w:vAlign w:val="top"/>
          </w:tcPr>
          <w:p>
            <w:r>
              <w:t>external_candidate</w:t>
            </w:r>
          </w:p>
        </w:tc>
        <w:tc>
          <w:tcPr>
            <w:tcW w:type="dxa" w:w="3324"/>
            <w:vAlign w:val="top"/>
          </w:tcPr>
          <w:p>
            <w:r>
              <w:t>Kandidaat afkomstig uit externe index of brondata.</w:t>
            </w:r>
          </w:p>
        </w:tc>
        <w:tc>
          <w:tcPr>
            <w:tcW w:type="dxa" w:w="3324"/>
            <w:vAlign w:val="top"/>
          </w:tcPr>
          <w:p>
            <w:r>
              <w:t>Mag selecteerbaar zijn, maar alleen koppelen na gebruikersactie.</w:t>
            </w:r>
          </w:p>
        </w:tc>
      </w:tr>
      <w:tr>
        <w:tc>
          <w:tcPr>
            <w:tcW w:type="dxa" w:w="3324"/>
            <w:vAlign w:val="top"/>
          </w:tcPr>
          <w:p>
            <w:r>
              <w:t>fallback_candidate</w:t>
            </w:r>
          </w:p>
        </w:tc>
        <w:tc>
          <w:tcPr>
            <w:tcW w:type="dxa" w:w="3324"/>
            <w:vAlign w:val="top"/>
          </w:tcPr>
          <w:p>
            <w:r>
              <w:t>Voorstel op basis van bontekst en taxonomie; geen externe bronmatch.</w:t>
            </w:r>
          </w:p>
        </w:tc>
        <w:tc>
          <w:tcPr>
            <w:tcW w:type="dxa" w:w="3324"/>
            <w:vAlign w:val="top"/>
          </w:tcPr>
          <w:p>
            <w:r>
              <w:t>Duidelijk labelen als voorstel; koppeling vereist expliciete bevestiging.</w:t>
            </w:r>
          </w:p>
        </w:tc>
      </w:tr>
      <w:tr>
        <w:tc>
          <w:tcPr>
            <w:tcW w:type="dxa" w:w="3324"/>
            <w:vAlign w:val="top"/>
          </w:tcPr>
          <w:p>
            <w:r>
              <w:t>unresolved_candidate</w:t>
            </w:r>
          </w:p>
        </w:tc>
        <w:tc>
          <w:tcPr>
            <w:tcW w:type="dxa" w:w="3324"/>
            <w:vAlign w:val="top"/>
          </w:tcPr>
          <w:p>
            <w:r>
              <w:t>Geen betrouwbare externe of taxonomische kandidaat.</w:t>
            </w:r>
          </w:p>
        </w:tc>
        <w:tc>
          <w:tcPr>
            <w:tcW w:type="dxa" w:w="3324"/>
            <w:vAlign w:val="top"/>
          </w:tcPr>
          <w:p>
            <w:r>
              <w:t>Niet presenteren als normale kandidaat; koppelen blokkeren of waarschuwen; gebruiker kiest handmatig.</w:t>
            </w:r>
          </w:p>
        </w:tc>
      </w:tr>
    </w:tbl>
    <w:p>
      <w:pPr>
        <w:pStyle w:val="Heading2"/>
      </w:pPr>
      <w:r>
        <w:t>26.5 Verboden implementatiepatronen</w:t>
      </w:r>
    </w:p>
    <w:p>
      <w:r>
        <w:t>- Product- of retailerkennis toevoegen als Python/JS constants, if/else, switch/case of JSX-renderlogica.</w:t>
      </w:r>
    </w:p>
    <w:p>
      <w:r>
        <w:t>- OCR-spellingsvarianten zoals frache/fraiche in services hardcoden buiten taxonomie/dictionary.</w:t>
      </w:r>
    </w:p>
    <w:p>
      <w:r>
        <w:t>- Merknamen of winkelketenkennis gebruiken als harde filter tenzij dit expliciet als datagedreven regel met confidence is vastgelegd.</w:t>
      </w:r>
    </w:p>
    <w:p>
      <w:r>
        <w:t>- Fallback-kandidaten gelijk presenteren aan externe bronmatches.</w:t>
      </w:r>
    </w:p>
    <w:p>
      <w:r>
        <w:t>- Externe kandidaten zonder expliciete gebruikersactie doorzetten naar global_products, product_enrichments, household_articles of inventory_events.</w:t>
      </w:r>
    </w:p>
    <w:p>
      <w:pPr>
        <w:pStyle w:val="Heading2"/>
      </w:pPr>
      <w:r>
        <w:t>26.6 Merge- en regressienorm</w:t>
      </w:r>
    </w:p>
    <w:tbl>
      <w:tblPr>
        <w:tblStyle w:val="TableGrid"/>
        <w:tblW w:type="auto" w:w="0"/>
        <w:jc w:val="left"/>
        <w:tblLook w:firstColumn="1" w:firstRow="1" w:lastColumn="0" w:lastRow="0" w:noHBand="0" w:noVBand="1" w:val="04A0"/>
      </w:tblPr>
      <w:tblGrid>
        <w:gridCol w:w="4986"/>
        <w:gridCol w:w="4986"/>
      </w:tblGrid>
      <w:tr>
        <w:tc>
          <w:tcPr>
            <w:tcW w:type="dxa" w:w="4986"/>
            <w:shd w:fill="D9EAD3"/>
          </w:tcPr>
          <w:p>
            <w:r>
              <w:rPr>
                <w:b/>
              </w:rPr>
              <w:t>Wijziging raakt</w:t>
            </w:r>
          </w:p>
        </w:tc>
        <w:tc>
          <w:tcPr>
            <w:tcW w:type="dxa" w:w="4986"/>
            <w:shd w:fill="D9EAD3"/>
          </w:tcPr>
          <w:p>
            <w:r>
              <w:rPr>
                <w:b/>
              </w:rPr>
              <w:t>Minimale controle</w:t>
            </w:r>
          </w:p>
        </w:tc>
      </w:tr>
      <w:tr>
        <w:tc>
          <w:tcPr>
            <w:tcW w:type="dxa" w:w="4986"/>
            <w:vAlign w:val="top"/>
          </w:tcPr>
          <w:p>
            <w:r>
              <w:t>Producttaxonomie of terms</w:t>
            </w:r>
          </w:p>
        </w:tc>
        <w:tc>
          <w:tcPr>
            <w:tcW w:type="dxa" w:w="4986"/>
            <w:vAlign w:val="top"/>
          </w:tcPr>
          <w:p>
            <w:r>
              <w:t>Dictionary/database diff-review; smoke-test op representatieve bonregels; geen producttermen in code.</w:t>
            </w:r>
          </w:p>
        </w:tc>
      </w:tr>
      <w:tr>
        <w:tc>
          <w:tcPr>
            <w:tcW w:type="dxa" w:w="4986"/>
            <w:vAlign w:val="top"/>
          </w:tcPr>
          <w:p>
            <w:r>
              <w:t>Receipt candidate coverage</w:t>
            </w:r>
          </w:p>
        </w:tc>
        <w:tc>
          <w:tcPr>
            <w:tcW w:type="dxa" w:w="4986"/>
            <w:vAlign w:val="top"/>
          </w:tcPr>
          <w:p>
            <w:r>
              <w:t>Controle op candidate_status, requires_user_confirmation en geen automatische mutatie.</w:t>
            </w:r>
          </w:p>
        </w:tc>
      </w:tr>
      <w:tr>
        <w:tc>
          <w:tcPr>
            <w:tcW w:type="dxa" w:w="4986"/>
            <w:vAlign w:val="top"/>
          </w:tcPr>
          <w:p>
            <w:r>
              <w:t>Externe databases UI</w:t>
            </w:r>
          </w:p>
        </w:tc>
        <w:tc>
          <w:tcPr>
            <w:tcW w:type="dxa" w:w="4986"/>
            <w:vAlign w:val="top"/>
          </w:tcPr>
          <w:p>
            <w:r>
              <w:t>Frontend-regressie voor Externe databases; fallback en unresolved visueel onderscheiden.</w:t>
            </w:r>
          </w:p>
        </w:tc>
      </w:tr>
      <w:tr>
        <w:tc>
          <w:tcPr>
            <w:tcW w:type="dxa" w:w="4986"/>
            <w:vAlign w:val="top"/>
          </w:tcPr>
          <w:p>
            <w:r>
              <w:t>Uitpakken / productkoppeling</w:t>
            </w:r>
          </w:p>
        </w:tc>
        <w:tc>
          <w:tcPr>
            <w:tcW w:type="dxa" w:w="4986"/>
            <w:vAlign w:val="top"/>
          </w:tcPr>
          <w:p>
            <w:r>
              <w:t>Controle dat koppeling pas na expliciete gebruikeractie effect heeft op catalogus/voorraad.</w:t>
            </w:r>
          </w:p>
        </w:tc>
      </w:tr>
      <w:tr>
        <w:tc>
          <w:tcPr>
            <w:tcW w:type="dxa" w:w="4986"/>
            <w:vAlign w:val="top"/>
          </w:tcPr>
          <w:p>
            <w:r>
              <w:t>GTIN/EAN-presentatie</w:t>
            </w:r>
          </w:p>
        </w:tc>
        <w:tc>
          <w:tcPr>
            <w:tcW w:type="dxa" w:w="4986"/>
            <w:vAlign w:val="top"/>
          </w:tcPr>
          <w:p>
            <w:r>
              <w:t>Controle dat GTIN/EAN alleen uit geldige externe identiteit komt, niet uit winkel- of fallbackcode.</w:t>
            </w:r>
          </w:p>
        </w:tc>
      </w:tr>
    </w:tbl>
    <w:p>
      <w:pPr>
        <w:pStyle w:val="Heading2"/>
      </w:pPr>
      <w:r>
        <w:t>26.7 Acceptatiecriteria v2.14</w:t>
      </w:r>
    </w:p>
    <w:p>
      <w:r>
        <w:t>- Nieuwe productkennis wordt toegevoegd aan dictionary/database/seeddata, niet aan programmacode.</w:t>
      </w:r>
    </w:p>
    <w:p>
      <w:r>
        <w:t>- Programmacode blijft generiek en herbruikbaar over retailers en productgroepen heen.</w:t>
      </w:r>
    </w:p>
    <w:p>
      <w:r>
        <w:t>- Externe kandidaten zijn reviewbaar en hebben altijd status, score en bron.</w:t>
      </w:r>
    </w:p>
    <w:p>
      <w:r>
        <w:t>- Fallback is veilig en zichtbaar anders dan een echte externe match.</w:t>
      </w:r>
    </w:p>
    <w:p>
      <w:r>
        <w:t>- Geen product-, artikel- of voorraadmutatie zonder expliciete gebruikersactie.</w:t>
      </w:r>
    </w:p>
    <w:p>
      <w:r>
        <w:t>- Nieuwe functionaliteiten kunnen verwijzen naar dit document en de SSOT v1.4 voor productkennis- en kandidaatprincipes.</w:t>
      </w:r>
    </w:p>
    <w:p>
      <w:pPr>
        <w:pStyle w:val="Heading1"/>
      </w:pPr>
      <w:r>
        <w:t>27. Versie-update v2.15 - Main-validatie en runtimeconsistentie na PR-merge</w:t>
      </w:r>
    </w:p>
    <w:p>
      <w:r>
        <w:t>v2.15 legt aanvullend vast dat regressieborging twee fasen kent: featurebranch-validatie vóór merge en main-validatie na merge. Beide fasen hebben een eigen betekenis en mogen niet worden verwisseld.</w:t>
      </w:r>
    </w:p>
    <w:p>
      <w:pPr>
        <w:pStyle w:val="Heading2"/>
      </w:pPr>
      <w:r>
        <w:t>27.1 Architectuurregel</w:t>
      </w:r>
    </w:p>
    <w:p>
      <w:pPr>
        <w:pStyle w:val="ListBullet"/>
      </w:pPr>
      <w:r>
        <w:t>Een groene featurebranch is geen groene main.</w:t>
      </w:r>
    </w:p>
    <w:p>
      <w:pPr>
        <w:pStyle w:val="ListBullet"/>
      </w:pPr>
      <w:r>
        <w:t>Main mag pas als groen worden gemeld nadat de PR is gemerged, main lokaal is opgehaald, de Docker-runtime opnieuw is opgebouwd en de regressieset op main groen is.</w:t>
      </w:r>
    </w:p>
    <w:p>
      <w:pPr>
        <w:pStyle w:val="ListBullet"/>
      </w:pPr>
      <w:r>
        <w:t>Test main nooit tegen een runtime of frontendbundle die nog featurebranch-code bevat.</w:t>
      </w:r>
    </w:p>
    <w:p>
      <w:pPr>
        <w:pStyle w:val="ListBullet"/>
      </w:pPr>
      <w:r>
        <w:t>Gebruik -SkipDockerBuild alleen nadat de runtime na de laatste frontendwijziging opnieuw is opgebouwd.</w:t>
      </w:r>
    </w:p>
    <w:p>
      <w:pPr>
        <w:pStyle w:val="Heading2"/>
      </w:pPr>
      <w:r>
        <w:t>27.2 Merge- en releasegate</w:t>
      </w:r>
    </w:p>
    <w:p>
      <w:pPr>
        <w:pStyle w:val="ListBullet"/>
      </w:pPr>
      <w:r>
        <w:t>Featurebranch groen maakt een PR merge-kandidaat.</w:t>
      </w:r>
    </w:p>
    <w:p>
      <w:pPr>
        <w:pStyle w:val="ListBullet"/>
      </w:pPr>
      <w:r>
        <w:t>Na merge is opnieuw valideren op main verplicht.</w:t>
      </w:r>
    </w:p>
    <w:p>
      <w:pPr>
        <w:pStyle w:val="ListBullet"/>
      </w:pPr>
      <w:r>
        <w:t>Docker-runtime en frontendbundle zijn onderdeel van de te valideren versie.</w:t>
      </w:r>
    </w:p>
    <w:p>
      <w:pPr>
        <w:pStyle w:val="ListBullet"/>
      </w:pPr>
      <w:r>
        <w:t>Een afwijkend aantal tests of oud selector-gedrag blokkeert de release totdat branch, commit en runtime opnieuw consistent zijn.</w:t>
      </w:r>
    </w:p>
    <w:p>
      <w:pPr>
        <w:pStyle w:val="Heading2"/>
      </w:pPr>
      <w:r>
        <w:t>27.3 Standaard main-validatie</w:t>
      </w:r>
    </w:p>
    <w:p>
      <w:r>
        <w:rPr>
          <w:rFonts w:ascii="Consolas" w:hAnsi="Consolas"/>
          <w:sz w:val="18"/>
        </w:rPr>
        <w:t>git switch main</w:t>
      </w:r>
    </w:p>
    <w:p>
      <w:r>
        <w:rPr>
          <w:rFonts w:ascii="Consolas" w:hAnsi="Consolas"/>
          <w:sz w:val="18"/>
        </w:rPr>
        <w:t>git pull --ff-only</w:t>
      </w:r>
    </w:p>
    <w:p>
      <w:r>
        <w:rPr>
          <w:rFonts w:ascii="Consolas" w:hAnsi="Consolas"/>
          <w:sz w:val="18"/>
        </w:rPr>
        <w:t>git rev-parse --short HEAD</w:t>
      </w:r>
    </w:p>
    <w:p>
      <w:r>
        <w:rPr>
          <w:rFonts w:ascii="Consolas" w:hAnsi="Consolas"/>
          <w:sz w:val="18"/>
        </w:rPr>
      </w:r>
    </w:p>
    <w:p>
      <w:r>
        <w:rPr>
          <w:rFonts w:ascii="Consolas" w:hAnsi="Consolas"/>
          <w:sz w:val="18"/>
        </w:rPr>
        <w:t>docker compose down</w:t>
      </w:r>
    </w:p>
    <w:p>
      <w:r>
        <w:rPr>
          <w:rFonts w:ascii="Consolas" w:hAnsi="Consolas"/>
          <w:sz w:val="18"/>
        </w:rPr>
        <w:t>docker compose up -d --build</w:t>
      </w:r>
    </w:p>
    <w:p>
      <w:r>
        <w:rPr>
          <w:rFonts w:ascii="Consolas" w:hAnsi="Consolas"/>
          <w:sz w:val="18"/>
        </w:rPr>
        <w:t>Start-Sleep -Seconds 90</w:t>
      </w:r>
    </w:p>
    <w:p>
      <w:r>
        <w:rPr>
          <w:rFonts w:ascii="Consolas" w:hAnsi="Consolas"/>
          <w:sz w:val="18"/>
        </w:rPr>
        <w:t>Invoke-RestMethod http://localhost:8011/api/health</w:t>
      </w:r>
    </w:p>
    <w:p>
      <w:r>
        <w:rPr>
          <w:rFonts w:ascii="Consolas" w:hAnsi="Consolas"/>
          <w:sz w:val="18"/>
        </w:rPr>
      </w:r>
    </w:p>
    <w:p>
      <w:r>
        <w:rPr>
          <w:rFonts w:ascii="Consolas" w:hAnsi="Consolas"/>
          <w:sz w:val="18"/>
        </w:rPr>
        <w:t>.\scripts\run-frontend-regression-report.ps1 -SkipDockerBuild</w:t>
      </w:r>
    </w:p>
    <w:p>
      <w:r>
        <w:br w:type="page"/>
      </w:r>
    </w:p>
    <w:p>
      <w:pPr>
        <w:pStyle w:val="Heading1"/>
      </w:pPr>
      <w:r>
        <w:t>28. Versie-update v2.16 - Externe databases kandidaat-UX en tabelcontract</w:t>
      </w:r>
    </w:p>
    <w:p>
      <w:r>
        <w:rPr>
          <w:b/>
        </w:rPr>
        <w:t xml:space="preserve">Status: </w:t>
      </w:r>
      <w:r>
        <w:t>bijgewerkt na M2C2i-29J en M2C2i-29K. Datum: 30 juni 2026. Main, regressietest en PO-check zijn groen verklaard door de PO.</w:t>
      </w:r>
    </w:p>
    <w:p>
      <w:pPr>
        <w:pStyle w:val="Heading2"/>
      </w:pPr>
      <w:r>
        <w:t>28.1 Architectuurregel: kandidaatdata blijft beslisondersteuning</w:t>
      </w:r>
    </w:p>
    <w:p>
      <w:pPr>
        <w:pStyle w:val="ListBullet"/>
      </w:pPr>
      <w:r>
        <w:t>M2C2i-29J/29K bevestigt dat externe kandidaatdata geen automatische product- of voorraadmutatie veroorzaakt. De hoofdtabel toont beslisinformatie, geen definitieve cataloguswaarheid.</w:t>
      </w:r>
    </w:p>
    <w:p>
      <w:pPr>
        <w:pStyle w:val="ListBullet"/>
      </w:pPr>
      <w:r>
        <w:t>Kand. GTIN/EAN is de expliciete presentatielaag voor de beste selecteerbare universele kandidaat. De bestaande GTIN / EAN-kolom blijft gereserveerd voor een GTIN/EAN die al op de bonregel bekend is.</w:t>
      </w:r>
    </w:p>
    <w:p>
      <w:pPr>
        <w:pStyle w:val="Heading2"/>
      </w:pPr>
      <w:r>
        <w:t>28.2 Tabelcontract Externe databases</w:t>
      </w:r>
    </w:p>
    <w:p>
      <w:pPr>
        <w:pStyle w:val="ListBullet"/>
      </w:pPr>
      <w:r>
        <w:t>De hoofdtabel toont geen Artikelnummer en geen Aantal meer. Het functionele contract is: Bonartikel, Winkelketen, Catalogus, Kand. GTIN/EAN, GTIN/EAN, Omvang/gewicht, Prijs, Kandidaat, Score, Externe.</w:t>
      </w:r>
    </w:p>
    <w:p>
      <w:pPr>
        <w:pStyle w:val="ListBullet"/>
      </w:pPr>
      <w:r>
        <w:t>De detailtabel toont alleen universele kandidaten met score minimaal 0,500. Zoekhulpen, retailer-indexrijen en lage-scorekandidaten worden niet als keuze getoond.</w:t>
      </w:r>
    </w:p>
    <w:p>
      <w:pPr>
        <w:pStyle w:val="ListBullet"/>
      </w:pPr>
      <w:r>
        <w:t>Hoofd- en detailtabel hebben dezelfde startbreedte en blijven handmatig verstelbaar. Stabiele layout mag resizegedrag niet uitschakelen.</w:t>
      </w:r>
    </w:p>
    <w:p>
      <w:pPr>
        <w:pStyle w:val="Heading2"/>
      </w:pPr>
      <w:r>
        <w:t>28.3 Regressie-architectuur</w:t>
      </w:r>
    </w:p>
    <w:p>
      <w:pPr>
        <w:pStyle w:val="ListBullet"/>
      </w:pPr>
      <w:r>
        <w:t>Kolomwijzigingen in Externe databases raken altijd het Playwright-testcontract. Regressietests moeten de headercontracten en verschoven kolomindices bijwerken.</w:t>
      </w:r>
    </w:p>
    <w:p>
      <w:pPr>
        <w:pStyle w:val="ListBullet"/>
      </w:pPr>
      <w:r>
        <w:t>M2C2i-29J en M2C2i-29K zijn op main gevalideerd met groene frontend-regressie en geslaagde PO-test. Daarmee is het tabelcontract onderdeel van de actuele main-basis.</w:t>
      </w:r>
    </w:p>
    <w:p>
      <w:r>
        <w:br w:type="page"/>
      </w:r>
    </w:p>
    <w:p>
      <w:pPr>
        <w:pStyle w:val="Heading1"/>
      </w:pPr>
      <w:r>
        <w:t>29. Versie-update v2.17 - AH-JPG normalisatie en normalized receipt line display</w:t>
      </w:r>
    </w:p>
    <w:p>
      <w:r>
        <w:t>v2.17 legt de architectuurupdate vast na M2C2i-32K/32L. De update betreft de grens tussen OCR-brontekst, genormaliseerde kassabonregel en zichtbare Kassa-review. De wijziging is klein gehouden: backend-ingestion normaliseert AH-JPG leading quantity tokens; frontend toont bestaande normalized_label als zichtbare artikelnaam.</w:t>
      </w:r>
    </w:p>
    <w:p>
      <w:pPr>
        <w:pStyle w:val="Heading2"/>
      </w:pPr>
      <w:r>
        <w:t>29.1 Architectuurregel: raw_label blijft bron, normalized_label is reviewnaam</w:t>
      </w:r>
    </w:p>
    <w:tbl>
      <w:tblPr>
        <w:tblStyle w:val="TableGrid"/>
        <w:tblW w:type="auto" w:w="0"/>
        <w:tblLook w:firstColumn="1" w:firstRow="1" w:lastColumn="0" w:lastRow="0" w:noHBand="0" w:noVBand="1" w:val="04A0"/>
      </w:tblPr>
      <w:tblGrid>
        <w:gridCol w:w="4986"/>
        <w:gridCol w:w="4986"/>
      </w:tblGrid>
      <w:tr>
        <w:tc>
          <w:tcPr>
            <w:tcW w:type="dxa" w:w="4986"/>
          </w:tcPr>
          <w:p>
            <w:r>
              <w:t>Veld</w:t>
            </w:r>
          </w:p>
        </w:tc>
        <w:tc>
          <w:tcPr>
            <w:tcW w:type="dxa" w:w="4986"/>
          </w:tcPr>
          <w:p>
            <w:r>
              <w:t>Architectuurregel</w:t>
            </w:r>
          </w:p>
        </w:tc>
      </w:tr>
      <w:tr>
        <w:tc>
          <w:tcPr>
            <w:tcW w:type="dxa" w:w="4986"/>
          </w:tcPr>
          <w:p>
            <w:r>
              <w:t>raw_label</w:t>
            </w:r>
          </w:p>
        </w:tc>
        <w:tc>
          <w:tcPr>
            <w:tcW w:type="dxa" w:w="4986"/>
          </w:tcPr>
          <w:p>
            <w:r>
              <w:t>Originele bron/OCR-regel; blijft auditbaar en mag OCR-artefacten bevatten.</w:t>
            </w:r>
          </w:p>
        </w:tc>
      </w:tr>
      <w:tr>
        <w:tc>
          <w:tcPr>
            <w:tcW w:type="dxa" w:w="4986"/>
          </w:tcPr>
          <w:p>
            <w:r>
              <w:t>normalized_label</w:t>
            </w:r>
          </w:p>
        </w:tc>
        <w:tc>
          <w:tcPr>
            <w:tcW w:type="dxa" w:w="4986"/>
          </w:tcPr>
          <w:p>
            <w:r>
              <w:t>Genormaliseerde artikelnaam voor review, sortering/filtering en export wanneer beschikbaar.</w:t>
            </w:r>
          </w:p>
        </w:tc>
      </w:tr>
      <w:tr>
        <w:tc>
          <w:tcPr>
            <w:tcW w:type="dxa" w:w="4986"/>
          </w:tcPr>
          <w:p>
            <w:r>
              <w:t>quantity</w:t>
            </w:r>
          </w:p>
        </w:tc>
        <w:tc>
          <w:tcPr>
            <w:tcW w:type="dxa" w:w="4986"/>
          </w:tcPr>
          <w:p>
            <w:r>
              <w:t>Genormaliseerde hoeveelheid; bij AH-JPG kan leading T/I/| naar 1 en N naar 2 worden gesplitst.</w:t>
            </w:r>
          </w:p>
        </w:tc>
      </w:tr>
      <w:tr>
        <w:tc>
          <w:tcPr>
            <w:tcW w:type="dxa" w:w="4986"/>
          </w:tcPr>
          <w:p>
            <w:r>
              <w:t>display_label</w:t>
            </w:r>
          </w:p>
        </w:tc>
        <w:tc>
          <w:tcPr>
            <w:tcW w:type="dxa" w:w="4986"/>
          </w:tcPr>
          <w:p>
            <w:r>
              <w:t>Mag niet de normalized_label overrulen in de zichtbare Kassa-review.</w:t>
            </w:r>
          </w:p>
        </w:tc>
      </w:tr>
    </w:tbl>
    <w:p>
      <w:pPr>
        <w:pStyle w:val="Heading2"/>
      </w:pPr>
      <w:r>
        <w:t>29.2 Domeingrens</w:t>
      </w:r>
    </w:p>
    <w:p>
      <w:pPr>
        <w:pStyle w:val="ListBullet"/>
      </w:pPr>
      <w:r>
        <w:t>De parser en gateway leveren parserfeiten en normalisatie; zij maken geen voorraadmutaties.</w:t>
      </w:r>
    </w:p>
    <w:p>
      <w:pPr>
        <w:pStyle w:val="ListBullet"/>
      </w:pPr>
      <w:r>
        <w:t>De UI bepaalt geen hoeveelheid of productbetekenis, maar kiest de juiste presentatielaag: normalized_label vóór ruwe bronvelden.</w:t>
      </w:r>
    </w:p>
    <w:p>
      <w:pPr>
        <w:pStyle w:val="ListBullet"/>
      </w:pPr>
      <w:r>
        <w:t>AH-leading-quantity is OCR-structuurnormalisatie, geen productkennis. Producttermen en merkkennis blijven data/dictionary.</w:t>
      </w:r>
    </w:p>
    <w:p>
      <w:pPr>
        <w:pStyle w:val="Heading2"/>
      </w:pPr>
      <w:r>
        <w:t>29.3 Regressie en releasegate</w:t>
      </w:r>
    </w:p>
    <w:tbl>
      <w:tblPr>
        <w:tblStyle w:val="TableGrid"/>
        <w:tblW w:type="auto" w:w="0"/>
        <w:tblLook w:firstColumn="1" w:firstRow="1" w:lastColumn="0" w:lastRow="0" w:noHBand="0" w:noVBand="1" w:val="04A0"/>
      </w:tblPr>
      <w:tblGrid>
        <w:gridCol w:w="4986"/>
        <w:gridCol w:w="4986"/>
      </w:tblGrid>
      <w:tr>
        <w:tc>
          <w:tcPr>
            <w:tcW w:type="dxa" w:w="4986"/>
          </w:tcPr>
          <w:p>
            <w:r>
              <w:t>Onderdeel</w:t>
            </w:r>
          </w:p>
        </w:tc>
        <w:tc>
          <w:tcPr>
            <w:tcW w:type="dxa" w:w="4986"/>
          </w:tcPr>
          <w:p>
            <w:r>
              <w:t>Actualisatie</w:t>
            </w:r>
          </w:p>
        </w:tc>
      </w:tr>
      <w:tr>
        <w:tc>
          <w:tcPr>
            <w:tcW w:type="dxa" w:w="4986"/>
          </w:tcPr>
          <w:p>
            <w:r>
              <w:t>Release</w:t>
            </w:r>
          </w:p>
        </w:tc>
        <w:tc>
          <w:tcPr>
            <w:tcW w:type="dxa" w:w="4986"/>
          </w:tcPr>
          <w:p>
            <w:r>
              <w:t>M2C2i-32K/32L</w:t>
            </w:r>
          </w:p>
        </w:tc>
      </w:tr>
      <w:tr>
        <w:tc>
          <w:tcPr>
            <w:tcW w:type="dxa" w:w="4986"/>
          </w:tcPr>
          <w:p>
            <w:r>
              <w:t>PR</w:t>
            </w:r>
          </w:p>
        </w:tc>
        <w:tc>
          <w:tcPr>
            <w:tcW w:type="dxa" w:w="4986"/>
          </w:tcPr>
          <w:p>
            <w:r>
              <w:t>PR #120 – gemerged naar main op GitHub</w:t>
            </w:r>
          </w:p>
        </w:tc>
      </w:tr>
      <w:tr>
        <w:tc>
          <w:tcPr>
            <w:tcW w:type="dxa" w:w="4986"/>
          </w:tcPr>
          <w:p>
            <w:r>
              <w:t>Featurebranch</w:t>
            </w:r>
          </w:p>
        </w:tc>
        <w:tc>
          <w:tcPr>
            <w:tcW w:type="dxa" w:w="4986"/>
          </w:tcPr>
          <w:p>
            <w:r>
              <w:t>m2c2i32k-ah-qty</w:t>
            </w:r>
          </w:p>
        </w:tc>
      </w:tr>
      <w:tr>
        <w:tc>
          <w:tcPr>
            <w:tcW w:type="dxa" w:w="4986"/>
          </w:tcPr>
          <w:p>
            <w:r>
              <w:t>Featurebranch head</w:t>
            </w:r>
          </w:p>
        </w:tc>
        <w:tc>
          <w:tcPr>
            <w:tcW w:type="dxa" w:w="4986"/>
          </w:tcPr>
          <w:p>
            <w:r>
              <w:t>30eecae3</w:t>
            </w:r>
          </w:p>
        </w:tc>
      </w:tr>
      <w:tr>
        <w:tc>
          <w:tcPr>
            <w:tcW w:type="dxa" w:w="4986"/>
          </w:tcPr>
          <w:p>
            <w:r>
              <w:t>Main merge commit</w:t>
            </w:r>
          </w:p>
        </w:tc>
        <w:tc>
          <w:tcPr>
            <w:tcW w:type="dxa" w:w="4986"/>
          </w:tcPr>
          <w:p>
            <w:r>
              <w:t>44b16418</w:t>
            </w:r>
          </w:p>
        </w:tc>
      </w:tr>
      <w:tr>
        <w:tc>
          <w:tcPr>
            <w:tcW w:type="dxa" w:w="4986"/>
          </w:tcPr>
          <w:p>
            <w:r>
              <w:t>Basis</w:t>
            </w:r>
          </w:p>
        </w:tc>
        <w:tc>
          <w:tcPr>
            <w:tcW w:type="dxa" w:w="4986"/>
          </w:tcPr>
          <w:p>
            <w:r>
              <w:t>main na M2C2i-32I (abb965d5)</w:t>
            </w:r>
          </w:p>
        </w:tc>
      </w:tr>
      <w:tr>
        <w:tc>
          <w:tcPr>
            <w:tcW w:type="dxa" w:w="4986"/>
          </w:tcPr>
          <w:p>
            <w:r>
              <w:t>Regressie featurebranch</w:t>
            </w:r>
          </w:p>
        </w:tc>
        <w:tc>
          <w:tcPr>
            <w:tcW w:type="dxa" w:w="4986"/>
          </w:tcPr>
          <w:p>
            <w:r>
              <w:t>15 passed</w:t>
            </w:r>
          </w:p>
        </w:tc>
      </w:tr>
      <w:tr>
        <w:tc>
          <w:tcPr>
            <w:tcW w:type="dxa" w:w="4986"/>
          </w:tcPr>
          <w:p>
            <w:r>
              <w:t>Main-validatie</w:t>
            </w:r>
          </w:p>
        </w:tc>
        <w:tc>
          <w:tcPr>
            <w:tcW w:type="dxa" w:w="4986"/>
          </w:tcPr>
          <w:p>
            <w:r>
              <w:t>Nog afzonderlijk verplicht: lokale main pull, Docker rebuild, healthcheck, volledige frontend-regressie en PO-check.</w:t>
            </w:r>
          </w:p>
        </w:tc>
      </w:tr>
    </w:tbl>
    <w:p>
      <w:r>
        <w:t>De actuele frontend-regressie voor Kassa, Uitpakken en Externe databases telt na deze fase 15 tests. Oudere aantallen zoals 7, 8, 10 of 14 zijn historisch en niet normatief voor de actuele main-basis.</w:t>
      </w:r>
    </w:p>
    <w:p>
      <w:r>
        <w:br w:type="page"/>
      </w:r>
    </w:p>
    <w:p>
      <w:pPr>
        <w:pStyle w:val="Heading1"/>
      </w:pPr>
      <w:r>
        <w:t>30. Versie-update v2.18 - API-SSOT voor regelkortingen en statuslagen</w:t>
      </w:r>
    </w:p>
    <w:p>
      <w:r>
        <w:t>v2.18 legt vast dat de Receipt Ingestion-architectuur niet alleen een status-SSOT heeft, maar ook een verplicht consistent API-payloadcontract voor alle statusdragende receipt-endpoints.</w:t>
      </w:r>
    </w:p>
    <w:tbl>
      <w:tblPr>
        <w:tblStyle w:val="TableGrid"/>
        <w:tblW w:type="auto" w:w="0"/>
        <w:jc w:val="left"/>
        <w:tblLook w:firstColumn="1" w:firstRow="1" w:lastColumn="0" w:lastRow="0" w:noHBand="0" w:noVBand="1" w:val="04A0"/>
      </w:tblPr>
      <w:tblGrid>
        <w:gridCol w:w="4986"/>
        <w:gridCol w:w="4986"/>
      </w:tblGrid>
      <w:tr>
        <w:trPr>
          <w:tblHeader w:val="true"/>
        </w:trPr>
        <w:tc>
          <w:tcPr>
            <w:tcW w:type="dxa" w:w="4986"/>
            <w:vAlign w:val="top"/>
          </w:tcPr>
          <w:p>
            <w:r>
              <w:rPr>
                <w:sz w:val="18"/>
              </w:rPr>
            </w:r>
            <w:r>
              <w:rPr>
                <w:b/>
                <w:sz w:val="18"/>
              </w:rPr>
              <w:t>Architectuurpunt</w:t>
            </w:r>
          </w:p>
        </w:tc>
        <w:tc>
          <w:tcPr>
            <w:tcW w:type="dxa" w:w="4986"/>
            <w:vAlign w:val="top"/>
          </w:tcPr>
          <w:p>
            <w:r>
              <w:rPr>
                <w:sz w:val="18"/>
              </w:rPr>
            </w:r>
            <w:r>
              <w:rPr>
                <w:b/>
                <w:sz w:val="18"/>
              </w:rPr>
              <w:t>Norm</w:t>
            </w:r>
          </w:p>
        </w:tc>
      </w:tr>
      <w:tr>
        <w:tc>
          <w:tcPr>
            <w:tcW w:type="dxa" w:w="4986"/>
            <w:vAlign w:val="top"/>
          </w:tcPr>
          <w:p>
            <w:r>
              <w:rPr>
                <w:sz w:val="18"/>
              </w:rPr>
            </w:r>
            <w:r>
              <w:rPr>
                <w:b w:val="0"/>
                <w:sz w:val="18"/>
              </w:rPr>
              <w:t>Statuslaag</w:t>
            </w:r>
          </w:p>
        </w:tc>
        <w:tc>
          <w:tcPr>
            <w:tcW w:type="dxa" w:w="4986"/>
            <w:vAlign w:val="top"/>
          </w:tcPr>
          <w:p>
            <w:r>
              <w:rPr>
                <w:sz w:val="18"/>
              </w:rPr>
            </w:r>
            <w:r>
              <w:rPr>
                <w:b w:val="0"/>
                <w:sz w:val="18"/>
              </w:rPr>
              <w:t>apply_po_norm_status is de statusautoriteit; API-paden leveren dezelfde inputvelden.</w:t>
            </w:r>
          </w:p>
        </w:tc>
      </w:tr>
      <w:tr>
        <w:tc>
          <w:tcPr>
            <w:tcW w:type="dxa" w:w="4986"/>
            <w:vAlign w:val="top"/>
          </w:tcPr>
          <w:p>
            <w:r>
              <w:rPr>
                <w:sz w:val="18"/>
              </w:rPr>
            </w:r>
            <w:r>
              <w:rPr>
                <w:b w:val="0"/>
                <w:sz w:val="18"/>
              </w:rPr>
              <w:t>Regelkorting</w:t>
            </w:r>
          </w:p>
        </w:tc>
        <w:tc>
          <w:tcPr>
            <w:tcW w:type="dxa" w:w="4986"/>
            <w:vAlign w:val="top"/>
          </w:tcPr>
          <w:p>
            <w:r>
              <w:rPr>
                <w:sz w:val="18"/>
              </w:rPr>
            </w:r>
            <w:r>
              <w:rPr>
                <w:b w:val="0"/>
                <w:sz w:val="18"/>
              </w:rPr>
              <w:t>discount_amount op receipt_table_lines telt mee in de netto artikelsom via line_discount_sum.</w:t>
            </w:r>
          </w:p>
        </w:tc>
      </w:tr>
      <w:tr>
        <w:tc>
          <w:tcPr>
            <w:tcW w:type="dxa" w:w="4986"/>
            <w:vAlign w:val="top"/>
          </w:tcPr>
          <w:p>
            <w:r>
              <w:rPr>
                <w:sz w:val="18"/>
              </w:rPr>
            </w:r>
            <w:r>
              <w:rPr>
                <w:b w:val="0"/>
                <w:sz w:val="18"/>
              </w:rPr>
              <w:t>API-lijst</w:t>
            </w:r>
          </w:p>
        </w:tc>
        <w:tc>
          <w:tcPr>
            <w:tcW w:type="dxa" w:w="4986"/>
            <w:vAlign w:val="top"/>
          </w:tcPr>
          <w:p>
            <w:r>
              <w:rPr>
                <w:sz w:val="18"/>
              </w:rPr>
            </w:r>
            <w:r>
              <w:rPr>
                <w:b w:val="0"/>
                <w:sz w:val="18"/>
              </w:rPr>
              <w:t>GET /api/receipts berekent line_discount_sum op actieve regels en net_line_total_sum inclusief regelkorting.</w:t>
            </w:r>
          </w:p>
        </w:tc>
      </w:tr>
      <w:tr>
        <w:tc>
          <w:tcPr>
            <w:tcW w:type="dxa" w:w="4986"/>
            <w:vAlign w:val="top"/>
          </w:tcPr>
          <w:p>
            <w:r>
              <w:rPr>
                <w:sz w:val="18"/>
              </w:rPr>
            </w:r>
            <w:r>
              <w:rPr>
                <w:b w:val="0"/>
                <w:sz w:val="18"/>
              </w:rPr>
              <w:t>API-detail</w:t>
            </w:r>
          </w:p>
        </w:tc>
        <w:tc>
          <w:tcPr>
            <w:tcW w:type="dxa" w:w="4986"/>
            <w:vAlign w:val="top"/>
          </w:tcPr>
          <w:p>
            <w:r>
              <w:rPr>
                <w:sz w:val="18"/>
              </w:rPr>
            </w:r>
            <w:r>
              <w:rPr>
                <w:b w:val="0"/>
                <w:sz w:val="18"/>
              </w:rPr>
              <w:t>GET /api/receipts/{receipt_table_id} gebruikt hetzelfde contract als de lijst.</w:t>
            </w:r>
          </w:p>
        </w:tc>
      </w:tr>
      <w:tr>
        <w:tc>
          <w:tcPr>
            <w:tcW w:type="dxa" w:w="4986"/>
            <w:vAlign w:val="top"/>
          </w:tcPr>
          <w:p>
            <w:r>
              <w:rPr>
                <w:sz w:val="18"/>
              </w:rPr>
            </w:r>
            <w:r>
              <w:rPr>
                <w:b w:val="0"/>
                <w:sz w:val="18"/>
              </w:rPr>
              <w:t>Explainability</w:t>
            </w:r>
          </w:p>
        </w:tc>
        <w:tc>
          <w:tcPr>
            <w:tcW w:type="dxa" w:w="4986"/>
            <w:vAlign w:val="top"/>
          </w:tcPr>
          <w:p>
            <w:r>
              <w:rPr>
                <w:sz w:val="18"/>
              </w:rPr>
            </w:r>
            <w:r>
              <w:rPr>
                <w:b w:val="0"/>
                <w:sz w:val="18"/>
              </w:rPr>
              <w:t>Read-only explainability mag geen afwijkende statuslogica of bruto net_line_total_sum gebruiken.</w:t>
            </w:r>
          </w:p>
        </w:tc>
      </w:tr>
      <w:tr>
        <w:tc>
          <w:tcPr>
            <w:tcW w:type="dxa" w:w="4986"/>
            <w:vAlign w:val="top"/>
          </w:tcPr>
          <w:p>
            <w:r>
              <w:rPr>
                <w:sz w:val="18"/>
              </w:rPr>
            </w:r>
            <w:r>
              <w:rPr>
                <w:b w:val="0"/>
                <w:sz w:val="18"/>
              </w:rPr>
              <w:t>Domeingrens</w:t>
            </w:r>
          </w:p>
        </w:tc>
        <w:tc>
          <w:tcPr>
            <w:tcW w:type="dxa" w:w="4986"/>
            <w:vAlign w:val="top"/>
          </w:tcPr>
          <w:p>
            <w:r>
              <w:rPr>
                <w:sz w:val="18"/>
              </w:rPr>
            </w:r>
            <w:r>
              <w:rPr>
                <w:b w:val="0"/>
                <w:sz w:val="18"/>
              </w:rPr>
              <w:t>Parser slaat feiten op; API materialiseert volledig statuspayload; UI toont status.</w:t>
            </w:r>
          </w:p>
        </w:tc>
      </w:tr>
    </w:tbl>
    <w:p>
      <w:pPr>
        <w:pStyle w:val="Heading2"/>
      </w:pPr>
      <w:r>
        <w:t>Diagnose-architectuur</w:t>
      </w:r>
    </w:p>
    <w:p>
      <w:pPr>
        <w:pStyle w:val="ListBullet"/>
      </w:pPr>
      <w:r>
        <w:t>Een statusincident wordt altijd per laag onderzocht: database/SSOT, API, App.</w:t>
      </w:r>
    </w:p>
    <w:p>
      <w:pPr>
        <w:pStyle w:val="ListBullet"/>
      </w:pPr>
      <w:r>
        <w:t>De runtime database in container is sqlite:////app/data/rezzerv.db; codepad in container is /app/app.</w:t>
      </w:r>
    </w:p>
    <w:p>
      <w:pPr>
        <w:pStyle w:val="ListBullet"/>
      </w:pPr>
      <w:r>
        <w:t>Een direct sluitende DB/SSOT-uitkomst is bewijs tegen herinlezen als eerste maatregel.</w:t>
      </w:r>
    </w:p>
    <w:p>
      <w:pPr>
        <w:pStyle w:val="ListBullet"/>
      </w:pPr>
      <w:r>
        <w:t>Verschil tussen directe SSOT en API is een API-contractbug, niet automatisch een parserbug.</w:t>
      </w:r>
    </w:p>
    <w:p>
      <w:pPr>
        <w:pStyle w:val="Heading2"/>
      </w:pPr>
      <w:r>
        <w:t>Algemene leerpunten M2C2i-34 - foutpreventie</w:t>
      </w:r>
    </w:p>
    <w:tbl>
      <w:tblPr>
        <w:tblStyle w:val="TableGrid"/>
        <w:tblW w:type="auto" w:w="0"/>
        <w:jc w:val="left"/>
        <w:tblLook w:firstColumn="1" w:firstRow="1" w:lastColumn="0" w:lastRow="0" w:noHBand="0" w:noVBand="1" w:val="04A0"/>
      </w:tblPr>
      <w:tblGrid>
        <w:gridCol w:w="4986"/>
        <w:gridCol w:w="4986"/>
      </w:tblGrid>
      <w:tr>
        <w:trPr>
          <w:tblHeader w:val="true"/>
        </w:trPr>
        <w:tc>
          <w:tcPr>
            <w:tcW w:type="dxa" w:w="4986"/>
            <w:vAlign w:val="top"/>
          </w:tcPr>
          <w:p>
            <w:r>
              <w:rPr>
                <w:sz w:val="18"/>
              </w:rPr>
            </w:r>
            <w:r>
              <w:rPr>
                <w:b/>
                <w:sz w:val="18"/>
              </w:rPr>
              <w:t>Fouttype in chat</w:t>
            </w:r>
          </w:p>
        </w:tc>
        <w:tc>
          <w:tcPr>
            <w:tcW w:type="dxa" w:w="4986"/>
            <w:vAlign w:val="top"/>
          </w:tcPr>
          <w:p>
            <w:r>
              <w:rPr>
                <w:sz w:val="18"/>
              </w:rPr>
            </w:r>
            <w:r>
              <w:rPr>
                <w:b/>
                <w:sz w:val="18"/>
              </w:rPr>
              <w:t>Nieuwe norm</w:t>
            </w:r>
          </w:p>
        </w:tc>
      </w:tr>
      <w:tr>
        <w:tc>
          <w:tcPr>
            <w:tcW w:type="dxa" w:w="4986"/>
            <w:vAlign w:val="top"/>
          </w:tcPr>
          <w:p>
            <w:r>
              <w:rPr>
                <w:sz w:val="18"/>
              </w:rPr>
            </w:r>
            <w:r>
              <w:rPr>
                <w:b w:val="0"/>
                <w:sz w:val="18"/>
              </w:rPr>
              <w:t>Te snel concluderen zonder laagdiagnose</w:t>
            </w:r>
          </w:p>
        </w:tc>
        <w:tc>
          <w:tcPr>
            <w:tcW w:type="dxa" w:w="4986"/>
            <w:vAlign w:val="top"/>
          </w:tcPr>
          <w:p>
            <w:r>
              <w:rPr>
                <w:sz w:val="18"/>
              </w:rPr>
            </w:r>
            <w:r>
              <w:rPr>
                <w:b w:val="0"/>
                <w:sz w:val="18"/>
              </w:rPr>
              <w:t>Altijd eerst DB/SSOT, API en App afzonderlijk meten. Conclusies zijn pas geldig als bekend is welke laag afwijkt.</w:t>
            </w:r>
          </w:p>
        </w:tc>
      </w:tr>
      <w:tr>
        <w:tc>
          <w:tcPr>
            <w:tcW w:type="dxa" w:w="4986"/>
            <w:vAlign w:val="top"/>
          </w:tcPr>
          <w:p>
            <w:r>
              <w:rPr>
                <w:sz w:val="18"/>
              </w:rPr>
            </w:r>
            <w:r>
              <w:rPr>
                <w:b w:val="0"/>
                <w:sz w:val="18"/>
              </w:rPr>
              <w:t>Herinlezen als eerste reflex</w:t>
            </w:r>
          </w:p>
        </w:tc>
        <w:tc>
          <w:tcPr>
            <w:tcW w:type="dxa" w:w="4986"/>
            <w:vAlign w:val="top"/>
          </w:tcPr>
          <w:p>
            <w:r>
              <w:rPr>
                <w:sz w:val="18"/>
              </w:rPr>
            </w:r>
            <w:r>
              <w:rPr>
                <w:b w:val="0"/>
                <w:sz w:val="18"/>
              </w:rPr>
              <w:t>Bij statusverschillen eerst controleren of de opgeslagen data sluitend is. Herinlezen is pas toegestaan als de persistente data aantoonbaar onvolledig is.</w:t>
            </w:r>
          </w:p>
        </w:tc>
      </w:tr>
      <w:tr>
        <w:tc>
          <w:tcPr>
            <w:tcW w:type="dxa" w:w="4986"/>
            <w:vAlign w:val="top"/>
          </w:tcPr>
          <w:p>
            <w:r>
              <w:rPr>
                <w:sz w:val="18"/>
              </w:rPr>
            </w:r>
            <w:r>
              <w:rPr>
                <w:b w:val="0"/>
                <w:sz w:val="18"/>
              </w:rPr>
              <w:t>API-call zonder householdId</w:t>
            </w:r>
          </w:p>
        </w:tc>
        <w:tc>
          <w:tcPr>
            <w:tcW w:type="dxa" w:w="4986"/>
            <w:vAlign w:val="top"/>
          </w:tcPr>
          <w:p>
            <w:r>
              <w:rPr>
                <w:sz w:val="18"/>
              </w:rPr>
            </w:r>
            <w:r>
              <w:rPr>
                <w:b w:val="0"/>
                <w:sz w:val="18"/>
              </w:rPr>
              <w:t>Receipt-API-calls gebruiken altijd householdId en Authorization-header, bijvoorbeeld /api/receipts?householdId=1.</w:t>
            </w:r>
          </w:p>
        </w:tc>
      </w:tr>
      <w:tr>
        <w:tc>
          <w:tcPr>
            <w:tcW w:type="dxa" w:w="4986"/>
            <w:vAlign w:val="top"/>
          </w:tcPr>
          <w:p>
            <w:r>
              <w:rPr>
                <w:sz w:val="18"/>
              </w:rPr>
            </w:r>
            <w:r>
              <w:rPr>
                <w:b w:val="0"/>
                <w:sz w:val="18"/>
              </w:rPr>
              <w:t>PowerShell-blokken die per regel kapot gaan</w:t>
            </w:r>
          </w:p>
        </w:tc>
        <w:tc>
          <w:tcPr>
            <w:tcW w:type="dxa" w:w="4986"/>
            <w:vAlign w:val="top"/>
          </w:tcPr>
          <w:p>
            <w:r>
              <w:rPr>
                <w:sz w:val="18"/>
              </w:rPr>
            </w:r>
            <w:r>
              <w:rPr>
                <w:b w:val="0"/>
                <w:sz w:val="18"/>
              </w:rPr>
              <w:t>Multiline if/elseif/else of here-string blokken moeten als geheel worden geplakt. Losse commands hebben de voorkeur voor PO-stappen.</w:t>
            </w:r>
          </w:p>
        </w:tc>
      </w:tr>
      <w:tr>
        <w:tc>
          <w:tcPr>
            <w:tcW w:type="dxa" w:w="4986"/>
            <w:vAlign w:val="top"/>
          </w:tcPr>
          <w:p>
            <w:r>
              <w:rPr>
                <w:sz w:val="18"/>
              </w:rPr>
            </w:r>
            <w:r>
              <w:rPr>
                <w:b w:val="0"/>
                <w:sz w:val="18"/>
              </w:rPr>
              <w:t>Prompt/pager/editor verwarring</w:t>
            </w:r>
          </w:p>
        </w:tc>
        <w:tc>
          <w:tcPr>
            <w:tcW w:type="dxa" w:w="4986"/>
            <w:vAlign w:val="top"/>
          </w:tcPr>
          <w:p>
            <w:r>
              <w:rPr>
                <w:sz w:val="18"/>
              </w:rPr>
            </w:r>
            <w:r>
              <w:rPr>
                <w:b w:val="0"/>
                <w:sz w:val="18"/>
              </w:rPr>
              <w:t>Geen kopieerbare commando’s met PS-prompt erin. Gebruik git --no-pager waar mogelijk. Als een Git-pager toch opent: q.</w:t>
            </w:r>
          </w:p>
        </w:tc>
      </w:tr>
      <w:tr>
        <w:tc>
          <w:tcPr>
            <w:tcW w:type="dxa" w:w="4986"/>
            <w:vAlign w:val="top"/>
          </w:tcPr>
          <w:p>
            <w:r>
              <w:rPr>
                <w:sz w:val="18"/>
              </w:rPr>
            </w:r>
            <w:r>
              <w:rPr>
                <w:b w:val="0"/>
                <w:sz w:val="18"/>
              </w:rPr>
              <w:t>Containerpad verkeerd ingeschat</w:t>
            </w:r>
          </w:p>
        </w:tc>
        <w:tc>
          <w:tcPr>
            <w:tcW w:type="dxa" w:w="4986"/>
            <w:vAlign w:val="top"/>
          </w:tcPr>
          <w:p>
            <w:r>
              <w:rPr>
                <w:sz w:val="18"/>
              </w:rPr>
            </w:r>
            <w:r>
              <w:rPr>
                <w:b w:val="0"/>
                <w:sz w:val="18"/>
              </w:rPr>
              <w:t>Backendcode in container staat onder /app/app; runtime database staat onder /app/data/rezzerv.db.</w:t>
            </w:r>
          </w:p>
        </w:tc>
      </w:tr>
      <w:tr>
        <w:tc>
          <w:tcPr>
            <w:tcW w:type="dxa" w:w="4986"/>
            <w:vAlign w:val="top"/>
          </w:tcPr>
          <w:p>
            <w:r>
              <w:rPr>
                <w:sz w:val="18"/>
              </w:rPr>
            </w:r>
            <w:r>
              <w:rPr>
                <w:b w:val="0"/>
                <w:sz w:val="18"/>
              </w:rPr>
              <w:t>Patch aanwezig in bestand maar niet in runtime</w:t>
            </w:r>
          </w:p>
        </w:tc>
        <w:tc>
          <w:tcPr>
            <w:tcW w:type="dxa" w:w="4986"/>
            <w:vAlign w:val="top"/>
          </w:tcPr>
          <w:p>
            <w:r>
              <w:rPr>
                <w:sz w:val="18"/>
              </w:rPr>
            </w:r>
            <w:r>
              <w:rPr>
                <w:b w:val="0"/>
                <w:sz w:val="18"/>
              </w:rPr>
              <w:t>Na patch altijd lokaal diff/compile, Docker rebuild, en daarna container-codecontrole uitvoeren.</w:t>
            </w:r>
          </w:p>
        </w:tc>
      </w:tr>
      <w:tr>
        <w:tc>
          <w:tcPr>
            <w:tcW w:type="dxa" w:w="4986"/>
            <w:vAlign w:val="top"/>
          </w:tcPr>
          <w:p>
            <w:r>
              <w:rPr>
                <w:sz w:val="18"/>
              </w:rPr>
            </w:r>
            <w:r>
              <w:rPr>
                <w:b w:val="0"/>
                <w:sz w:val="18"/>
              </w:rPr>
              <w:t>GitHub PR-flow onduidelijk</w:t>
            </w:r>
          </w:p>
        </w:tc>
        <w:tc>
          <w:tcPr>
            <w:tcW w:type="dxa" w:w="4986"/>
            <w:vAlign w:val="top"/>
          </w:tcPr>
          <w:p>
            <w:r>
              <w:rPr>
                <w:sz w:val="18"/>
              </w:rPr>
            </w:r>
            <w:r>
              <w:rPr>
                <w:b w:val="0"/>
                <w:sz w:val="18"/>
              </w:rPr>
              <w:t>Featurebranch pushen met upstream, PR maken naar main, merge pas na checks/review, daarna lokaal main pullen en opnieuw valideren.</w:t>
            </w:r>
          </w:p>
        </w:tc>
      </w:tr>
    </w:tbl>
    <w:p>
      <w:r>
        <w:t>Rezzerv Doelarchitectuur Platform v2.18 - bijgewerkt na M2C2i-34</w:t>
      </w:r>
    </w:p>
    <w:p/>
    <w:p>
      <w:pPr>
        <w:pStyle w:val="Heading1"/>
      </w:pPr>
      <w:r>
        <w:t>31. Versie-update v2.19 - Artikelgroep als gebruikersordening</w:t>
      </w:r>
    </w:p>
    <w:p>
      <w:r>
        <w:t>Deze architectuurupdate volgt uit PR #153 en beperkt de betekenis van Artikelgroep expliciet tot gebruikersordening.</w:t>
      </w:r>
    </w:p>
    <w:p>
      <w:pPr>
        <w:pStyle w:val="ListBullet"/>
      </w:pPr>
      <w:r>
        <w:t>Artikelgroep is de user-facing ordeningslaag voor voorraadartikelen in Uitpakken.</w:t>
      </w:r>
    </w:p>
    <w:p>
      <w:pPr>
        <w:pStyle w:val="ListBullet"/>
      </w:pPr>
      <w:r>
        <w:t>Artikelgroep is geen productidentiteit, geen global_product en geen externe kandidaat.</w:t>
      </w:r>
    </w:p>
    <w:p>
      <w:pPr>
        <w:pStyle w:val="ListBullet"/>
      </w:pPr>
      <w:r>
        <w:t>Artikelnaam blijft de door Rezzerv herkende of voorgestelde artikelnaam.</w:t>
      </w:r>
    </w:p>
    <w:p>
      <w:pPr>
        <w:pStyle w:val="ListBullet"/>
      </w:pPr>
      <w:r>
        <w:t>De technische household-article-id blijft de interne sleutel voor unieke voorraadartikelen.</w:t>
      </w:r>
    </w:p>
    <w:p>
      <w:pPr>
        <w:pStyle w:val="ListBullet"/>
      </w:pPr>
      <w:r>
        <w:t>Externe databasekandidaten blijven beslisondersteuning en mogen niet impliciet artikelgroepen, producten of voorraadmutaties aanmaken.</w:t>
      </w:r>
    </w:p>
    <w:p>
      <w:pPr>
        <w:pStyle w:val="ListBullet"/>
      </w:pPr>
      <w:r>
        <w:t>Latere uitbreiding: huishoudens kunnen eigen artikelgroepen beheren via instellingen/datamodel, maar PR #153 implementeert dat nog niet.</w:t>
      </w:r>
    </w:p>
    <w:p>
      <w:pPr>
        <w:pStyle w:val="ListBullet"/>
      </w:pPr>
      <w:r>
        <w:t>PR #153 gemerged naar main: 98ad7466 Merge PR #153: Artikelgroep terminology.</w:t>
      </w:r>
    </w:p>
    <w:p>
      <w:pPr>
        <w:pStyle w:val="ListBullet"/>
      </w:pPr>
      <w:r>
        <w:t>Scope: alleen zichtbare terminologie in Uitpakken en Externe databases.</w:t>
      </w:r>
    </w:p>
    <w:p>
      <w:pPr>
        <w:pStyle w:val="ListBullet"/>
      </w:pPr>
      <w:r>
        <w:t>Geen databasewijziging, parserwijziging, OCR-wijziging, receipt-ingestionwijziging of voorraadmutatie.</w:t>
      </w:r>
    </w:p>
    <w:p>
      <w:pPr>
        <w:pStyle w:val="ListBullet"/>
      </w:pPr>
      <w:r>
        <w:t>Technische identifiers zoals household_article_id blijven ongemoeid.</w:t>
      </w:r>
    </w:p>
    <w:p>
      <w:pPr>
        <w:pStyle w:val="ListBullet"/>
      </w:pPr>
      <w:r>
        <w:t>docker compose up -d --build: geslaagd.</w:t>
      </w:r>
    </w:p>
    <w:p>
      <w:pPr>
        <w:pStyle w:val="ListBullet"/>
      </w:pPr>
      <w:r>
        <w:t>Backend health: status=ok.</w:t>
      </w:r>
    </w:p>
    <w:p>
      <w:pPr>
        <w:pStyle w:val="ListBullet"/>
      </w:pPr>
      <w:r>
        <w:t>Frontend-regressie: scripts/run-frontend-regression-report.ps1 -SkipDockerBuild, 15/15 Playwright-tests geslaagd.</w:t>
      </w:r>
    </w:p>
    <w:p>
      <w:r>
        <w:br w:type="page"/>
      </w:r>
    </w:p>
    <w:p>
      <w:pPr>
        <w:pStyle w:val="Heading1"/>
      </w:pPr>
      <w:r>
        <w:t>32. Versie-update v2.20 - Artikelgroepen naast universele artikelnamen</w:t>
      </w:r>
    </w:p>
    <w:p>
      <w:r>
        <w:t>Deze versie actualiseert de doelarchitectuur na de gerealiseerde uitbreiding van Artikelgroepen in Voorraad. Artikelgroepen vormen voortaan een expliciete, huishoudspecifieke ordeningslaag naast de universele artikelnaam en het huishoudartikel. De uitbreiding is functioneel getest en persistent bevonden in de lokale Docker-runtime.</w:t>
      </w:r>
    </w:p>
    <w:p>
      <w:pPr>
        <w:pStyle w:val="Heading2"/>
      </w:pPr>
      <w:r>
        <w:t>32.1 Begrippenmodel en domeinafbakening</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3D"/>
            <w:vAlign w:val="center"/>
          </w:tcPr>
          <w:p>
            <w:r/>
            <w:r>
              <w:rPr>
                <w:b/>
                <w:color w:val="FFFFFF"/>
              </w:rPr>
              <w:t>Begrip</w:t>
            </w:r>
          </w:p>
        </w:tc>
        <w:tc>
          <w:tcPr>
            <w:tcW w:type="dxa" w:w="3324"/>
            <w:shd w:fill="1F4E3D"/>
            <w:vAlign w:val="center"/>
          </w:tcPr>
          <w:p>
            <w:r/>
            <w:r>
              <w:rPr>
                <w:b/>
                <w:color w:val="FFFFFF"/>
              </w:rPr>
              <w:t>Betekenis</w:t>
            </w:r>
          </w:p>
        </w:tc>
        <w:tc>
          <w:tcPr>
            <w:tcW w:type="dxa" w:w="3324"/>
            <w:shd w:fill="1F4E3D"/>
            <w:vAlign w:val="center"/>
          </w:tcPr>
          <w:p>
            <w:r/>
            <w:r>
              <w:rPr>
                <w:b/>
                <w:color w:val="FFFFFF"/>
              </w:rPr>
              <w:t>Architectuurregel</w:t>
            </w:r>
          </w:p>
        </w:tc>
      </w:tr>
      <w:tr>
        <w:tc>
          <w:tcPr>
            <w:tcW w:type="dxa" w:w="3324"/>
            <w:vAlign w:val="center"/>
          </w:tcPr>
          <w:p>
            <w:r/>
            <w:r>
              <w:rPr>
                <w:b w:val="0"/>
              </w:rPr>
              <w:t>Universele artikelnaam</w:t>
            </w:r>
          </w:p>
        </w:tc>
        <w:tc>
          <w:tcPr>
            <w:tcW w:type="dxa" w:w="3324"/>
            <w:vAlign w:val="center"/>
          </w:tcPr>
          <w:p>
            <w:r/>
            <w:r>
              <w:rPr>
                <w:b w:val="0"/>
              </w:rPr>
              <w:t>De gestandaardiseerde, productgerichte naam op of via global_products.</w:t>
            </w:r>
          </w:p>
        </w:tc>
        <w:tc>
          <w:tcPr>
            <w:tcW w:type="dxa" w:w="3324"/>
            <w:vAlign w:val="center"/>
          </w:tcPr>
          <w:p>
            <w:r/>
            <w:r>
              <w:rPr>
                <w:b w:val="0"/>
              </w:rPr>
              <w:t>Huishoudonafhankelijk; mag worden verrijkt via GTIN, productidentiteiten en externe bronnen.</w:t>
            </w:r>
          </w:p>
        </w:tc>
      </w:tr>
      <w:tr>
        <w:tc>
          <w:tcPr>
            <w:tcW w:type="dxa" w:w="3324"/>
            <w:vAlign w:val="center"/>
          </w:tcPr>
          <w:p>
            <w:r/>
            <w:r>
              <w:rPr>
                <w:b w:val="0"/>
              </w:rPr>
              <w:t>Huishoudartikel</w:t>
            </w:r>
          </w:p>
        </w:tc>
        <w:tc>
          <w:tcPr>
            <w:tcW w:type="dxa" w:w="3324"/>
            <w:vAlign w:val="center"/>
          </w:tcPr>
          <w:p>
            <w:r/>
            <w:r>
              <w:rPr>
                <w:b w:val="0"/>
              </w:rPr>
              <w:t>Het functionele artikelanker binnen één huishouden, geïdentificeerd door household_article_id.</w:t>
            </w:r>
          </w:p>
        </w:tc>
        <w:tc>
          <w:tcPr>
            <w:tcW w:type="dxa" w:w="3324"/>
            <w:vAlign w:val="center"/>
          </w:tcPr>
          <w:p>
            <w:r/>
            <w:r>
              <w:rPr>
                <w:b w:val="0"/>
              </w:rPr>
              <w:t>Draagt huishoudspecifieke naam, instellingen, notities, voorraadkoppelingen en optioneel een Artikelgroep.</w:t>
            </w:r>
          </w:p>
        </w:tc>
      </w:tr>
      <w:tr>
        <w:tc>
          <w:tcPr>
            <w:tcW w:type="dxa" w:w="3324"/>
            <w:vAlign w:val="center"/>
          </w:tcPr>
          <w:p>
            <w:r/>
            <w:r>
              <w:rPr>
                <w:b w:val="0"/>
              </w:rPr>
              <w:t>Artikelgroep</w:t>
            </w:r>
          </w:p>
        </w:tc>
        <w:tc>
          <w:tcPr>
            <w:tcW w:type="dxa" w:w="3324"/>
            <w:vAlign w:val="center"/>
          </w:tcPr>
          <w:p>
            <w:r/>
            <w:r>
              <w:rPr>
                <w:b w:val="0"/>
              </w:rPr>
              <w:t>Door het huishouden gekozen ordening, bijvoorbeeld Pasta of Gereedschap.</w:t>
            </w:r>
          </w:p>
        </w:tc>
        <w:tc>
          <w:tcPr>
            <w:tcW w:type="dxa" w:w="3324"/>
            <w:vAlign w:val="center"/>
          </w:tcPr>
          <w:p>
            <w:r/>
            <w:r>
              <w:rPr>
                <w:b w:val="0"/>
              </w:rPr>
              <w:t>Uitsluitend huishoudspecifiek en handmatig; geen productcategorie en geen universele productwaarheid.</w:t>
            </w:r>
          </w:p>
        </w:tc>
      </w:tr>
      <w:tr>
        <w:tc>
          <w:tcPr>
            <w:tcW w:type="dxa" w:w="3324"/>
            <w:vAlign w:val="center"/>
          </w:tcPr>
          <w:p>
            <w:r/>
            <w:r>
              <w:rPr>
                <w:b w:val="0"/>
              </w:rPr>
              <w:t>Voorraadregel</w:t>
            </w:r>
          </w:p>
        </w:tc>
        <w:tc>
          <w:tcPr>
            <w:tcW w:type="dxa" w:w="3324"/>
            <w:vAlign w:val="center"/>
          </w:tcPr>
          <w:p>
            <w:r/>
            <w:r>
              <w:rPr>
                <w:b w:val="0"/>
              </w:rPr>
              <w:t>Actuele hoeveelheid en locatie voor een huishoudartikel.</w:t>
            </w:r>
          </w:p>
        </w:tc>
        <w:tc>
          <w:tcPr>
            <w:tcW w:type="dxa" w:w="3324"/>
            <w:vAlign w:val="center"/>
          </w:tcPr>
          <w:p>
            <w:r/>
            <w:r>
              <w:rPr>
                <w:b w:val="0"/>
              </w:rPr>
              <w:t>Verwijst rechtstreeks naar household_article_id; naamvergelijking is geen geldige sleutel.</w:t>
            </w:r>
          </w:p>
        </w:tc>
      </w:tr>
    </w:tbl>
    <w:p>
      <w:pPr>
        <w:pStyle w:val="ListBullet"/>
      </w:pPr>
      <w:r>
        <w:t>Artikelgroep en universele artikelnaam bestaan naast elkaar en mogen niet in elkaar worden geconverteerd.</w:t>
      </w:r>
    </w:p>
    <w:p>
      <w:pPr>
        <w:pStyle w:val="ListBullet"/>
      </w:pPr>
      <w:r>
        <w:t>Een Artikelgroep mag niet automatisch worden afgeleid uit barcode, GTIN, kassabontekst, winkel-SKU, externe kandidaat of global_product.</w:t>
      </w:r>
    </w:p>
    <w:p>
      <w:pPr>
        <w:pStyle w:val="ListBullet"/>
      </w:pPr>
      <w:r>
        <w:t>Productherkenning en verrijking mogen een bestaande Artikelgroep nooit overschrijven.</w:t>
      </w:r>
    </w:p>
    <w:p>
      <w:pPr>
        <w:pStyle w:val="ListBullet"/>
      </w:pPr>
      <w:r>
        <w:t>Artikelgroepbeheer en Artikelgroeptoewijzing vinden altijd plaats binnen de actieve household-context.</w:t>
      </w:r>
    </w:p>
    <w:p>
      <w:pPr>
        <w:pStyle w:val="Heading2"/>
      </w:pPr>
      <w:r>
        <w:t>32.2 Nieuwe functionele plaats in het domeinlandschap</w:t>
      </w:r>
    </w:p>
    <w:p>
      <w:r>
        <w:t>Artikelgroepen behoren architectonisch tot het domein Huishoudartikelen. Zij ondersteunen gebruikersordening in Voorraad, Uitpakken, Artikeldetail en toekomstige zoek-, filter- en inzichtfuncties. Zij behoren niet tot de centrale productcatalogus en hebben geen directe relatie met receipt parsing of externe productdatabases.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3D"/>
            <w:vAlign w:val="center"/>
          </w:tcPr>
          <w:p>
            <w:r/>
            <w:r>
              <w:rPr>
                <w:b/>
                <w:color w:val="FFFFFF"/>
              </w:rPr>
              <w:t>Domein</w:t>
            </w:r>
          </w:p>
        </w:tc>
        <w:tc>
          <w:tcPr>
            <w:tcW w:type="dxa" w:w="3324"/>
            <w:shd w:fill="1F4E3D"/>
            <w:vAlign w:val="center"/>
          </w:tcPr>
          <w:p>
            <w:r/>
            <w:r>
              <w:rPr>
                <w:b/>
                <w:color w:val="FFFFFF"/>
              </w:rPr>
              <w:t>Nieuwe verantwoordelijkheid</w:t>
            </w:r>
          </w:p>
        </w:tc>
        <w:tc>
          <w:tcPr>
            <w:tcW w:type="dxa" w:w="3324"/>
            <w:shd w:fill="1F4E3D"/>
            <w:vAlign w:val="center"/>
          </w:tcPr>
          <w:p>
            <w:r/>
            <w:r>
              <w:rPr>
                <w:b/>
                <w:color w:val="FFFFFF"/>
              </w:rPr>
              <w:t>Niet toegestaan</w:t>
            </w:r>
          </w:p>
        </w:tc>
      </w:tr>
      <w:tr>
        <w:tc>
          <w:tcPr>
            <w:tcW w:type="dxa" w:w="3324"/>
            <w:vAlign w:val="center"/>
          </w:tcPr>
          <w:p>
            <w:r/>
            <w:r>
              <w:rPr>
                <w:b w:val="0"/>
              </w:rPr>
              <w:t>Huishoudartikelen</w:t>
            </w:r>
          </w:p>
        </w:tc>
        <w:tc>
          <w:tcPr>
            <w:tcW w:type="dxa" w:w="3324"/>
            <w:vAlign w:val="center"/>
          </w:tcPr>
          <w:p>
            <w:r/>
            <w:r>
              <w:rPr>
                <w:b w:val="0"/>
              </w:rPr>
              <w:t>Opslaan van de optionele article_group_id en bewaken dat groep en artikel tot hetzelfde huishouden behoren.</w:t>
            </w:r>
          </w:p>
        </w:tc>
        <w:tc>
          <w:tcPr>
            <w:tcW w:type="dxa" w:w="3324"/>
            <w:vAlign w:val="center"/>
          </w:tcPr>
          <w:p>
            <w:r/>
            <w:r>
              <w:rPr>
                <w:b w:val="0"/>
              </w:rPr>
              <w:t>Cross-household koppelingen of automatische toewijzing.</w:t>
            </w:r>
          </w:p>
        </w:tc>
      </w:tr>
      <w:tr>
        <w:tc>
          <w:tcPr>
            <w:tcW w:type="dxa" w:w="3324"/>
            <w:vAlign w:val="center"/>
          </w:tcPr>
          <w:p>
            <w:r/>
            <w:r>
              <w:rPr>
                <w:b w:val="0"/>
              </w:rPr>
              <w:t>Voorraad</w:t>
            </w:r>
          </w:p>
        </w:tc>
        <w:tc>
          <w:tcPr>
            <w:tcW w:type="dxa" w:w="3324"/>
            <w:vAlign w:val="center"/>
          </w:tcPr>
          <w:p>
            <w:r/>
            <w:r>
              <w:rPr>
                <w:b w:val="0"/>
              </w:rPr>
              <w:t>Artikelgroep tonen en wijziging door bevoegde gebruiker doorgeven via household_article_id.</w:t>
            </w:r>
          </w:p>
        </w:tc>
        <w:tc>
          <w:tcPr>
            <w:tcW w:type="dxa" w:w="3324"/>
            <w:vAlign w:val="center"/>
          </w:tcPr>
          <w:p>
            <w:r/>
            <w:r>
              <w:rPr>
                <w:b w:val="0"/>
              </w:rPr>
              <w:t>Koppelen op artikelnaam of een frontend-resolver die namen probeert te reconstrueren.</w:t>
            </w:r>
          </w:p>
        </w:tc>
      </w:tr>
      <w:tr>
        <w:tc>
          <w:tcPr>
            <w:tcW w:type="dxa" w:w="3324"/>
            <w:vAlign w:val="center"/>
          </w:tcPr>
          <w:p>
            <w:r/>
            <w:r>
              <w:rPr>
                <w:b w:val="0"/>
              </w:rPr>
              <w:t>Instellingen / Artikelgroepen</w:t>
            </w:r>
          </w:p>
        </w:tc>
        <w:tc>
          <w:tcPr>
            <w:tcW w:type="dxa" w:w="3324"/>
            <w:vAlign w:val="center"/>
          </w:tcPr>
          <w:p>
            <w:r/>
            <w:r>
              <w:rPr>
                <w:b w:val="0"/>
              </w:rPr>
              <w:t>Groepen tonen en door beheerder laten toevoegen.</w:t>
            </w:r>
          </w:p>
        </w:tc>
        <w:tc>
          <w:tcPr>
            <w:tcW w:type="dxa" w:w="3324"/>
            <w:vAlign w:val="center"/>
          </w:tcPr>
          <w:p>
            <w:r/>
            <w:r>
              <w:rPr>
                <w:b w:val="0"/>
              </w:rPr>
              <w:t>Standaardgroepen stilzwijgend aanmaken of groepen globaal delen.</w:t>
            </w:r>
          </w:p>
        </w:tc>
      </w:tr>
      <w:tr>
        <w:tc>
          <w:tcPr>
            <w:tcW w:type="dxa" w:w="3324"/>
            <w:vAlign w:val="center"/>
          </w:tcPr>
          <w:p>
            <w:r/>
            <w:r>
              <w:rPr>
                <w:b w:val="0"/>
              </w:rPr>
              <w:t>Productcatalogus</w:t>
            </w:r>
          </w:p>
        </w:tc>
        <w:tc>
          <w:tcPr>
            <w:tcW w:type="dxa" w:w="3324"/>
            <w:vAlign w:val="center"/>
          </w:tcPr>
          <w:p>
            <w:r/>
            <w:r>
              <w:rPr>
                <w:b w:val="0"/>
              </w:rPr>
              <w:t>Universele artikelnaam en productidentiteiten blijven beheren.</w:t>
            </w:r>
          </w:p>
        </w:tc>
        <w:tc>
          <w:tcPr>
            <w:tcW w:type="dxa" w:w="3324"/>
            <w:vAlign w:val="center"/>
          </w:tcPr>
          <w:p>
            <w:r/>
            <w:r>
              <w:rPr>
                <w:b w:val="0"/>
              </w:rPr>
              <w:t>Artikelgroep behandelen als productcategorie of enrichment.</w:t>
            </w:r>
          </w:p>
        </w:tc>
      </w:tr>
    </w:tbl>
    <w:p>
      <w:pPr>
        <w:pStyle w:val="Heading2"/>
      </w:pPr>
      <w:r>
        <w:t>32.3 Autorisatie en gebruikersgedrag</w:t>
      </w:r>
    </w:p>
    <w:p>
      <w:pPr>
        <w:pStyle w:val="ListBullet"/>
      </w:pPr>
      <w:r>
        <w:t>Beheerder: mag Artikelgroepen toevoegen en bestaande huishoudartikelen aan een Artikelgroep koppelen of ontkoppelen.</w:t>
      </w:r>
    </w:p>
    <w:p>
      <w:pPr>
        <w:pStyle w:val="ListBullet"/>
      </w:pPr>
      <w:r>
        <w:t>Lid met mutatierecht: mag de Artikelgroep van een huishoudartikel wijzigen, maar maakt geen nieuwe Artikelgroepen aan tenzij dit expliciet via rechten wordt toegestaan.</w:t>
      </w:r>
    </w:p>
    <w:p>
      <w:pPr>
        <w:pStyle w:val="ListBullet"/>
      </w:pPr>
      <w:r>
        <w:t>Viewer: ziet de Artikelgroep, maar de selectie is niet wijzigbaar.</w:t>
      </w:r>
    </w:p>
    <w:p>
      <w:pPr>
        <w:pStyle w:val="ListBullet"/>
      </w:pPr>
      <w:r>
        <w:t>Na een geslaagde wijziging blijft de selectie zichtbaar na verlaten, terugkeren en hard-refresh.</w:t>
      </w:r>
    </w:p>
    <w:p>
      <w:pPr>
        <w:pStyle w:val="ListBullet"/>
      </w:pPr>
      <w:r>
        <w:t>Normale opslagfeedback wordt als bevestiging getoond; een mislukte opslag mag niet als blijvende rode inline tekst tussen de tabelregels worden gepresenteerd.</w:t>
      </w:r>
    </w:p>
    <w:p>
      <w:pPr>
        <w:pStyle w:val="Heading2"/>
      </w:pPr>
      <w:r>
        <w:t>32.4 Huishoudafscherming als harde architectuurnorm</w:t>
      </w:r>
    </w:p>
    <w:p>
      <w:r>
        <w:t>Tijdens de functionele validatie werd vastgesteld dat een ontwikkel-previewroute voorraadregels uit household 1 en demo-household tegelijk terugstuurde. Daardoor leken sommige Artikelgroepen wijzigbaar en andere niet. De onderliggende Artikelgroepen-API functioneerde correct; de readroute schond de household-grens.</w:t>
      </w:r>
    </w:p>
    <w:p>
      <w:pPr>
        <w:pStyle w:val="ListBullet"/>
      </w:pPr>
      <w:r>
        <w:t>Elke voorraadquery filtert expliciet op de actieve household_id uit de geautoriseerde requestcontext.</w:t>
      </w:r>
    </w:p>
    <w:p>
      <w:pPr>
        <w:pStyle w:val="ListBullet"/>
      </w:pPr>
      <w:r>
        <w:t>Een household_article en de gekoppelde inventory-regel moeten dezelfde household_id hebben.</w:t>
      </w:r>
    </w:p>
    <w:p>
      <w:pPr>
        <w:pStyle w:val="ListBullet"/>
      </w:pPr>
      <w:r>
        <w:t>Artikelgroep en household_article moeten tot hetzelfde huishouden behoren; een cross-household PUT wordt afgewezen.</w:t>
      </w:r>
    </w:p>
    <w:p>
      <w:pPr>
        <w:pStyle w:val="ListBullet"/>
      </w:pPr>
      <w:r>
        <w:t>Diagnose- en devroutes volgen dezelfde huishoudafscherming als productieachtige routes en mogen geen data van meerdere huishoudens mengen.</w:t>
      </w:r>
    </w:p>
    <w:p>
      <w:pPr>
        <w:pStyle w:val="Heading2"/>
      </w:pPr>
      <w:r>
        <w:t>32.5 Sleutel- en gegevensinvarianten</w:t>
      </w:r>
    </w:p>
    <w:tbl>
      <w:tblPr>
        <w:tblStyle w:val="TableGrid"/>
        <w:tblW w:type="auto" w:w="0"/>
        <w:jc w:val="center"/>
        <w:tblLook w:firstColumn="1" w:firstRow="1" w:lastColumn="0" w:lastRow="0" w:noHBand="0" w:noVBand="1" w:val="04A0"/>
      </w:tblPr>
      <w:tblGrid>
        <w:gridCol w:w="4986"/>
        <w:gridCol w:w="4986"/>
      </w:tblGrid>
      <w:tr>
        <w:tc>
          <w:tcPr>
            <w:tcW w:type="dxa" w:w="4986"/>
            <w:shd w:fill="1F4E3D"/>
            <w:vAlign w:val="center"/>
          </w:tcPr>
          <w:p>
            <w:r/>
            <w:r>
              <w:rPr>
                <w:b/>
                <w:color w:val="FFFFFF"/>
              </w:rPr>
              <w:t>Invariant</w:t>
            </w:r>
          </w:p>
        </w:tc>
        <w:tc>
          <w:tcPr>
            <w:tcW w:type="dxa" w:w="4986"/>
            <w:shd w:fill="1F4E3D"/>
            <w:vAlign w:val="center"/>
          </w:tcPr>
          <w:p>
            <w:r/>
            <w:r>
              <w:rPr>
                <w:b/>
                <w:color w:val="FFFFFF"/>
              </w:rPr>
              <w:t>Norm</w:t>
            </w:r>
          </w:p>
        </w:tc>
      </w:tr>
      <w:tr>
        <w:tc>
          <w:tcPr>
            <w:tcW w:type="dxa" w:w="4986"/>
            <w:vAlign w:val="center"/>
          </w:tcPr>
          <w:p>
            <w:r/>
            <w:r>
              <w:rPr>
                <w:b w:val="0"/>
              </w:rPr>
              <w:t>inventory.household_article_id</w:t>
            </w:r>
          </w:p>
        </w:tc>
        <w:tc>
          <w:tcPr>
            <w:tcW w:type="dxa" w:w="4986"/>
            <w:vAlign w:val="center"/>
          </w:tcPr>
          <w:p>
            <w:r/>
            <w:r>
              <w:rPr>
                <w:b w:val="0"/>
              </w:rPr>
              <w:t>Voor elke actieve voorraadregel aanwezig en verwijzend naar een bestaand household_article.</w:t>
            </w:r>
          </w:p>
        </w:tc>
      </w:tr>
      <w:tr>
        <w:tc>
          <w:tcPr>
            <w:tcW w:type="dxa" w:w="4986"/>
            <w:vAlign w:val="center"/>
          </w:tcPr>
          <w:p>
            <w:r/>
            <w:r>
              <w:rPr>
                <w:b w:val="0"/>
              </w:rPr>
              <w:t>inventory_events.household_article_id</w:t>
            </w:r>
          </w:p>
        </w:tc>
        <w:tc>
          <w:tcPr>
            <w:tcW w:type="dxa" w:w="4986"/>
            <w:vAlign w:val="center"/>
          </w:tcPr>
          <w:p>
            <w:r/>
            <w:r>
              <w:rPr>
                <w:b w:val="0"/>
              </w:rPr>
              <w:t>Wordt bij nieuwe mutaties vastgelegd zodat audit en projectie hetzelfde artikelanker gebruiken.</w:t>
            </w:r>
          </w:p>
        </w:tc>
      </w:tr>
      <w:tr>
        <w:tc>
          <w:tcPr>
            <w:tcW w:type="dxa" w:w="4986"/>
            <w:vAlign w:val="center"/>
          </w:tcPr>
          <w:p>
            <w:r/>
            <w:r>
              <w:rPr>
                <w:b w:val="0"/>
              </w:rPr>
              <w:t>Household-consistentie</w:t>
            </w:r>
          </w:p>
        </w:tc>
        <w:tc>
          <w:tcPr>
            <w:tcW w:type="dxa" w:w="4986"/>
            <w:vAlign w:val="center"/>
          </w:tcPr>
          <w:p>
            <w:r/>
            <w:r>
              <w:rPr>
                <w:b w:val="0"/>
              </w:rPr>
              <w:t>inventory.household_id = household_articles.household_id = actieve request-household.</w:t>
            </w:r>
          </w:p>
        </w:tc>
      </w:tr>
      <w:tr>
        <w:tc>
          <w:tcPr>
            <w:tcW w:type="dxa" w:w="4986"/>
            <w:vAlign w:val="center"/>
          </w:tcPr>
          <w:p>
            <w:r/>
            <w:r>
              <w:rPr>
                <w:b w:val="0"/>
              </w:rPr>
              <w:t>Artikelgroep-consistentie</w:t>
            </w:r>
          </w:p>
        </w:tc>
        <w:tc>
          <w:tcPr>
            <w:tcW w:type="dxa" w:w="4986"/>
            <w:vAlign w:val="center"/>
          </w:tcPr>
          <w:p>
            <w:r/>
            <w:r>
              <w:rPr>
                <w:b w:val="0"/>
              </w:rPr>
              <w:t>household_articles.article_group_id is null of verwijst naar een actieve groep van hetzelfde huishouden.</w:t>
            </w:r>
          </w:p>
        </w:tc>
      </w:tr>
      <w:tr>
        <w:tc>
          <w:tcPr>
            <w:tcW w:type="dxa" w:w="4986"/>
            <w:vAlign w:val="center"/>
          </w:tcPr>
          <w:p>
            <w:r/>
            <w:r>
              <w:rPr>
                <w:b w:val="0"/>
              </w:rPr>
              <w:t>Frontend-contract</w:t>
            </w:r>
          </w:p>
        </w:tc>
        <w:tc>
          <w:tcPr>
            <w:tcW w:type="dxa" w:w="4986"/>
            <w:vAlign w:val="center"/>
          </w:tcPr>
          <w:p>
            <w:r/>
            <w:r>
              <w:rPr>
                <w:b w:val="0"/>
              </w:rPr>
              <w:t>Voorraad gebruikt row.householdArticleId rechtstreeks; geen naamgebaseerde herstel- of zoeklogica.</w:t>
            </w:r>
          </w:p>
        </w:tc>
      </w:tr>
    </w:tbl>
    <w:p>
      <w:pPr>
        <w:pStyle w:val="Heading2"/>
      </w:pPr>
      <w:r>
        <w:t>32.6 API- en UI-richting</w:t>
      </w:r>
    </w:p>
    <w:p>
      <w:pPr>
        <w:pStyle w:val="ListBullet"/>
      </w:pPr>
      <w:r>
        <w:t>Voorraad leest household_article_id mee in de voorraadresponse en gebruikt dit ID voor opslag van de Artikelgroep.</w:t>
      </w:r>
    </w:p>
    <w:p>
      <w:pPr>
        <w:pStyle w:val="ListBullet"/>
      </w:pPr>
      <w:r>
        <w:t>De Voorraadtabel bevat een kolom Artikelgroep met filtermogelijkheid en een selectievak per regel.</w:t>
      </w:r>
    </w:p>
    <w:p>
      <w:pPr>
        <w:pStyle w:val="ListBullet"/>
      </w:pPr>
      <w:r>
        <w:t>De Artikelgroeplijst bevat altijd de neutrale keuze Niet ingedeeld naast actieve huishoudgroepen.</w:t>
      </w:r>
    </w:p>
    <w:p>
      <w:pPr>
        <w:pStyle w:val="ListBullet"/>
      </w:pPr>
      <w:r>
        <w:t>De UI mag optimistisch bijwerken, maar moet bij API-falen terugrollen naar de vorige selectie.</w:t>
      </w:r>
    </w:p>
    <w:p>
      <w:pPr>
        <w:pStyle w:val="ListBullet"/>
      </w:pPr>
      <w:r>
        <w:t>De app toont uitsluitend voorraadregels van het actieve huishouden; records uit demo- of testhuishoudens zijn niet zichtbaar in een ander huishouden.</w:t>
      </w:r>
    </w:p>
    <w:p>
      <w:pPr>
        <w:pStyle w:val="Heading2"/>
      </w:pPr>
      <w:r>
        <w:t>32.7 Acceptatiecriteria</w:t>
      </w:r>
    </w:p>
    <w:p>
      <w:pPr>
        <w:pStyle w:val="ListBullet"/>
      </w:pPr>
      <w:r>
        <w:t>Alle zichtbare voorraadregels hebben een geldig household_article_id.</w:t>
      </w:r>
    </w:p>
    <w:p>
      <w:pPr>
        <w:pStyle w:val="ListBullet"/>
      </w:pPr>
      <w:r>
        <w:t>Een bevoegde gebruiker kan bij ieder zichtbaar artikel dezelfde geldige Artikelgroepen kiezen.</w:t>
      </w:r>
    </w:p>
    <w:p>
      <w:pPr>
        <w:pStyle w:val="ListBullet"/>
      </w:pPr>
      <w:r>
        <w:t>De gekozen Artikelgroep blijft na Ctrl+F5 en opnieuw openen van Voorraad behouden.</w:t>
      </w:r>
    </w:p>
    <w:p>
      <w:pPr>
        <w:pStyle w:val="ListBullet"/>
      </w:pPr>
      <w:r>
        <w:t>Een viewer kan de Artikelgroep zien maar niet wijzigen.</w:t>
      </w:r>
    </w:p>
    <w:p>
      <w:pPr>
        <w:pStyle w:val="ListBullet"/>
      </w:pPr>
      <w:r>
        <w:t>Een beheerder kan een nieuwe Artikelgroep toevoegen; niet-beheerders zien geen onbevoegde toevoegactie.</w:t>
      </w:r>
    </w:p>
    <w:p>
      <w:pPr>
        <w:pStyle w:val="ListBullet"/>
      </w:pPr>
      <w:r>
        <w:t>Geen Artikelgroep wordt automatisch aangemaakt of toegewezen vanuit productherkenning, GTIN of externe databases.</w:t>
      </w:r>
    </w:p>
    <w:p>
      <w:pPr>
        <w:pStyle w:val="ListBullet"/>
      </w:pPr>
      <w:r>
        <w:t>Geen voorraadregel uit een ander huishouden verschijnt in de actieve household-context.</w:t>
      </w:r>
    </w:p>
    <w:p>
      <w:pPr>
        <w:pStyle w:val="ListBullet"/>
      </w:pPr>
      <w:r>
        <w:t>De Docker-build, backend-healthcheck en relevante regressie zijn groen voordat de uitbreiding als releasekandidaat geldt.</w:t>
      </w:r>
    </w:p>
    <w:p>
      <w:pPr>
        <w:pStyle w:val="Heading2"/>
      </w:pPr>
      <w:r>
        <w:t>32.8 Gevolg voor roadmap</w:t>
      </w:r>
    </w:p>
    <w:p>
      <w:r>
        <w:t>Artikelgroepen zijn niet langer alleen terminologie of roadmapconcept, maar een gerealiseerde huishoudordening in Voorraad. Vervolgstappen mogen filtering, Artikeldetail en Uitpakken verder aansluiten, mits de handmatige huishoudspecifieke betekenis, directe household_article_id-koppeling en huishoudafscherming behouden blijven.</w:t>
      </w:r>
    </w:p>
    <w:p>
      <w:pPr>
        <w:pStyle w:val="Heading1"/>
      </w:pPr>
      <w:r>
        <w:t>33. Aanvulling v2.21 - Van universeel artikel naar Producttype-aggregatie</w:t>
      </w:r>
    </w:p>
    <w:p>
      <w:r>
        <w:t>De doelarchitectuur krijgt een extra semantische laag: Producttype. Hiermee kan Rezzerv concrete universele artikelen van verschillende merken en verpakkingen onder één merk-onafhankelijk type aggregeren zonder Artikelgroepen of productgroepen te misbruiken.</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r>
              <w:rPr>
                <w:b/>
              </w:rPr>
              <w:t>Onderdeel</w:t>
            </w:r>
          </w:p>
        </w:tc>
        <w:tc>
          <w:tcPr>
            <w:tcW w:type="dxa" w:w="4986"/>
            <w:vAlign w:val="center"/>
          </w:tcPr>
          <w:p>
            <w:r>
              <w:rPr>
                <w:b/>
              </w:rPr>
              <w:t>Vastgelegde status</w:t>
            </w:r>
          </w:p>
        </w:tc>
      </w:tr>
      <w:tr>
        <w:tc>
          <w:tcPr>
            <w:tcW w:type="dxa" w:w="4986"/>
            <w:vAlign w:val="top"/>
          </w:tcPr>
          <w:p>
            <w:r>
              <w:t>Gerealiseerde basis</w:t>
            </w:r>
          </w:p>
        </w:tc>
        <w:tc>
          <w:tcPr>
            <w:tcW w:type="dxa" w:w="4986"/>
            <w:vAlign w:val="top"/>
          </w:tcPr>
          <w:p>
            <w:r>
              <w:t>PR #155, main 8e9f8d41</w:t>
            </w:r>
          </w:p>
        </w:tc>
      </w:tr>
      <w:tr>
        <w:tc>
          <w:tcPr>
            <w:tcW w:type="dxa" w:w="4986"/>
            <w:vAlign w:val="top"/>
          </w:tcPr>
          <w:p>
            <w:r>
              <w:t>Externe search</w:t>
            </w:r>
          </w:p>
        </w:tc>
        <w:tc>
          <w:tcPr>
            <w:tcW w:type="dxa" w:w="4986"/>
            <w:vAlign w:val="top"/>
          </w:tcPr>
          <w:p>
            <w:r>
              <w:t>Tijdelijke, read-only OFF-resultaten</w:t>
            </w:r>
          </w:p>
        </w:tc>
      </w:tr>
      <w:tr>
        <w:tc>
          <w:tcPr>
            <w:tcW w:type="dxa" w:w="4986"/>
            <w:vAlign w:val="top"/>
          </w:tcPr>
          <w:p>
            <w:r>
              <w:t>Permanente productlaag</w:t>
            </w:r>
          </w:p>
        </w:tc>
        <w:tc>
          <w:tcPr>
            <w:tcW w:type="dxa" w:w="4986"/>
            <w:vAlign w:val="top"/>
          </w:tcPr>
          <w:p>
            <w:r>
              <w:t>global_product plus product identities</w:t>
            </w:r>
          </w:p>
        </w:tc>
      </w:tr>
      <w:tr>
        <w:tc>
          <w:tcPr>
            <w:tcW w:type="dxa" w:w="4986"/>
            <w:vAlign w:val="top"/>
          </w:tcPr>
          <w:p>
            <w:r>
              <w:t>Nieuwe aggregatielaag</w:t>
            </w:r>
          </w:p>
        </w:tc>
        <w:tc>
          <w:tcPr>
            <w:tcW w:type="dxa" w:w="4986"/>
            <w:vAlign w:val="top"/>
          </w:tcPr>
          <w:p>
            <w:r>
              <w:t>product_type met bevestigde primaire mapping</w:t>
            </w:r>
          </w:p>
        </w:tc>
      </w:tr>
      <w:tr>
        <w:tc>
          <w:tcPr>
            <w:tcW w:type="dxa" w:w="4986"/>
            <w:vAlign w:val="top"/>
          </w:tcPr>
          <w:p>
            <w:r>
              <w:t>Voorraadwaarheid</w:t>
            </w:r>
          </w:p>
        </w:tc>
        <w:tc>
          <w:tcPr>
            <w:tcW w:type="dxa" w:w="4986"/>
            <w:vAlign w:val="top"/>
          </w:tcPr>
          <w:p>
            <w:r>
              <w:t>inventory en inventory_events blijven SSOT</w:t>
            </w:r>
          </w:p>
        </w:tc>
      </w:tr>
    </w:tbl>
    <w:p>
      <w:pPr>
        <w:pStyle w:val="Heading2"/>
      </w:pPr>
      <w:r>
        <w:t>33.1 Gelaagd productmodel</w:t>
      </w:r>
    </w:p>
    <w:p>
      <w:pPr>
        <w:pStyle w:val="ListBullet"/>
      </w:pPr>
      <w:r>
        <w:t>Receipt item is bronbewijs en geen productidentiteit.</w:t>
      </w:r>
    </w:p>
    <w:p>
      <w:pPr>
        <w:pStyle w:val="ListBullet"/>
      </w:pPr>
      <w:r>
        <w:t>Household article is het huishoudspecifieke beheeranker.</w:t>
      </w:r>
    </w:p>
    <w:p>
      <w:pPr>
        <w:pStyle w:val="ListBullet"/>
      </w:pPr>
      <w:r>
        <w:t>Global product is het concrete merk-/verpakkingsproduct.</w:t>
      </w:r>
    </w:p>
    <w:p>
      <w:pPr>
        <w:pStyle w:val="ListBullet"/>
      </w:pPr>
      <w:r>
        <w:t>Producttype is merk- en verpakkingsonafhankelijk en ondersteunt voorraadaggregatie.</w:t>
      </w:r>
    </w:p>
    <w:p>
      <w:pPr>
        <w:pStyle w:val="ListBullet"/>
      </w:pPr>
      <w:r>
        <w:t>Artikelgroep blijft vrije huishoudordening.</w:t>
      </w:r>
    </w:p>
    <w:p>
      <w:pPr>
        <w:pStyle w:val="ListBullet"/>
      </w:pPr>
      <w:r>
        <w:t>GPC/FoodOn/FoodEx2 zijn externe classificatiereferenties en niet de interne primaire sleutel.</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Pr>
          <w:p>
            <w:r>
              <w:rPr>
                <w:b/>
              </w:rPr>
              <w:t>Laag</w:t>
            </w:r>
          </w:p>
        </w:tc>
        <w:tc>
          <w:tcPr>
            <w:tcW w:type="dxa" w:w="3324"/>
            <w:vAlign w:val="center"/>
          </w:tcPr>
          <w:p>
            <w:r>
              <w:rPr>
                <w:b/>
              </w:rPr>
              <w:t>Cardinaliteit</w:t>
            </w:r>
          </w:p>
        </w:tc>
        <w:tc>
          <w:tcPr>
            <w:tcW w:type="dxa" w:w="3324"/>
            <w:vAlign w:val="center"/>
          </w:tcPr>
          <w:p>
            <w:r>
              <w:rPr>
                <w:b/>
              </w:rPr>
              <w:t>Voorbeeld</w:t>
            </w:r>
          </w:p>
        </w:tc>
      </w:tr>
      <w:tr>
        <w:tc>
          <w:tcPr>
            <w:tcW w:type="dxa" w:w="3324"/>
            <w:vAlign w:val="top"/>
          </w:tcPr>
          <w:p>
            <w:r>
              <w:t>Household article</w:t>
            </w:r>
          </w:p>
        </w:tc>
        <w:tc>
          <w:tcPr>
            <w:tcW w:type="dxa" w:w="3324"/>
            <w:vAlign w:val="top"/>
          </w:tcPr>
          <w:p>
            <w:r>
              <w:t>per huishouden</w:t>
            </w:r>
          </w:p>
        </w:tc>
        <w:tc>
          <w:tcPr>
            <w:tcW w:type="dxa" w:w="3324"/>
            <w:vAlign w:val="top"/>
          </w:tcPr>
          <w:p>
            <w:r>
              <w:t>Melk voor ontbijt</w:t>
            </w:r>
          </w:p>
        </w:tc>
      </w:tr>
      <w:tr>
        <w:tc>
          <w:tcPr>
            <w:tcW w:type="dxa" w:w="3324"/>
            <w:vAlign w:val="top"/>
          </w:tcPr>
          <w:p>
            <w:r>
              <w:t>Global product</w:t>
            </w:r>
          </w:p>
        </w:tc>
        <w:tc>
          <w:tcPr>
            <w:tcW w:type="dxa" w:w="3324"/>
            <w:vAlign w:val="top"/>
          </w:tcPr>
          <w:p>
            <w:r>
              <w:t>gedeeld concreet product</w:t>
            </w:r>
          </w:p>
        </w:tc>
        <w:tc>
          <w:tcPr>
            <w:tcW w:type="dxa" w:w="3324"/>
            <w:vAlign w:val="top"/>
          </w:tcPr>
          <w:p>
            <w:r>
              <w:t>Campina Halfvolle Melk 1 L</w:t>
            </w:r>
          </w:p>
        </w:tc>
      </w:tr>
      <w:tr>
        <w:tc>
          <w:tcPr>
            <w:tcW w:type="dxa" w:w="3324"/>
            <w:vAlign w:val="top"/>
          </w:tcPr>
          <w:p>
            <w:r>
              <w:t>Producttype</w:t>
            </w:r>
          </w:p>
        </w:tc>
        <w:tc>
          <w:tcPr>
            <w:tcW w:type="dxa" w:w="3324"/>
            <w:vAlign w:val="top"/>
          </w:tcPr>
          <w:p>
            <w:r>
              <w:t>meerdere global products</w:t>
            </w:r>
          </w:p>
        </w:tc>
        <w:tc>
          <w:tcPr>
            <w:tcW w:type="dxa" w:w="3324"/>
            <w:vAlign w:val="top"/>
          </w:tcPr>
          <w:p>
            <w:r>
              <w:t>Halfvolle koemelk</w:t>
            </w:r>
          </w:p>
        </w:tc>
      </w:tr>
      <w:tr>
        <w:tc>
          <w:tcPr>
            <w:tcW w:type="dxa" w:w="3324"/>
            <w:vAlign w:val="top"/>
          </w:tcPr>
          <w:p>
            <w:r>
              <w:t>Artikelgroep</w:t>
            </w:r>
          </w:p>
        </w:tc>
        <w:tc>
          <w:tcPr>
            <w:tcW w:type="dxa" w:w="3324"/>
            <w:vAlign w:val="top"/>
          </w:tcPr>
          <w:p>
            <w:r>
              <w:t>per huishouden</w:t>
            </w:r>
          </w:p>
        </w:tc>
        <w:tc>
          <w:tcPr>
            <w:tcW w:type="dxa" w:w="3324"/>
            <w:vAlign w:val="top"/>
          </w:tcPr>
          <w:p>
            <w:r>
              <w:t>Zuivel</w:t>
            </w:r>
          </w:p>
        </w:tc>
      </w:tr>
    </w:tbl>
    <w:p>
      <w:pPr>
        <w:pStyle w:val="Heading2"/>
      </w:pPr>
      <w:r>
        <w:t>33.2 Interne autonomie met externe verwijzingen</w:t>
      </w:r>
    </w:p>
    <w:p>
      <w:r>
        <w:t>Rezzerv beheert eigen Producttypen en mappings. Externe databases voeden voorstellen en referenties.</w:t>
      </w:r>
    </w:p>
    <w:p>
      <w:pPr>
        <w:pStyle w:val="ListBullet"/>
      </w:pPr>
      <w:r>
        <w:t>Open Food Facts levert productnaam, merk, GTIN, hoeveelheid, categorieën en labels.</w:t>
      </w:r>
    </w:p>
    <w:p>
      <w:pPr>
        <w:pStyle w:val="ListBullet"/>
      </w:pPr>
      <w:r>
        <w:t>GS1 GPC levert brede handelsclassificatie.</w:t>
      </w:r>
    </w:p>
    <w:p>
      <w:pPr>
        <w:pStyle w:val="ListBullet"/>
      </w:pPr>
      <w:r>
        <w:t>FoodOn kan een semantische referentie voor generieke voedseltypen leveren.</w:t>
      </w:r>
    </w:p>
    <w:p>
      <w:pPr>
        <w:pStyle w:val="ListBullet"/>
      </w:pPr>
      <w:r>
        <w:t>FoodEx2 kan later aanvullende hiërarchie of facetten leveren.</w:t>
      </w:r>
    </w:p>
    <w:p>
      <w:pPr>
        <w:pStyle w:val="ListBullet"/>
      </w:pPr>
      <w:r>
        <w:t>Geen externe taxonomie is zelfstandig de definitieve Rezzerv-waarheid.</w:t>
      </w:r>
    </w:p>
    <w:p>
      <w:pPr>
        <w:pStyle w:val="Heading2"/>
      </w:pPr>
      <w:r>
        <w:t>33.3 Direct onderhoud bij koppelen</w:t>
      </w:r>
    </w:p>
    <w:p>
      <w:r>
        <w:t>Producttype wordt niet als achterafscherm ontworpen, maar als onderdeel van de universele-artikelkoppeling.</w:t>
      </w:r>
    </w:p>
    <w:p>
      <w:pPr>
        <w:pStyle w:val="ListBullet"/>
      </w:pPr>
      <w:r>
        <w:t>De koppelmodal toont het geselecteerde concrete product, een bestaand of voorgesteld Producttype, bronuitleg en confidence.</w:t>
      </w:r>
    </w:p>
    <w:p>
      <w:pPr>
        <w:pStyle w:val="ListBullet"/>
      </w:pPr>
      <w:r>
        <w:t>De gebruiker kiest bestaand, bevestigt voorstel, maakt nieuw of markeert Niet aggregeren.</w:t>
      </w:r>
    </w:p>
    <w:p>
      <w:pPr>
        <w:pStyle w:val="ListBullet"/>
      </w:pPr>
      <w:r>
        <w:t>De gehele handeling is atomair.</w:t>
      </w:r>
    </w:p>
    <w:p>
      <w:pPr>
        <w:pStyle w:val="ListBullet"/>
      </w:pPr>
      <w:r>
        <w:t>Correctie blijft later mogelijk op Artikeldetail met impactpreview.</w:t>
      </w:r>
    </w:p>
    <w:p>
      <w:pPr>
        <w:pStyle w:val="Heading2"/>
      </w:pPr>
      <w:r>
        <w:t>33.4 Aggregatieprincipes</w:t>
      </w:r>
    </w:p>
    <w:p>
      <w:pPr>
        <w:pStyle w:val="ListBullet"/>
      </w:pPr>
      <w:r>
        <w:t>Voorraad wordt zowel in verpakkingen als in genormaliseerde basismaat getoond.</w:t>
      </w:r>
    </w:p>
    <w:p>
      <w:pPr>
        <w:pStyle w:val="ListBullet"/>
      </w:pPr>
      <w:r>
        <w:t>Volume, gewicht en stuks zijn de eerste ondersteunde aggregatiemethoden.</w:t>
      </w:r>
    </w:p>
    <w:p>
      <w:pPr>
        <w:pStyle w:val="ListBullet"/>
      </w:pPr>
      <w:r>
        <w:t>Aggregatie is een readmodel, geen tweede voorraad-SSOT.</w:t>
      </w:r>
    </w:p>
    <w:p>
      <w:pPr>
        <w:pStyle w:val="ListBullet"/>
      </w:pPr>
      <w:r>
        <w:t>Elke aggregatieregel is doorklikbaar naar onderliggende huishoudartikelen en locaties.</w:t>
      </w:r>
    </w:p>
    <w:p>
      <w:pPr>
        <w:pStyle w:val="ListBullet"/>
      </w:pPr>
      <w:r>
        <w:t>Onvolledige inhoud of onbevestigde mapping leidt tot review_needed en wordt niet stil meegerekend.</w:t>
      </w:r>
    </w:p>
    <w:p>
      <w:pPr>
        <w:pStyle w:val="Heading2"/>
      </w:pPr>
      <w:r>
        <w:t>33.5 Toekomstige scheiding tussen gelijkheid en vervangbaarheid</w:t>
      </w:r>
    </w:p>
    <w:p>
      <w:r>
        <w:t>Producttype betekent feitelijk hetzelfde type. Een toekomstige substitution_group betekent dat het huishouden producten als vervangbaar beschouwt.</w:t>
      </w:r>
    </w:p>
    <w:p>
      <w:pPr>
        <w:pStyle w:val="ListBullet"/>
      </w:pPr>
      <w:r>
        <w:t>Halfvolle koemelk van meerdere merken hoort bij één Producttype.</w:t>
      </w:r>
    </w:p>
    <w:p>
      <w:pPr>
        <w:pStyle w:val="ListBullet"/>
      </w:pPr>
      <w:r>
        <w:t>Halfvolle melk en haverdrink horen niet automatisch bij hetzelfde Producttype.</w:t>
      </w:r>
    </w:p>
    <w:p>
      <w:pPr>
        <w:pStyle w:val="ListBullet"/>
      </w:pPr>
      <w:r>
        <w:t>Een huishouden kan ze later wel in een vervangbaarheidsgroep plaatsen.</w:t>
      </w:r>
    </w:p>
    <w:p>
      <w:pPr>
        <w:pStyle w:val="Heading2"/>
      </w:pPr>
      <w:r>
        <w:t>33.6 Roadmapvolgorde</w:t>
      </w:r>
    </w:p>
    <w:p>
      <w:pPr>
        <w:pStyle w:val="ListBullet"/>
      </w:pPr>
      <w:r>
        <w:t>Datamodel en database-invarianten.</w:t>
      </w:r>
    </w:p>
    <w:p>
      <w:pPr>
        <w:pStyle w:val="ListBullet"/>
      </w:pPr>
      <w:r>
        <w:t>Externe suggestie en confidence met uitlegbaarheid.</w:t>
      </w:r>
    </w:p>
    <w:p>
      <w:pPr>
        <w:pStyle w:val="ListBullet"/>
      </w:pPr>
      <w:r>
        <w:t>Atomaire koppelmodal.</w:t>
      </w:r>
    </w:p>
    <w:p>
      <w:pPr>
        <w:pStyle w:val="ListBullet"/>
      </w:pPr>
      <w:r>
        <w:t>Aggregatie-API en Voorraadweergave.</w:t>
      </w:r>
    </w:p>
    <w:p>
      <w:pPr>
        <w:pStyle w:val="ListBullet"/>
      </w:pPr>
      <w:r>
        <w:t>Correctie, samenvoegen en audittrail.</w:t>
      </w:r>
    </w:p>
    <w:p>
      <w:pPr>
        <w:pStyle w:val="ListBullet"/>
      </w:pPr>
      <w:r>
        <w:t>Pas daarna automatische voorstellen op grotere schaal en eventuele FoodOn-import.</w:t>
      </w:r>
    </w:p>
    <w:p>
      <w:r>
        <w:br w:type="page"/>
      </w:r>
    </w:p>
    <w:p>
      <w:pPr>
        <w:pStyle w:val="Heading1"/>
      </w:pPr>
      <w:r>
        <w:t>34. Versie-update v2.22 - canoniek artikelmodel en ketenborging</w:t>
      </w:r>
    </w:p>
    <w:p>
      <w:pPr>
        <w:pStyle w:val="Heading2"/>
      </w:pPr>
      <w:r>
        <w:t>Canonieke lagen</w:t>
      </w:r>
    </w:p>
    <w:p>
      <w:r>
        <w:t>De doelarchitectuur kent drie expliciet gescheiden classificatielagen: global_products voor concrete universele artikelen, Producttypes voor centrale semantische aggregatie en Artikelgroepen voor huishoudspecifieke ordening.</w:t>
      </w:r>
    </w:p>
    <w:p>
      <w:pPr>
        <w:pStyle w:val="Heading2"/>
      </w:pPr>
      <w:r>
        <w:t>Universele artikelen</w:t>
      </w:r>
    </w:p>
    <w:p>
      <w:r>
        <w:t>Een universeel artikel representeert één concreet identificeerbaar product over huishoudens heen. Identiteiten kunnen meerdere bronnen hebben, maar wijzen naar één global_product. Het universele artikel is geen voorraadregel en bevat geen huishoudgroep.</w:t>
      </w:r>
    </w:p>
    <w:p>
      <w:pPr>
        <w:pStyle w:val="Heading2"/>
      </w:pPr>
      <w:r>
        <w:t>Producttypes</w:t>
      </w:r>
    </w:p>
    <w:p>
      <w:r>
        <w:t>Producttypes vormen de centrale merk- en verpakkingsonafhankelijke laag. Zij ondersteunen inzichten zoals totale hoeveelheid Banaan of Halfvolle melk over verschillende concrete artikelen. Producttypebeheer en mappings zijn onderdeel van de centrale catalogusgovernance.</w:t>
      </w:r>
    </w:p>
    <w:p>
      <w:pPr>
        <w:pStyle w:val="Heading2"/>
      </w:pPr>
      <w:r>
        <w:t>Artikelgroepen</w:t>
      </w:r>
    </w:p>
    <w:p>
      <w:r>
        <w:t>Artikelgroepen zijn eigendom van het huishouden. Zij ondersteunen persoonlijke navigatie, filters en rapportages en hebben geen betekenis voor andere huishoudens of voor universele productherkenning.</w:t>
      </w:r>
    </w:p>
    <w:p>
      <w:pPr>
        <w:pStyle w:val="Heading2"/>
      </w:pPr>
      <w:r>
        <w:t>Ketenborging</w:t>
      </w:r>
    </w:p>
    <w:p>
      <w:r>
        <w:t>De architectuur wordt bewaakt door een geïsoleerde én productiegerichte ketentest. Iedere merge naar main triggert de post-merge-gate. Zo wordt niet alleen codecompileerbaarheid, maar de volledige stroom Kassabon -&gt; Uitpakken -&gt; inventory_event -&gt; Voorraad aantoonbaar beschermd.</w:t>
      </w:r>
    </w:p>
    <w:sectPr w:rsidR="00FC693F" w:rsidRPr="0006063C" w:rsidSect="00034616">
      <w:footerReference w:type="default" r:id="rId9"/>
      <w:footerReference w:type="first" r:id="rId10"/>
      <w:footerReference w:type="even" r:id="rId11"/>
      <w:headerReference w:type="default" r:id="rId12"/>
      <w:headerReference w:type="first" r:id="rId13"/>
      <w:headerReference w:type="even" r:id="rId14"/>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Rezzerv Doelarchitectuur Platform v2.22 - 18 juli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eastAsia="Arial"/>
      <w:b/>
      <w:bCs/>
      <w:color w:val="1F4E3D"/>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2E6B55"/>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eastAsia="Arial"/>
      <w:b/>
      <w:bCs/>
      <w:color w:val="2E6B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eastAsia="Arial"/>
      <w:b/>
      <w:color w:val="1F4E3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Rezzerv_Doelarchitectuur_Platform_Release-4_v2.16_bijgewerkt</dc:title>
  <dc:subject>Rezzerv documentatie geactualiseerd na M2C2i-29J/29K</dc:subject>
  <dc:creator>python-docx</dc:creator>
  <cp:keywords>Rezzerv, M2C2i-29J, M2C2i-29K, Externe databases, regressie, main</cp:keywords>
  <dc:description>Geactualiseerd in ChatGPT op 30 juni 2026.</dc:description>
  <cp:lastModifiedBy/>
  <cp:revision>1</cp:revision>
  <dcterms:created xsi:type="dcterms:W3CDTF">2013-12-23T23:15:00Z</dcterms:created>
  <dcterms:modified xsi:type="dcterms:W3CDTF">2013-12-23T23:15:00Z</dcterms:modified>
  <cp:category/>
</cp:coreProperties>
</file>