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Практика</w:t>
      </w:r>
    </w:p>
    <w:p>
      <w:pPr>
        <w:pStyle w:val="Author"/>
      </w:pPr>
      <w:r>
        <w:t xml:space="preserve">Mike</w:t>
      </w:r>
    </w:p>
    <w:bookmarkStart w:id="25" w:name="отчет-по-продажам-шоколадных-батончиков"/>
    <w:p>
      <w:pPr>
        <w:pStyle w:val="Heading2"/>
      </w:pPr>
      <w:r>
        <w:t xml:space="preserve">Отчет по продажам шоколадных батончиков</w:t>
      </w:r>
    </w:p>
    <w:bookmarkStart w:id="20" w:name="описание-данных"/>
    <w:p>
      <w:pPr>
        <w:pStyle w:val="Heading3"/>
      </w:pPr>
      <w:r>
        <w:t xml:space="preserve">Описание данных</w:t>
      </w:r>
    </w:p>
    <w:p>
      <w:pPr>
        <w:pStyle w:val="FirstParagraph"/>
      </w:pPr>
      <w:r>
        <w:rPr>
          <w:i/>
          <w:iCs/>
        </w:rPr>
        <w:t xml:space="preserve">Идея</w:t>
      </w:r>
    </w:p>
    <w:p>
      <w:pPr>
        <w:pStyle w:val="BodyText"/>
      </w:pPr>
      <w:r>
        <w:t xml:space="preserve">В ходе исследования были оценены продажи шоколадных батончиков разных торговых марок в 2013 гоуду.</w:t>
      </w:r>
    </w:p>
    <w:p>
      <w:pPr>
        <w:pStyle w:val="BodyText"/>
      </w:pPr>
      <w:r>
        <w:rPr>
          <w:b/>
          <w:bCs/>
        </w:rPr>
        <w:t xml:space="preserve">Список торговых марок:</w:t>
      </w:r>
    </w:p>
    <w:p>
      <w:pPr>
        <w:pStyle w:val="Compact"/>
        <w:numPr>
          <w:ilvl w:val="0"/>
          <w:numId w:val="1001"/>
        </w:numPr>
      </w:pPr>
      <w:r>
        <w:t xml:space="preserve">Twix;</w:t>
      </w:r>
    </w:p>
    <w:p>
      <w:pPr>
        <w:pStyle w:val="Compact"/>
        <w:numPr>
          <w:ilvl w:val="0"/>
          <w:numId w:val="1001"/>
        </w:numPr>
      </w:pPr>
      <w:r>
        <w:t xml:space="preserve">Hershers;</w:t>
      </w:r>
    </w:p>
    <w:p>
      <w:pPr>
        <w:pStyle w:val="Compact"/>
        <w:numPr>
          <w:ilvl w:val="0"/>
          <w:numId w:val="1001"/>
        </w:numPr>
      </w:pPr>
      <w:r>
        <w:t xml:space="preserve">Kit Kat;</w:t>
      </w:r>
    </w:p>
    <w:p>
      <w:pPr>
        <w:pStyle w:val="Compact"/>
        <w:numPr>
          <w:ilvl w:val="0"/>
          <w:numId w:val="1001"/>
        </w:numPr>
      </w:pPr>
      <w:r>
        <w:t xml:space="preserve">Snickers;</w:t>
      </w:r>
    </w:p>
    <w:bookmarkEnd w:id="20"/>
    <w:bookmarkStart w:id="24" w:name="визуализация-данных"/>
    <w:p>
      <w:pPr>
        <w:pStyle w:val="Heading3"/>
      </w:pPr>
      <w:r>
        <w:t xml:space="preserve">Визуализация данных</w:t>
      </w:r>
    </w:p>
    <w:p>
      <w:pPr>
        <w:pStyle w:val="FirstParagraph"/>
      </w:pPr>
      <w:r>
        <w:t xml:space="preserve">Объемы продаж шоколадных батончиков можно увидеть на следующем графике.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174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(x,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"Продажи шоколадных батончиков"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"royalblue3"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"green3"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"red3"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"Торговая марка"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"Продажи (в миллионах долларов)"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names.arg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"Twix"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"Hershes"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"KitKat"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"Snickers"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06_files/figure-docx/unnamed-chunk-1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Наибольшая сумма у батончиков марки Snickers.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Практика</dc:title>
  <dc:creator>Mike</dc:creator>
  <cp:keywords/>
  <dcterms:created xsi:type="dcterms:W3CDTF">2026-02-03T16:09:27Z</dcterms:created>
  <dcterms:modified xsi:type="dcterms:W3CDTF">2026-02-03T16:09:27Z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