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95023" w14:textId="77777777" w:rsidR="00D30181" w:rsidRPr="003310E8" w:rsidRDefault="00000000">
      <w:pPr>
        <w:pStyle w:val="Title"/>
        <w:rPr>
          <w:color w:val="0000FF"/>
          <w:sz w:val="44"/>
          <w:szCs w:val="44"/>
        </w:rPr>
      </w:pPr>
      <w:r w:rsidRPr="003310E8">
        <w:rPr>
          <w:color w:val="0000FF"/>
          <w:sz w:val="44"/>
          <w:szCs w:val="44"/>
        </w:rPr>
        <w:t>How to Value PGM Miners: A Practical Guide to Physical Production Leverage</w:t>
      </w:r>
    </w:p>
    <w:p w14:paraId="51F42209" w14:textId="77777777" w:rsidR="00D30181" w:rsidRPr="003310E8" w:rsidRDefault="00000000">
      <w:pPr>
        <w:spacing w:after="240"/>
        <w:jc w:val="center"/>
        <w:rPr>
          <w:b/>
          <w:bCs/>
        </w:rPr>
      </w:pPr>
      <w:r w:rsidRPr="003310E8">
        <w:rPr>
          <w:b/>
          <w:bCs/>
          <w:i/>
          <w:iCs/>
        </w:rPr>
        <w:t>(Mick Pavey: 16th February 2026)</w:t>
      </w:r>
    </w:p>
    <w:p w14:paraId="1DCA8C83" w14:textId="4FDC2D7E" w:rsidR="00D30181" w:rsidRPr="003310E8" w:rsidRDefault="003310E8">
      <w:pPr>
        <w:spacing w:after="120"/>
        <w:rPr>
          <w:rFonts w:asciiTheme="minorHAnsi" w:hAnsiTheme="minorHAnsi"/>
        </w:rPr>
      </w:pPr>
      <w:r>
        <w:rPr>
          <w:rFonts w:asciiTheme="minorHAnsi" w:hAnsiTheme="minorHAnsi"/>
        </w:rPr>
        <w:t>Over the past few months, it’s occurred to me that we need a different way to value mining companies and in this piece of original research, I’ve decided to focus on</w:t>
      </w:r>
      <w:r w:rsidR="00000000" w:rsidRPr="003310E8">
        <w:rPr>
          <w:rFonts w:asciiTheme="minorHAnsi" w:hAnsiTheme="minorHAnsi"/>
        </w:rPr>
        <w:t xml:space="preserve"> valuing mining companies in the Platinum Group Metals (PGM) sector.</w:t>
      </w:r>
    </w:p>
    <w:p w14:paraId="7E7D3DE0" w14:textId="3CB60FA7" w:rsidR="00D30181" w:rsidRPr="003310E8" w:rsidRDefault="00000000">
      <w:pPr>
        <w:spacing w:after="120"/>
        <w:rPr>
          <w:rFonts w:asciiTheme="minorHAnsi" w:hAnsiTheme="minorHAnsi"/>
        </w:rPr>
      </w:pPr>
      <w:r w:rsidRPr="003310E8">
        <w:rPr>
          <w:rFonts w:asciiTheme="minorHAnsi" w:hAnsiTheme="minorHAnsi"/>
        </w:rPr>
        <w:t xml:space="preserve">Now, </w:t>
      </w:r>
      <w:r w:rsidR="003310E8">
        <w:rPr>
          <w:rFonts w:asciiTheme="minorHAnsi" w:hAnsiTheme="minorHAnsi"/>
        </w:rPr>
        <w:t>to</w:t>
      </w:r>
      <w:r w:rsidRPr="003310E8">
        <w:rPr>
          <w:rFonts w:asciiTheme="minorHAnsi" w:hAnsiTheme="minorHAnsi"/>
        </w:rPr>
        <w:t xml:space="preserve"> be honest with you—this isn't straightforward stuff. Unlike tech companies where you can </w:t>
      </w:r>
      <w:r w:rsidR="003310E8">
        <w:rPr>
          <w:rFonts w:asciiTheme="minorHAnsi" w:hAnsiTheme="minorHAnsi"/>
        </w:rPr>
        <w:t>get data on</w:t>
      </w:r>
      <w:r w:rsidRPr="003310E8">
        <w:rPr>
          <w:rFonts w:asciiTheme="minorHAnsi" w:hAnsiTheme="minorHAnsi"/>
        </w:rPr>
        <w:t xml:space="preserve"> </w:t>
      </w:r>
      <w:proofErr w:type="spellStart"/>
      <w:r w:rsidRPr="003310E8">
        <w:rPr>
          <w:rFonts w:asciiTheme="minorHAnsi" w:hAnsiTheme="minorHAnsi"/>
        </w:rPr>
        <w:t>on</w:t>
      </w:r>
      <w:proofErr w:type="spellEnd"/>
      <w:r w:rsidRPr="003310E8">
        <w:rPr>
          <w:rFonts w:asciiTheme="minorHAnsi" w:hAnsiTheme="minorHAnsi"/>
        </w:rPr>
        <w:t xml:space="preserve"> recurring revenue or brand value, mining companies are all about one thing: </w:t>
      </w:r>
      <w:r w:rsidRPr="003310E8">
        <w:rPr>
          <w:rFonts w:asciiTheme="minorHAnsi" w:hAnsiTheme="minorHAnsi"/>
          <w:b/>
          <w:bCs/>
        </w:rPr>
        <w:t>how much physical metal is in the ground and how efficiently they can get it out.</w:t>
      </w:r>
      <w:r w:rsidRPr="003310E8">
        <w:rPr>
          <w:rFonts w:asciiTheme="minorHAnsi" w:hAnsiTheme="minorHAnsi"/>
        </w:rPr>
        <w:t xml:space="preserve"> [1, 2]</w:t>
      </w:r>
    </w:p>
    <w:p w14:paraId="25BBB4BC" w14:textId="178E118C" w:rsidR="00D30181" w:rsidRPr="003310E8" w:rsidRDefault="00000000">
      <w:pPr>
        <w:spacing w:after="120"/>
        <w:rPr>
          <w:rFonts w:asciiTheme="minorHAnsi" w:hAnsiTheme="minorHAnsi"/>
        </w:rPr>
      </w:pPr>
      <w:r w:rsidRPr="003310E8">
        <w:rPr>
          <w:rFonts w:asciiTheme="minorHAnsi" w:hAnsiTheme="minorHAnsi"/>
        </w:rPr>
        <w:t xml:space="preserve">The PGM sector—dominated by a handful of Tier-1 assets in South Africa's Bushveld Complex and Zimbabwe's Great Dyke—presents </w:t>
      </w:r>
      <w:proofErr w:type="gramStart"/>
      <w:r w:rsidRPr="003310E8">
        <w:rPr>
          <w:rFonts w:asciiTheme="minorHAnsi" w:hAnsiTheme="minorHAnsi"/>
        </w:rPr>
        <w:t>particular challenges</w:t>
      </w:r>
      <w:proofErr w:type="gramEnd"/>
      <w:r w:rsidRPr="003310E8">
        <w:rPr>
          <w:rFonts w:asciiTheme="minorHAnsi" w:hAnsiTheme="minorHAnsi"/>
        </w:rPr>
        <w:t xml:space="preserve">. </w:t>
      </w:r>
      <w:r w:rsidR="003310E8">
        <w:rPr>
          <w:rFonts w:asciiTheme="minorHAnsi" w:hAnsiTheme="minorHAnsi"/>
        </w:rPr>
        <w:t>For a long time, I’ve shied away from t</w:t>
      </w:r>
      <w:r w:rsidRPr="003310E8">
        <w:rPr>
          <w:rFonts w:asciiTheme="minorHAnsi" w:hAnsiTheme="minorHAnsi"/>
        </w:rPr>
        <w:t xml:space="preserve">raditional earnings-based metrics like Price-to-Earnings (P/E) ratios? </w:t>
      </w:r>
      <w:r w:rsidR="003310E8">
        <w:rPr>
          <w:rFonts w:asciiTheme="minorHAnsi" w:hAnsiTheme="minorHAnsi"/>
        </w:rPr>
        <w:t>These are o</w:t>
      </w:r>
      <w:r w:rsidRPr="003310E8">
        <w:rPr>
          <w:rFonts w:asciiTheme="minorHAnsi" w:hAnsiTheme="minorHAnsi"/>
        </w:rPr>
        <w:t>ften distorted by wild PGM price swings, massive capital requirements for deep-level mining, and the years it takes to bring new production online. [3, 4, 5, 6]</w:t>
      </w:r>
    </w:p>
    <w:p w14:paraId="2D115B9A" w14:textId="34457607" w:rsidR="00D30181" w:rsidRPr="003310E8" w:rsidRDefault="00000000">
      <w:pPr>
        <w:spacing w:after="240"/>
        <w:rPr>
          <w:rFonts w:asciiTheme="minorHAnsi" w:hAnsiTheme="minorHAnsi"/>
        </w:rPr>
      </w:pPr>
      <w:r w:rsidRPr="003310E8">
        <w:rPr>
          <w:rFonts w:asciiTheme="minorHAnsi" w:hAnsiTheme="minorHAnsi"/>
        </w:rPr>
        <w:t xml:space="preserve">So, </w:t>
      </w:r>
      <w:r w:rsidR="003310E8">
        <w:rPr>
          <w:rFonts w:asciiTheme="minorHAnsi" w:hAnsiTheme="minorHAnsi"/>
        </w:rPr>
        <w:t xml:space="preserve">I’ve been thinking about </w:t>
      </w:r>
      <w:r w:rsidRPr="003310E8">
        <w:rPr>
          <w:rFonts w:asciiTheme="minorHAnsi" w:hAnsiTheme="minorHAnsi"/>
        </w:rPr>
        <w:t xml:space="preserve">how do we cut through all that? </w:t>
      </w:r>
      <w:r w:rsidR="003310E8">
        <w:rPr>
          <w:rFonts w:asciiTheme="minorHAnsi" w:hAnsiTheme="minorHAnsi"/>
        </w:rPr>
        <w:t>In this research paper</w:t>
      </w:r>
      <w:r w:rsidRPr="003310E8">
        <w:rPr>
          <w:rFonts w:asciiTheme="minorHAnsi" w:hAnsiTheme="minorHAnsi"/>
        </w:rPr>
        <w:t xml:space="preserve">, I'm going to show you a dual-methodology approach that I reckon provides a far clearer picture: focusing on </w:t>
      </w:r>
      <w:r w:rsidRPr="003310E8">
        <w:rPr>
          <w:rFonts w:asciiTheme="minorHAnsi" w:hAnsiTheme="minorHAnsi"/>
          <w:b/>
          <w:bCs/>
          <w:i/>
          <w:iCs/>
        </w:rPr>
        <w:t>physical production leverage</w:t>
      </w:r>
      <w:r w:rsidR="003310E8">
        <w:rPr>
          <w:rFonts w:asciiTheme="minorHAnsi" w:hAnsiTheme="minorHAnsi"/>
        </w:rPr>
        <w:t xml:space="preserve"> - </w:t>
      </w:r>
      <w:r w:rsidRPr="003310E8">
        <w:rPr>
          <w:rFonts w:asciiTheme="minorHAnsi" w:hAnsiTheme="minorHAnsi"/>
        </w:rPr>
        <w:t xml:space="preserve">essentially, how many ounces of metal your investment pound </w:t>
      </w:r>
      <w:proofErr w:type="gramStart"/>
      <w:r w:rsidRPr="003310E8">
        <w:rPr>
          <w:rFonts w:asciiTheme="minorHAnsi" w:hAnsiTheme="minorHAnsi"/>
        </w:rPr>
        <w:t>actually buys</w:t>
      </w:r>
      <w:proofErr w:type="gramEnd"/>
      <w:r w:rsidRPr="003310E8">
        <w:rPr>
          <w:rFonts w:asciiTheme="minorHAnsi" w:hAnsiTheme="minorHAnsi"/>
        </w:rPr>
        <w:t xml:space="preserve"> you at current valuations. [7, 8]</w:t>
      </w:r>
    </w:p>
    <w:p w14:paraId="0DF3EB7B" w14:textId="77777777" w:rsidR="00D30181" w:rsidRPr="003310E8" w:rsidRDefault="00000000">
      <w:pPr>
        <w:pStyle w:val="Heading1"/>
        <w:rPr>
          <w:rFonts w:asciiTheme="minorHAnsi" w:hAnsiTheme="minorHAnsi"/>
          <w:sz w:val="24"/>
          <w:szCs w:val="24"/>
        </w:rPr>
      </w:pPr>
      <w:r w:rsidRPr="003310E8">
        <w:rPr>
          <w:rFonts w:asciiTheme="minorHAnsi" w:hAnsiTheme="minorHAnsi"/>
          <w:sz w:val="24"/>
          <w:szCs w:val="24"/>
        </w:rPr>
        <w:t>What This Framework Does</w:t>
      </w:r>
    </w:p>
    <w:p w14:paraId="619D7A90" w14:textId="77777777" w:rsidR="00D30181" w:rsidRPr="003310E8" w:rsidRDefault="00000000">
      <w:pPr>
        <w:spacing w:after="120"/>
        <w:rPr>
          <w:rFonts w:asciiTheme="minorHAnsi" w:hAnsiTheme="minorHAnsi"/>
        </w:rPr>
      </w:pPr>
      <w:r w:rsidRPr="003310E8">
        <w:rPr>
          <w:rFonts w:asciiTheme="minorHAnsi" w:hAnsiTheme="minorHAnsi"/>
        </w:rPr>
        <w:t xml:space="preserve">Here's the core idea: we calculate the </w:t>
      </w:r>
      <w:r w:rsidRPr="003310E8">
        <w:rPr>
          <w:rFonts w:asciiTheme="minorHAnsi" w:hAnsiTheme="minorHAnsi"/>
          <w:i/>
          <w:iCs/>
        </w:rPr>
        <w:t>volume of attributable physical metal production</w:t>
      </w:r>
      <w:r w:rsidRPr="003310E8">
        <w:rPr>
          <w:rFonts w:asciiTheme="minorHAnsi" w:hAnsiTheme="minorHAnsi"/>
        </w:rPr>
        <w:t xml:space="preserve"> that a single pound (or dollar) of investment capital secures at any given moment. [1, 8]</w:t>
      </w:r>
    </w:p>
    <w:p w14:paraId="7173DEF2" w14:textId="77777777" w:rsidR="00D30181" w:rsidRPr="003310E8" w:rsidRDefault="00000000">
      <w:pPr>
        <w:spacing w:after="120"/>
        <w:rPr>
          <w:rFonts w:asciiTheme="minorHAnsi" w:hAnsiTheme="minorHAnsi"/>
        </w:rPr>
      </w:pPr>
      <w:r w:rsidRPr="003310E8">
        <w:rPr>
          <w:rFonts w:asciiTheme="minorHAnsi" w:hAnsiTheme="minorHAnsi"/>
        </w:rPr>
        <w:t>By focusing on production volume relative to fully diluted market capitalisation, we can isolate the 'purchasing power' of an investment. In other words, which equities give you the maximum exposure to the underlying metal for every pound you deploy.</w:t>
      </w:r>
    </w:p>
    <w:p w14:paraId="053CD4B1" w14:textId="71DAC3FE" w:rsidR="00D30181" w:rsidRPr="003310E8" w:rsidRDefault="00000000">
      <w:pPr>
        <w:spacing w:after="240"/>
        <w:rPr>
          <w:rFonts w:asciiTheme="minorHAnsi" w:hAnsiTheme="minorHAnsi"/>
        </w:rPr>
      </w:pPr>
      <w:r w:rsidRPr="003310E8">
        <w:rPr>
          <w:rFonts w:asciiTheme="minorHAnsi" w:hAnsiTheme="minorHAnsi"/>
        </w:rPr>
        <w:t xml:space="preserve">This is particularly effective in the PGM sector, where companies produce complex baskets of metals—platinum, palladium, rhodium, ruthenium, iridium, and gold—often alongside bulk commodities like chrome. The layers of valuation opacity this creates are precisely what this framework is designed to </w:t>
      </w:r>
      <w:r w:rsidR="0025063A">
        <w:rPr>
          <w:rFonts w:asciiTheme="minorHAnsi" w:hAnsiTheme="minorHAnsi"/>
        </w:rPr>
        <w:t>uncover</w:t>
      </w:r>
      <w:r w:rsidRPr="003310E8">
        <w:rPr>
          <w:rFonts w:asciiTheme="minorHAnsi" w:hAnsiTheme="minorHAnsi"/>
        </w:rPr>
        <w:t>. [9, 10]</w:t>
      </w:r>
    </w:p>
    <w:p w14:paraId="09B837A3" w14:textId="77777777" w:rsidR="00D30181" w:rsidRPr="003310E8" w:rsidRDefault="00000000">
      <w:pPr>
        <w:pStyle w:val="Heading1"/>
        <w:rPr>
          <w:rFonts w:asciiTheme="minorHAnsi" w:hAnsiTheme="minorHAnsi"/>
          <w:sz w:val="24"/>
          <w:szCs w:val="24"/>
        </w:rPr>
      </w:pPr>
      <w:r w:rsidRPr="003310E8">
        <w:rPr>
          <w:rFonts w:asciiTheme="minorHAnsi" w:hAnsiTheme="minorHAnsi"/>
          <w:sz w:val="24"/>
          <w:szCs w:val="24"/>
        </w:rPr>
        <w:t>The Dual Methodology</w:t>
      </w:r>
    </w:p>
    <w:p w14:paraId="7B3B1791" w14:textId="77777777" w:rsidR="00D30181" w:rsidRPr="003310E8" w:rsidRDefault="00000000">
      <w:pPr>
        <w:spacing w:after="120"/>
        <w:rPr>
          <w:rFonts w:asciiTheme="minorHAnsi" w:hAnsiTheme="minorHAnsi"/>
        </w:rPr>
      </w:pPr>
      <w:r w:rsidRPr="003310E8">
        <w:rPr>
          <w:rFonts w:asciiTheme="minorHAnsi" w:hAnsiTheme="minorHAnsi"/>
        </w:rPr>
        <w:t>I've split this into two complementary approaches:</w:t>
      </w:r>
    </w:p>
    <w:p w14:paraId="25040E16" w14:textId="77777777" w:rsidR="00D30181" w:rsidRPr="003310E8" w:rsidRDefault="00000000">
      <w:pPr>
        <w:pStyle w:val="ListParagraph"/>
        <w:numPr>
          <w:ilvl w:val="0"/>
          <w:numId w:val="2"/>
        </w:numPr>
        <w:rPr>
          <w:rFonts w:asciiTheme="minorHAnsi" w:hAnsiTheme="minorHAnsi"/>
        </w:rPr>
      </w:pPr>
      <w:r w:rsidRPr="003310E8">
        <w:rPr>
          <w:rFonts w:asciiTheme="minorHAnsi" w:hAnsiTheme="minorHAnsi"/>
          <w:b/>
          <w:bCs/>
        </w:rPr>
        <w:t>Historic Data Approach</w:t>
      </w:r>
      <w:r w:rsidRPr="003310E8">
        <w:rPr>
          <w:rFonts w:asciiTheme="minorHAnsi" w:hAnsiTheme="minorHAnsi"/>
        </w:rPr>
        <w:t>: Uses verified, audited production figures to establish a 'real-world' baseline. Answers the question: 'How many ounces did my £1 buy over the most recent reporting cycle?' [7]</w:t>
      </w:r>
    </w:p>
    <w:p w14:paraId="279D37F0" w14:textId="77777777" w:rsidR="00D30181" w:rsidRPr="003310E8" w:rsidRDefault="00000000">
      <w:pPr>
        <w:pStyle w:val="ListParagraph"/>
        <w:numPr>
          <w:ilvl w:val="0"/>
          <w:numId w:val="2"/>
        </w:numPr>
        <w:spacing w:after="240"/>
        <w:rPr>
          <w:rFonts w:asciiTheme="minorHAnsi" w:hAnsiTheme="minorHAnsi"/>
        </w:rPr>
      </w:pPr>
      <w:r w:rsidRPr="003310E8">
        <w:rPr>
          <w:rFonts w:asciiTheme="minorHAnsi" w:hAnsiTheme="minorHAnsi"/>
          <w:b/>
          <w:bCs/>
        </w:rPr>
        <w:t>Forward-Looking Extrapolation Approach</w:t>
      </w:r>
      <w:r w:rsidRPr="003310E8">
        <w:rPr>
          <w:rFonts w:asciiTheme="minorHAnsi" w:hAnsiTheme="minorHAnsi"/>
        </w:rPr>
        <w:t>: Models estimated future production based on life-of-mine (LOM) plans and feasibility studies. Essential for identifying value in growth-oriented stocks where current production is modest but future potential is substantial. [11, 12, 25, 26]</w:t>
      </w:r>
    </w:p>
    <w:p w14:paraId="5577B2C6" w14:textId="2DE2C486" w:rsidR="00D30181" w:rsidRPr="003310E8" w:rsidRDefault="00000000">
      <w:pPr>
        <w:spacing w:after="240"/>
        <w:rPr>
          <w:rFonts w:asciiTheme="minorHAnsi" w:hAnsiTheme="minorHAnsi"/>
        </w:rPr>
      </w:pPr>
      <w:r w:rsidRPr="003310E8">
        <w:rPr>
          <w:rFonts w:asciiTheme="minorHAnsi" w:hAnsiTheme="minorHAnsi"/>
        </w:rPr>
        <w:lastRenderedPageBreak/>
        <w:t xml:space="preserve">Using </w:t>
      </w:r>
      <w:r w:rsidR="0025063A">
        <w:rPr>
          <w:rFonts w:asciiTheme="minorHAnsi" w:hAnsiTheme="minorHAnsi"/>
        </w:rPr>
        <w:t>example (</w:t>
      </w:r>
      <w:r w:rsidRPr="003310E8">
        <w:rPr>
          <w:rFonts w:asciiTheme="minorHAnsi" w:hAnsiTheme="minorHAnsi"/>
        </w:rPr>
        <w:t>UK-listed</w:t>
      </w:r>
      <w:r w:rsidR="0025063A">
        <w:rPr>
          <w:rFonts w:asciiTheme="minorHAnsi" w:hAnsiTheme="minorHAnsi"/>
        </w:rPr>
        <w:t>)</w:t>
      </w:r>
      <w:r w:rsidRPr="003310E8">
        <w:rPr>
          <w:rFonts w:asciiTheme="minorHAnsi" w:hAnsiTheme="minorHAnsi"/>
        </w:rPr>
        <w:t xml:space="preserve"> PGM miners—</w:t>
      </w:r>
      <w:proofErr w:type="spellStart"/>
      <w:r w:rsidRPr="003310E8">
        <w:rPr>
          <w:rFonts w:asciiTheme="minorHAnsi" w:hAnsiTheme="minorHAnsi"/>
        </w:rPr>
        <w:t>Valterra</w:t>
      </w:r>
      <w:proofErr w:type="spellEnd"/>
      <w:r w:rsidRPr="003310E8">
        <w:rPr>
          <w:rFonts w:asciiTheme="minorHAnsi" w:hAnsiTheme="minorHAnsi"/>
        </w:rPr>
        <w:t xml:space="preserve"> Platinum (VALT), </w:t>
      </w:r>
      <w:proofErr w:type="spellStart"/>
      <w:r w:rsidRPr="003310E8">
        <w:rPr>
          <w:rFonts w:asciiTheme="minorHAnsi" w:hAnsiTheme="minorHAnsi"/>
        </w:rPr>
        <w:t>Tharisa</w:t>
      </w:r>
      <w:proofErr w:type="spellEnd"/>
      <w:r w:rsidRPr="003310E8">
        <w:rPr>
          <w:rFonts w:asciiTheme="minorHAnsi" w:hAnsiTheme="minorHAnsi"/>
        </w:rPr>
        <w:t xml:space="preserve"> plc (THS), and Sylvania Platinum (SLP)—as case studies, we'll see how these methodologies reveal significant market dislocations between price and physical asset exposure.</w:t>
      </w:r>
    </w:p>
    <w:p w14:paraId="6C1245CC" w14:textId="77777777" w:rsidR="00D30181" w:rsidRPr="003310E8" w:rsidRDefault="00000000">
      <w:pPr>
        <w:pStyle w:val="Heading1"/>
        <w:rPr>
          <w:rFonts w:asciiTheme="minorHAnsi" w:hAnsiTheme="minorHAnsi"/>
          <w:sz w:val="24"/>
          <w:szCs w:val="24"/>
        </w:rPr>
      </w:pPr>
      <w:r w:rsidRPr="003310E8">
        <w:rPr>
          <w:rFonts w:asciiTheme="minorHAnsi" w:hAnsiTheme="minorHAnsi"/>
          <w:sz w:val="24"/>
          <w:szCs w:val="24"/>
        </w:rPr>
        <w:t>Methodology 1: The Historic Purchasing Power Approach</w:t>
      </w:r>
    </w:p>
    <w:p w14:paraId="140C8438" w14:textId="77777777" w:rsidR="00D30181" w:rsidRPr="003310E8" w:rsidRDefault="00000000">
      <w:pPr>
        <w:spacing w:after="120"/>
        <w:rPr>
          <w:rFonts w:asciiTheme="minorHAnsi" w:hAnsiTheme="minorHAnsi"/>
        </w:rPr>
      </w:pPr>
      <w:r w:rsidRPr="003310E8">
        <w:rPr>
          <w:rFonts w:asciiTheme="minorHAnsi" w:hAnsiTheme="minorHAnsi"/>
        </w:rPr>
        <w:t>As I mentioned, this approach uses audited production figures and prevailing market prices to establish a baseline. It's preferred for its transparency and the high confidence we can have in historical extraction rates—no speculative bias from development-stage projects. [7]</w:t>
      </w:r>
    </w:p>
    <w:p w14:paraId="3F391B68" w14:textId="77777777" w:rsidR="00D30181" w:rsidRPr="003310E8" w:rsidRDefault="00000000">
      <w:pPr>
        <w:pStyle w:val="Heading2"/>
        <w:rPr>
          <w:rFonts w:asciiTheme="minorHAnsi" w:hAnsiTheme="minorHAnsi"/>
          <w:sz w:val="24"/>
          <w:szCs w:val="24"/>
        </w:rPr>
      </w:pPr>
      <w:r w:rsidRPr="003310E8">
        <w:rPr>
          <w:rFonts w:asciiTheme="minorHAnsi" w:hAnsiTheme="minorHAnsi"/>
          <w:sz w:val="24"/>
          <w:szCs w:val="24"/>
        </w:rPr>
        <w:t>Step 1: Data Acquisition and Normalising Share Capital</w:t>
      </w:r>
    </w:p>
    <w:p w14:paraId="0CDD2E11" w14:textId="77777777" w:rsidR="00D30181" w:rsidRPr="003310E8" w:rsidRDefault="00000000">
      <w:pPr>
        <w:spacing w:after="120"/>
        <w:rPr>
          <w:rFonts w:asciiTheme="minorHAnsi" w:hAnsiTheme="minorHAnsi"/>
        </w:rPr>
      </w:pPr>
      <w:r w:rsidRPr="003310E8">
        <w:rPr>
          <w:rFonts w:asciiTheme="minorHAnsi" w:hAnsiTheme="minorHAnsi"/>
        </w:rPr>
        <w:t xml:space="preserve">First, we need to determine the company's market capitalisation based on its </w:t>
      </w:r>
      <w:r w:rsidRPr="003310E8">
        <w:rPr>
          <w:rFonts w:asciiTheme="minorHAnsi" w:hAnsiTheme="minorHAnsi"/>
          <w:i/>
          <w:iCs/>
        </w:rPr>
        <w:t>fully diluted share count</w:t>
      </w:r>
      <w:r w:rsidRPr="003310E8">
        <w:rPr>
          <w:rFonts w:asciiTheme="minorHAnsi" w:hAnsiTheme="minorHAnsi"/>
        </w:rPr>
        <w:t>. Now, this is important: in the mining sector, using the basic share count is often insufficient. [13, 14]</w:t>
      </w:r>
    </w:p>
    <w:p w14:paraId="1C3CE804" w14:textId="77777777" w:rsidR="00D30181" w:rsidRPr="003310E8" w:rsidRDefault="00000000">
      <w:pPr>
        <w:spacing w:after="120"/>
        <w:rPr>
          <w:rFonts w:asciiTheme="minorHAnsi" w:hAnsiTheme="minorHAnsi"/>
        </w:rPr>
      </w:pPr>
      <w:r w:rsidRPr="003310E8">
        <w:rPr>
          <w:rFonts w:asciiTheme="minorHAnsi" w:hAnsiTheme="minorHAnsi"/>
        </w:rPr>
        <w:t>Many mid-tier and junior producers use warrants, options, and convertible debt to fund capital-intensive projects. All of these represent potential dilution of your physical metal claim as an existing shareholder. [14, 15]</w:t>
      </w:r>
    </w:p>
    <w:p w14:paraId="679DB0E0" w14:textId="77777777" w:rsidR="00D30181" w:rsidRPr="003310E8" w:rsidRDefault="00000000">
      <w:pPr>
        <w:spacing w:after="120"/>
        <w:rPr>
          <w:rFonts w:asciiTheme="minorHAnsi" w:hAnsiTheme="minorHAnsi"/>
        </w:rPr>
      </w:pPr>
      <w:r w:rsidRPr="003310E8">
        <w:rPr>
          <w:rFonts w:asciiTheme="minorHAnsi" w:hAnsiTheme="minorHAnsi"/>
        </w:rPr>
        <w:t xml:space="preserve">For a standardised comparison, identify the weighted average diluted share count from the most recent annual or interim financial statements. For example, with </w:t>
      </w:r>
      <w:proofErr w:type="spellStart"/>
      <w:r w:rsidRPr="003310E8">
        <w:rPr>
          <w:rFonts w:asciiTheme="minorHAnsi" w:hAnsiTheme="minorHAnsi"/>
        </w:rPr>
        <w:t>Tharisa</w:t>
      </w:r>
      <w:proofErr w:type="spellEnd"/>
      <w:r w:rsidRPr="003310E8">
        <w:rPr>
          <w:rFonts w:asciiTheme="minorHAnsi" w:hAnsiTheme="minorHAnsi"/>
        </w:rPr>
        <w:t xml:space="preserve"> plc, I'd use a weighted average diluted share count of 304.8 million to ensure valuation metrics reflect the true equity base.</w:t>
      </w:r>
    </w:p>
    <w:p w14:paraId="27976FE5" w14:textId="77777777" w:rsidR="00D30181" w:rsidRPr="003310E8" w:rsidRDefault="00000000">
      <w:pPr>
        <w:spacing w:after="240"/>
        <w:rPr>
          <w:rFonts w:asciiTheme="minorHAnsi" w:hAnsiTheme="minorHAnsi"/>
        </w:rPr>
      </w:pPr>
      <w:r w:rsidRPr="003310E8">
        <w:rPr>
          <w:rFonts w:asciiTheme="minorHAnsi" w:hAnsiTheme="minorHAnsi"/>
        </w:rPr>
        <w:t>Once you've got the share count, calculate market capitalisation: Market Cap = Share Price × Fully Diluted Shares. [13, 16]</w:t>
      </w:r>
    </w:p>
    <w:p w14:paraId="77AC7AF5" w14:textId="77777777" w:rsidR="00D30181" w:rsidRPr="003310E8" w:rsidRDefault="00000000">
      <w:pPr>
        <w:pStyle w:val="Heading2"/>
        <w:rPr>
          <w:rFonts w:asciiTheme="minorHAnsi" w:hAnsiTheme="minorHAnsi"/>
          <w:sz w:val="24"/>
          <w:szCs w:val="24"/>
        </w:rPr>
      </w:pPr>
      <w:r w:rsidRPr="003310E8">
        <w:rPr>
          <w:rFonts w:asciiTheme="minorHAnsi" w:hAnsiTheme="minorHAnsi"/>
          <w:sz w:val="24"/>
          <w:szCs w:val="24"/>
        </w:rPr>
        <w:t>Step 2: Standardising PGM Classification (4E vs. 6E)</w:t>
      </w:r>
    </w:p>
    <w:p w14:paraId="2EF5EFE2" w14:textId="77777777" w:rsidR="00D30181" w:rsidRPr="003310E8" w:rsidRDefault="00000000">
      <w:pPr>
        <w:spacing w:after="120"/>
        <w:rPr>
          <w:rFonts w:asciiTheme="minorHAnsi" w:hAnsiTheme="minorHAnsi"/>
        </w:rPr>
      </w:pPr>
      <w:r w:rsidRPr="003310E8">
        <w:rPr>
          <w:rFonts w:asciiTheme="minorHAnsi" w:hAnsiTheme="minorHAnsi"/>
        </w:rPr>
        <w:t>Here's a critical hurdle when comparing PGM producers: there's no uniform reporting standard for the 'PGM basket'. Producers typically report in either 4E or 6E formats. [10, 17]</w:t>
      </w:r>
    </w:p>
    <w:p w14:paraId="2C0073B7" w14:textId="77777777" w:rsidR="00D30181" w:rsidRPr="003310E8" w:rsidRDefault="00000000">
      <w:pPr>
        <w:spacing w:after="120"/>
        <w:rPr>
          <w:rFonts w:asciiTheme="minorHAnsi" w:hAnsiTheme="minorHAnsi"/>
        </w:rPr>
      </w:pPr>
      <w:r w:rsidRPr="003310E8">
        <w:rPr>
          <w:rFonts w:asciiTheme="minorHAnsi" w:hAnsiTheme="minorHAnsi"/>
          <w:b/>
          <w:bCs/>
        </w:rPr>
        <w:t>4E classification:</w:t>
      </w:r>
      <w:r w:rsidRPr="003310E8">
        <w:rPr>
          <w:rFonts w:asciiTheme="minorHAnsi" w:hAnsiTheme="minorHAnsi"/>
        </w:rPr>
        <w:t xml:space="preserve"> platinum, palladium, rhodium, and gold.</w:t>
      </w:r>
    </w:p>
    <w:p w14:paraId="2863F951" w14:textId="77777777" w:rsidR="00D30181" w:rsidRPr="003310E8" w:rsidRDefault="00000000">
      <w:pPr>
        <w:spacing w:after="120"/>
        <w:rPr>
          <w:rFonts w:asciiTheme="minorHAnsi" w:hAnsiTheme="minorHAnsi"/>
        </w:rPr>
      </w:pPr>
      <w:r w:rsidRPr="003310E8">
        <w:rPr>
          <w:rFonts w:asciiTheme="minorHAnsi" w:hAnsiTheme="minorHAnsi"/>
          <w:b/>
          <w:bCs/>
        </w:rPr>
        <w:t xml:space="preserve">6E </w:t>
      </w:r>
      <w:proofErr w:type="gramStart"/>
      <w:r w:rsidRPr="003310E8">
        <w:rPr>
          <w:rFonts w:asciiTheme="minorHAnsi" w:hAnsiTheme="minorHAnsi"/>
          <w:b/>
          <w:bCs/>
        </w:rPr>
        <w:t>classification:</w:t>
      </w:r>
      <w:proofErr w:type="gramEnd"/>
      <w:r w:rsidRPr="003310E8">
        <w:rPr>
          <w:rFonts w:asciiTheme="minorHAnsi" w:hAnsiTheme="minorHAnsi"/>
        </w:rPr>
        <w:t xml:space="preserve"> adds ruthenium and iridium. [17, 18, 19]</w:t>
      </w:r>
    </w:p>
    <w:p w14:paraId="1E6056FE" w14:textId="77777777" w:rsidR="00D30181" w:rsidRPr="003310E8" w:rsidRDefault="00000000">
      <w:pPr>
        <w:spacing w:after="120"/>
        <w:rPr>
          <w:rFonts w:asciiTheme="minorHAnsi" w:hAnsiTheme="minorHAnsi"/>
        </w:rPr>
      </w:pPr>
      <w:r w:rsidRPr="003310E8">
        <w:rPr>
          <w:rFonts w:asciiTheme="minorHAnsi" w:hAnsiTheme="minorHAnsi"/>
        </w:rPr>
        <w:t>To maintain analytical integrity, 4E production must be converted to a 6E equivalent (or vice versa) based on the typical '</w:t>
      </w:r>
      <w:proofErr w:type="spellStart"/>
      <w:r w:rsidRPr="003310E8">
        <w:rPr>
          <w:rFonts w:asciiTheme="minorHAnsi" w:hAnsiTheme="minorHAnsi"/>
        </w:rPr>
        <w:t>prill</w:t>
      </w:r>
      <w:proofErr w:type="spellEnd"/>
      <w:r w:rsidRPr="003310E8">
        <w:rPr>
          <w:rFonts w:asciiTheme="minorHAnsi" w:hAnsiTheme="minorHAnsi"/>
        </w:rPr>
        <w:t xml:space="preserve"> split'—the relative proportion of each metal in the specific reef being mined. [19, 20]</w:t>
      </w:r>
    </w:p>
    <w:p w14:paraId="70F61B72" w14:textId="77777777" w:rsidR="00D30181" w:rsidRPr="003310E8" w:rsidRDefault="00000000">
      <w:pPr>
        <w:spacing w:after="240"/>
        <w:rPr>
          <w:rFonts w:asciiTheme="minorHAnsi" w:hAnsiTheme="minorHAnsi"/>
        </w:rPr>
      </w:pPr>
      <w:r w:rsidRPr="003310E8">
        <w:rPr>
          <w:rFonts w:asciiTheme="minorHAnsi" w:hAnsiTheme="minorHAnsi"/>
        </w:rPr>
        <w:t>For instance, Sylvania Platinum's 2025 production of 81,002 4E ounces equates to approximately 104,233 6E ounces when you incorporate the ruthenium and iridium from the UG2 tailings. [19] Fail to normalise these figures and you'll artificially undervalue 4E-reporting companies by 25-30%. [10, 21]</w:t>
      </w:r>
    </w:p>
    <w:p w14:paraId="2C87E811" w14:textId="77777777" w:rsidR="00D30181" w:rsidRPr="003310E8" w:rsidRDefault="00000000">
      <w:pPr>
        <w:pStyle w:val="Heading2"/>
        <w:rPr>
          <w:rFonts w:asciiTheme="minorHAnsi" w:hAnsiTheme="minorHAnsi"/>
          <w:sz w:val="24"/>
          <w:szCs w:val="24"/>
        </w:rPr>
      </w:pPr>
      <w:r w:rsidRPr="003310E8">
        <w:rPr>
          <w:rFonts w:asciiTheme="minorHAnsi" w:hAnsiTheme="minorHAnsi"/>
          <w:sz w:val="24"/>
          <w:szCs w:val="24"/>
        </w:rPr>
        <w:t>Step 3: Calculating Attributable Production Volume</w:t>
      </w:r>
    </w:p>
    <w:p w14:paraId="74DE8D31" w14:textId="77777777" w:rsidR="00D30181" w:rsidRPr="003310E8" w:rsidRDefault="00000000">
      <w:pPr>
        <w:spacing w:after="120"/>
        <w:rPr>
          <w:rFonts w:asciiTheme="minorHAnsi" w:hAnsiTheme="minorHAnsi"/>
        </w:rPr>
      </w:pPr>
      <w:r w:rsidRPr="003310E8">
        <w:rPr>
          <w:rFonts w:asciiTheme="minorHAnsi" w:hAnsiTheme="minorHAnsi"/>
        </w:rPr>
        <w:t>Note that in many instances, reported 'total production' doesn't equal 'attributable production' for the shareholder. This happens when companies operate through joint ventures or when host governments hold free-carried interests. [17, 22]</w:t>
      </w:r>
    </w:p>
    <w:p w14:paraId="18DB99C6" w14:textId="77777777" w:rsidR="00D30181" w:rsidRPr="003310E8" w:rsidRDefault="00000000">
      <w:pPr>
        <w:spacing w:after="120"/>
        <w:rPr>
          <w:rFonts w:asciiTheme="minorHAnsi" w:hAnsiTheme="minorHAnsi"/>
        </w:rPr>
      </w:pPr>
      <w:r w:rsidRPr="003310E8">
        <w:rPr>
          <w:rFonts w:asciiTheme="minorHAnsi" w:hAnsiTheme="minorHAnsi"/>
        </w:rPr>
        <w:lastRenderedPageBreak/>
        <w:t xml:space="preserve">For example, </w:t>
      </w:r>
      <w:proofErr w:type="spellStart"/>
      <w:r w:rsidRPr="003310E8">
        <w:rPr>
          <w:rFonts w:asciiTheme="minorHAnsi" w:hAnsiTheme="minorHAnsi"/>
        </w:rPr>
        <w:t>Valterra</w:t>
      </w:r>
      <w:proofErr w:type="spellEnd"/>
      <w:r w:rsidRPr="003310E8">
        <w:rPr>
          <w:rFonts w:asciiTheme="minorHAnsi" w:hAnsiTheme="minorHAnsi"/>
        </w:rPr>
        <w:t xml:space="preserve"> Platinum processes third-party purchase of concentrate (POC) volumes, including a 50% share of output from the </w:t>
      </w:r>
      <w:proofErr w:type="spellStart"/>
      <w:r w:rsidRPr="003310E8">
        <w:rPr>
          <w:rFonts w:asciiTheme="minorHAnsi" w:hAnsiTheme="minorHAnsi"/>
        </w:rPr>
        <w:t>Modikwa</w:t>
      </w:r>
      <w:proofErr w:type="spellEnd"/>
      <w:r w:rsidRPr="003310E8">
        <w:rPr>
          <w:rFonts w:asciiTheme="minorHAnsi" w:hAnsiTheme="minorHAnsi"/>
        </w:rPr>
        <w:t xml:space="preserve"> joint venture. [17, 23] Similarly, the Karo project in Zimbabwe includes a 15% free-carried interest for the Zimbabwean state. [22]</w:t>
      </w:r>
    </w:p>
    <w:p w14:paraId="3BA6F5E8" w14:textId="77777777" w:rsidR="00D30181" w:rsidRPr="003310E8" w:rsidRDefault="00000000">
      <w:pPr>
        <w:spacing w:after="240"/>
        <w:rPr>
          <w:rFonts w:asciiTheme="minorHAnsi" w:hAnsiTheme="minorHAnsi"/>
        </w:rPr>
      </w:pPr>
      <w:r w:rsidRPr="003310E8">
        <w:rPr>
          <w:rFonts w:asciiTheme="minorHAnsi" w:hAnsiTheme="minorHAnsi"/>
        </w:rPr>
        <w:t>You must subtract these non-attributable volumes to reach the net physical production owned by the investor. [24]</w:t>
      </w:r>
    </w:p>
    <w:p w14:paraId="0F3488DF" w14:textId="77777777" w:rsidR="00D30181" w:rsidRPr="003310E8" w:rsidRDefault="00000000">
      <w:pPr>
        <w:pStyle w:val="Heading2"/>
        <w:rPr>
          <w:rFonts w:asciiTheme="minorHAnsi" w:hAnsiTheme="minorHAnsi"/>
          <w:sz w:val="24"/>
          <w:szCs w:val="24"/>
        </w:rPr>
      </w:pPr>
      <w:r w:rsidRPr="003310E8">
        <w:rPr>
          <w:rFonts w:asciiTheme="minorHAnsi" w:hAnsiTheme="minorHAnsi"/>
          <w:sz w:val="24"/>
          <w:szCs w:val="24"/>
        </w:rPr>
        <w:t>Step 4: The Ounce-per-Currency Unit Formula</w:t>
      </w:r>
    </w:p>
    <w:p w14:paraId="6D738057" w14:textId="77777777" w:rsidR="00D30181" w:rsidRPr="003310E8" w:rsidRDefault="00000000">
      <w:pPr>
        <w:spacing w:after="120"/>
        <w:rPr>
          <w:rFonts w:asciiTheme="minorHAnsi" w:hAnsiTheme="minorHAnsi"/>
        </w:rPr>
      </w:pPr>
      <w:r w:rsidRPr="003310E8">
        <w:rPr>
          <w:rFonts w:asciiTheme="minorHAnsi" w:hAnsiTheme="minorHAnsi"/>
        </w:rPr>
        <w:t xml:space="preserve">The final output of the historic methodology is what I call the </w:t>
      </w:r>
      <w:r w:rsidRPr="003310E8">
        <w:rPr>
          <w:rFonts w:asciiTheme="minorHAnsi" w:hAnsiTheme="minorHAnsi"/>
          <w:b/>
          <w:bCs/>
        </w:rPr>
        <w:t>Production Leverage Ratio</w:t>
      </w:r>
      <w:r w:rsidRPr="003310E8">
        <w:rPr>
          <w:rFonts w:asciiTheme="minorHAnsi" w:hAnsiTheme="minorHAnsi"/>
        </w:rPr>
        <w:t>, which provides the definitive ranking of purchasing power:</w:t>
      </w:r>
    </w:p>
    <w:p w14:paraId="030F85B1" w14:textId="77777777" w:rsidR="00D30181" w:rsidRPr="003310E8" w:rsidRDefault="00000000">
      <w:pPr>
        <w:spacing w:after="120"/>
        <w:rPr>
          <w:rFonts w:asciiTheme="minorHAnsi" w:hAnsiTheme="minorHAnsi"/>
        </w:rPr>
      </w:pPr>
      <w:r w:rsidRPr="003310E8">
        <w:rPr>
          <w:rFonts w:asciiTheme="minorHAnsi" w:hAnsiTheme="minorHAnsi"/>
          <w:i/>
          <w:iCs/>
        </w:rPr>
        <w:t>Production Leverage Ratio = Annual Attributable Production (6E oz) ÷ Fully Diluted Market Cap (£)</w:t>
      </w:r>
    </w:p>
    <w:p w14:paraId="058882FD" w14:textId="77777777" w:rsidR="00D30181" w:rsidRPr="003310E8" w:rsidRDefault="00000000">
      <w:pPr>
        <w:spacing w:after="240"/>
        <w:rPr>
          <w:rFonts w:asciiTheme="minorHAnsi" w:hAnsiTheme="minorHAnsi"/>
        </w:rPr>
      </w:pPr>
      <w:r w:rsidRPr="003310E8">
        <w:rPr>
          <w:rFonts w:asciiTheme="minorHAnsi" w:hAnsiTheme="minorHAnsi"/>
        </w:rPr>
        <w:t>This metric allows you to see precisely how much physical metal exposure your capital secures, independent of the volatility inherent in earnings or dividends. [1, 8]</w:t>
      </w:r>
    </w:p>
    <w:p w14:paraId="6115D36A" w14:textId="77777777" w:rsidR="00D30181" w:rsidRPr="003310E8" w:rsidRDefault="00000000">
      <w:pPr>
        <w:pStyle w:val="Heading1"/>
        <w:rPr>
          <w:rFonts w:asciiTheme="minorHAnsi" w:hAnsiTheme="minorHAnsi"/>
          <w:sz w:val="24"/>
          <w:szCs w:val="24"/>
        </w:rPr>
      </w:pPr>
      <w:r w:rsidRPr="003310E8">
        <w:rPr>
          <w:rFonts w:asciiTheme="minorHAnsi" w:hAnsiTheme="minorHAnsi"/>
          <w:sz w:val="24"/>
          <w:szCs w:val="24"/>
        </w:rPr>
        <w:t>Methodology 2: Forward-Looking Production Extrapolation</w:t>
      </w:r>
    </w:p>
    <w:p w14:paraId="1D5C807D" w14:textId="77777777" w:rsidR="00D30181" w:rsidRPr="003310E8" w:rsidRDefault="00000000">
      <w:pPr>
        <w:spacing w:after="120"/>
        <w:rPr>
          <w:rFonts w:asciiTheme="minorHAnsi" w:hAnsiTheme="minorHAnsi"/>
        </w:rPr>
      </w:pPr>
      <w:r w:rsidRPr="003310E8">
        <w:rPr>
          <w:rFonts w:asciiTheme="minorHAnsi" w:hAnsiTheme="minorHAnsi"/>
        </w:rPr>
        <w:t>Whilst the historic approach provides stability, the forward-looking method is essential for identifying value in growth-oriented stocks where current production is small but future potential is vast. [25, 26]</w:t>
      </w:r>
    </w:p>
    <w:p w14:paraId="00B9F0B0" w14:textId="77777777" w:rsidR="00D30181" w:rsidRPr="003310E8" w:rsidRDefault="00000000">
      <w:pPr>
        <w:spacing w:after="240"/>
        <w:rPr>
          <w:rFonts w:asciiTheme="minorHAnsi" w:hAnsiTheme="minorHAnsi"/>
        </w:rPr>
      </w:pPr>
      <w:r w:rsidRPr="003310E8">
        <w:rPr>
          <w:rFonts w:asciiTheme="minorHAnsi" w:hAnsiTheme="minorHAnsi"/>
        </w:rPr>
        <w:t xml:space="preserve">This is the primary tool for evaluating developers like </w:t>
      </w:r>
      <w:proofErr w:type="spellStart"/>
      <w:r w:rsidRPr="003310E8">
        <w:rPr>
          <w:rFonts w:asciiTheme="minorHAnsi" w:hAnsiTheme="minorHAnsi"/>
        </w:rPr>
        <w:t>Tharisa</w:t>
      </w:r>
      <w:proofErr w:type="spellEnd"/>
      <w:r w:rsidRPr="003310E8">
        <w:rPr>
          <w:rFonts w:asciiTheme="minorHAnsi" w:hAnsiTheme="minorHAnsi"/>
        </w:rPr>
        <w:t xml:space="preserve"> (during its Karo expansion phase) or </w:t>
      </w:r>
      <w:proofErr w:type="spellStart"/>
      <w:r w:rsidRPr="003310E8">
        <w:rPr>
          <w:rFonts w:asciiTheme="minorHAnsi" w:hAnsiTheme="minorHAnsi"/>
        </w:rPr>
        <w:t>Valterra</w:t>
      </w:r>
      <w:proofErr w:type="spellEnd"/>
      <w:r w:rsidRPr="003310E8">
        <w:rPr>
          <w:rFonts w:asciiTheme="minorHAnsi" w:hAnsiTheme="minorHAnsi"/>
        </w:rPr>
        <w:t xml:space="preserve"> (during its </w:t>
      </w:r>
      <w:proofErr w:type="spellStart"/>
      <w:r w:rsidRPr="003310E8">
        <w:rPr>
          <w:rFonts w:asciiTheme="minorHAnsi" w:hAnsiTheme="minorHAnsi"/>
        </w:rPr>
        <w:t>Sandsloot</w:t>
      </w:r>
      <w:proofErr w:type="spellEnd"/>
      <w:r w:rsidRPr="003310E8">
        <w:rPr>
          <w:rFonts w:asciiTheme="minorHAnsi" w:hAnsiTheme="minorHAnsi"/>
        </w:rPr>
        <w:t xml:space="preserve"> underground ramp-up). [9, 27]</w:t>
      </w:r>
    </w:p>
    <w:p w14:paraId="78534908" w14:textId="77777777" w:rsidR="00D30181" w:rsidRPr="003310E8" w:rsidRDefault="00000000">
      <w:pPr>
        <w:pStyle w:val="Heading2"/>
        <w:rPr>
          <w:rFonts w:asciiTheme="minorHAnsi" w:hAnsiTheme="minorHAnsi"/>
          <w:sz w:val="24"/>
          <w:szCs w:val="24"/>
        </w:rPr>
      </w:pPr>
      <w:r w:rsidRPr="003310E8">
        <w:rPr>
          <w:rFonts w:asciiTheme="minorHAnsi" w:hAnsiTheme="minorHAnsi"/>
          <w:sz w:val="24"/>
          <w:szCs w:val="24"/>
        </w:rPr>
        <w:t>Step 1: Identifying Production Catalysts from Technical Reports</w:t>
      </w:r>
    </w:p>
    <w:p w14:paraId="2E25A17C" w14:textId="77777777" w:rsidR="00D30181" w:rsidRPr="003310E8" w:rsidRDefault="00000000">
      <w:pPr>
        <w:spacing w:after="120"/>
        <w:rPr>
          <w:rFonts w:asciiTheme="minorHAnsi" w:hAnsiTheme="minorHAnsi"/>
        </w:rPr>
      </w:pPr>
      <w:r w:rsidRPr="003310E8">
        <w:rPr>
          <w:rFonts w:asciiTheme="minorHAnsi" w:hAnsiTheme="minorHAnsi"/>
        </w:rPr>
        <w:t>The starting point is reviewing technical disclosures—Definitive Feasibility Studies (DFS) or Pre-Feasibility Studies (PFS). These reports provide a multi-year production profile, typically divided into a 'ramp-up' phase and a 'steady-state' phase. [11, 28]</w:t>
      </w:r>
    </w:p>
    <w:p w14:paraId="74B0CE83" w14:textId="77777777" w:rsidR="00D30181" w:rsidRPr="003310E8" w:rsidRDefault="00000000">
      <w:pPr>
        <w:spacing w:after="120"/>
        <w:rPr>
          <w:rFonts w:asciiTheme="minorHAnsi" w:hAnsiTheme="minorHAnsi"/>
        </w:rPr>
      </w:pPr>
      <w:r w:rsidRPr="003310E8">
        <w:rPr>
          <w:rFonts w:asciiTheme="minorHAnsi" w:hAnsiTheme="minorHAnsi"/>
        </w:rPr>
        <w:t xml:space="preserve">For Tharisa's Karo Platinum project, the DFS outlines a Stage 1 production target of 226,000 PGM ounces per annum. [22, 29] For </w:t>
      </w:r>
      <w:proofErr w:type="spellStart"/>
      <w:r w:rsidRPr="003310E8">
        <w:rPr>
          <w:rFonts w:asciiTheme="minorHAnsi" w:hAnsiTheme="minorHAnsi"/>
        </w:rPr>
        <w:t>Valterra</w:t>
      </w:r>
      <w:proofErr w:type="spellEnd"/>
      <w:r w:rsidRPr="003310E8">
        <w:rPr>
          <w:rFonts w:asciiTheme="minorHAnsi" w:hAnsiTheme="minorHAnsi"/>
        </w:rPr>
        <w:t xml:space="preserve">, the </w:t>
      </w:r>
      <w:proofErr w:type="spellStart"/>
      <w:r w:rsidRPr="003310E8">
        <w:rPr>
          <w:rFonts w:asciiTheme="minorHAnsi" w:hAnsiTheme="minorHAnsi"/>
        </w:rPr>
        <w:t>Sandsloot</w:t>
      </w:r>
      <w:proofErr w:type="spellEnd"/>
      <w:r w:rsidRPr="003310E8">
        <w:rPr>
          <w:rFonts w:asciiTheme="minorHAnsi" w:hAnsiTheme="minorHAnsi"/>
        </w:rPr>
        <w:t xml:space="preserve"> underground project feasibility study affirms a target to increase Mogalakwena's concentrate production by 10% to 50% over the next decade. [27, 30]</w:t>
      </w:r>
    </w:p>
    <w:p w14:paraId="3DEF67D5" w14:textId="77777777" w:rsidR="00D30181" w:rsidRPr="003310E8" w:rsidRDefault="00000000">
      <w:pPr>
        <w:spacing w:after="240"/>
        <w:rPr>
          <w:rFonts w:asciiTheme="minorHAnsi" w:hAnsiTheme="minorHAnsi"/>
        </w:rPr>
      </w:pPr>
      <w:r w:rsidRPr="003310E8">
        <w:rPr>
          <w:rFonts w:asciiTheme="minorHAnsi" w:hAnsiTheme="minorHAnsi"/>
        </w:rPr>
        <w:t>These figures must be extracted and treated as the 'future base case' for production. [31]</w:t>
      </w:r>
    </w:p>
    <w:p w14:paraId="246F341E" w14:textId="77777777" w:rsidR="00D30181" w:rsidRPr="003310E8" w:rsidRDefault="00000000">
      <w:pPr>
        <w:pStyle w:val="Heading2"/>
        <w:rPr>
          <w:rFonts w:asciiTheme="minorHAnsi" w:hAnsiTheme="minorHAnsi"/>
          <w:sz w:val="24"/>
          <w:szCs w:val="24"/>
        </w:rPr>
      </w:pPr>
      <w:r w:rsidRPr="003310E8">
        <w:rPr>
          <w:rFonts w:asciiTheme="minorHAnsi" w:hAnsiTheme="minorHAnsi"/>
          <w:sz w:val="24"/>
          <w:szCs w:val="24"/>
        </w:rPr>
        <w:t>Step 2: Modelling the Production Ramp-Up Curve</w:t>
      </w:r>
    </w:p>
    <w:p w14:paraId="592F1F4A" w14:textId="5DC100D4" w:rsidR="00D30181" w:rsidRPr="003310E8" w:rsidRDefault="00000000">
      <w:pPr>
        <w:spacing w:after="120"/>
        <w:rPr>
          <w:rFonts w:asciiTheme="minorHAnsi" w:hAnsiTheme="minorHAnsi"/>
        </w:rPr>
      </w:pPr>
      <w:r w:rsidRPr="003310E8">
        <w:rPr>
          <w:rFonts w:asciiTheme="minorHAnsi" w:hAnsiTheme="minorHAnsi"/>
        </w:rPr>
        <w:t xml:space="preserve">It's a common error to assume a new mine will hit full production in its first year of operation. </w:t>
      </w:r>
      <w:r w:rsidR="0062737A">
        <w:rPr>
          <w:rFonts w:asciiTheme="minorHAnsi" w:hAnsiTheme="minorHAnsi"/>
        </w:rPr>
        <w:t>It seems obvious to me that t</w:t>
      </w:r>
      <w:r w:rsidRPr="003310E8">
        <w:rPr>
          <w:rFonts w:asciiTheme="minorHAnsi" w:hAnsiTheme="minorHAnsi"/>
        </w:rPr>
        <w:t>he extrapolation approach must model the time-lag between 'first ore' and 'nameplate capacity'. [11, 21]</w:t>
      </w:r>
    </w:p>
    <w:p w14:paraId="7FD04327" w14:textId="77777777" w:rsidR="00D30181" w:rsidRPr="003310E8" w:rsidRDefault="00000000">
      <w:pPr>
        <w:spacing w:after="120"/>
        <w:rPr>
          <w:rFonts w:asciiTheme="minorHAnsi" w:hAnsiTheme="minorHAnsi"/>
        </w:rPr>
      </w:pPr>
      <w:r w:rsidRPr="003310E8">
        <w:rPr>
          <w:rFonts w:asciiTheme="minorHAnsi" w:hAnsiTheme="minorHAnsi"/>
        </w:rPr>
        <w:t xml:space="preserve">For example, Tharisa's Apollo portal transition involves a ramp-up phase projected through September 2027, reaching steady-state only in late 2028. [31] Sylvania's Thaba JV followed a similar trajectory, with commissioning in late 2025 and </w:t>
      </w:r>
      <w:proofErr w:type="gramStart"/>
      <w:r w:rsidRPr="003310E8">
        <w:rPr>
          <w:rFonts w:asciiTheme="minorHAnsi" w:hAnsiTheme="minorHAnsi"/>
        </w:rPr>
        <w:t>steady-state</w:t>
      </w:r>
      <w:proofErr w:type="gramEnd"/>
      <w:r w:rsidRPr="003310E8">
        <w:rPr>
          <w:rFonts w:asciiTheme="minorHAnsi" w:hAnsiTheme="minorHAnsi"/>
        </w:rPr>
        <w:t xml:space="preserve"> expected by Q3 2026. [10, 33]</w:t>
      </w:r>
    </w:p>
    <w:p w14:paraId="73AD373C" w14:textId="77777777" w:rsidR="00D30181" w:rsidRPr="003310E8" w:rsidRDefault="00000000">
      <w:pPr>
        <w:spacing w:after="240"/>
        <w:rPr>
          <w:rFonts w:asciiTheme="minorHAnsi" w:hAnsiTheme="minorHAnsi"/>
        </w:rPr>
      </w:pPr>
      <w:r w:rsidRPr="003310E8">
        <w:rPr>
          <w:rFonts w:asciiTheme="minorHAnsi" w:hAnsiTheme="minorHAnsi"/>
        </w:rPr>
        <w:t>An accurate extrapolation models these quarterly increments to avoid overstating near-term value. [10, 31, 32]</w:t>
      </w:r>
    </w:p>
    <w:p w14:paraId="572CF39A" w14:textId="77777777" w:rsidR="00D30181" w:rsidRPr="003310E8" w:rsidRDefault="00000000">
      <w:pPr>
        <w:pStyle w:val="Heading2"/>
        <w:rPr>
          <w:rFonts w:asciiTheme="minorHAnsi" w:hAnsiTheme="minorHAnsi"/>
          <w:sz w:val="24"/>
          <w:szCs w:val="24"/>
        </w:rPr>
      </w:pPr>
      <w:r w:rsidRPr="003310E8">
        <w:rPr>
          <w:rFonts w:asciiTheme="minorHAnsi" w:hAnsiTheme="minorHAnsi"/>
          <w:sz w:val="24"/>
          <w:szCs w:val="24"/>
        </w:rPr>
        <w:lastRenderedPageBreak/>
        <w:t>Step 3: Probability-Weighting Construction Risk</w:t>
      </w:r>
    </w:p>
    <w:p w14:paraId="728A500E" w14:textId="2F523F12" w:rsidR="00D30181" w:rsidRPr="003310E8" w:rsidRDefault="00000000">
      <w:pPr>
        <w:spacing w:after="120"/>
        <w:rPr>
          <w:rFonts w:asciiTheme="minorHAnsi" w:hAnsiTheme="minorHAnsi"/>
        </w:rPr>
      </w:pPr>
      <w:r w:rsidRPr="003310E8">
        <w:rPr>
          <w:rFonts w:asciiTheme="minorHAnsi" w:hAnsiTheme="minorHAnsi"/>
        </w:rPr>
        <w:t xml:space="preserve">The 'purchasing power' of future ounces is worth less than that of current ounces because of the risk that the project is never completed. Analysts </w:t>
      </w:r>
      <w:r w:rsidR="0062737A">
        <w:rPr>
          <w:rFonts w:asciiTheme="minorHAnsi" w:hAnsiTheme="minorHAnsi"/>
        </w:rPr>
        <w:t xml:space="preserve">typically </w:t>
      </w:r>
      <w:r w:rsidRPr="003310E8">
        <w:rPr>
          <w:rFonts w:asciiTheme="minorHAnsi" w:hAnsiTheme="minorHAnsi"/>
        </w:rPr>
        <w:t>apply a probability factor based on the stage of development: [1, 25]</w:t>
      </w:r>
    </w:p>
    <w:p w14:paraId="3F2E259E" w14:textId="77777777" w:rsidR="00D30181" w:rsidRPr="003310E8" w:rsidRDefault="00000000">
      <w:pPr>
        <w:pStyle w:val="ListParagraph"/>
        <w:numPr>
          <w:ilvl w:val="0"/>
          <w:numId w:val="2"/>
        </w:numPr>
        <w:rPr>
          <w:rFonts w:asciiTheme="minorHAnsi" w:hAnsiTheme="minorHAnsi"/>
        </w:rPr>
      </w:pPr>
      <w:r w:rsidRPr="003310E8">
        <w:rPr>
          <w:rFonts w:asciiTheme="minorHAnsi" w:hAnsiTheme="minorHAnsi"/>
          <w:b/>
          <w:bCs/>
        </w:rPr>
        <w:t>Exploration/Concept:</w:t>
      </w:r>
      <w:r w:rsidRPr="003310E8">
        <w:rPr>
          <w:rFonts w:asciiTheme="minorHAnsi" w:hAnsiTheme="minorHAnsi"/>
        </w:rPr>
        <w:t xml:space="preserve"> 5% - 10% probability of production</w:t>
      </w:r>
    </w:p>
    <w:p w14:paraId="6865F40A" w14:textId="77777777" w:rsidR="00D30181" w:rsidRPr="003310E8" w:rsidRDefault="00000000">
      <w:pPr>
        <w:pStyle w:val="ListParagraph"/>
        <w:numPr>
          <w:ilvl w:val="0"/>
          <w:numId w:val="2"/>
        </w:numPr>
        <w:rPr>
          <w:rFonts w:asciiTheme="minorHAnsi" w:hAnsiTheme="minorHAnsi"/>
        </w:rPr>
      </w:pPr>
      <w:r w:rsidRPr="003310E8">
        <w:rPr>
          <w:rFonts w:asciiTheme="minorHAnsi" w:hAnsiTheme="minorHAnsi"/>
          <w:b/>
          <w:bCs/>
        </w:rPr>
        <w:t>Feasibility/Permitting:</w:t>
      </w:r>
      <w:r w:rsidRPr="003310E8">
        <w:rPr>
          <w:rFonts w:asciiTheme="minorHAnsi" w:hAnsiTheme="minorHAnsi"/>
        </w:rPr>
        <w:t xml:space="preserve"> 25% - 50% probability</w:t>
      </w:r>
    </w:p>
    <w:p w14:paraId="2A501513" w14:textId="77777777" w:rsidR="00D30181" w:rsidRPr="003310E8" w:rsidRDefault="00000000">
      <w:pPr>
        <w:pStyle w:val="ListParagraph"/>
        <w:numPr>
          <w:ilvl w:val="0"/>
          <w:numId w:val="2"/>
        </w:numPr>
        <w:rPr>
          <w:rFonts w:asciiTheme="minorHAnsi" w:hAnsiTheme="minorHAnsi"/>
        </w:rPr>
      </w:pPr>
      <w:r w:rsidRPr="003310E8">
        <w:rPr>
          <w:rFonts w:asciiTheme="minorHAnsi" w:hAnsiTheme="minorHAnsi"/>
          <w:b/>
          <w:bCs/>
        </w:rPr>
        <w:t>Financed/Construction Started:</w:t>
      </w:r>
      <w:r w:rsidRPr="003310E8">
        <w:rPr>
          <w:rFonts w:asciiTheme="minorHAnsi" w:hAnsiTheme="minorHAnsi"/>
        </w:rPr>
        <w:t xml:space="preserve"> 75% - 90% probability</w:t>
      </w:r>
    </w:p>
    <w:p w14:paraId="5D4553E4" w14:textId="77777777" w:rsidR="00D30181" w:rsidRPr="003310E8" w:rsidRDefault="00000000">
      <w:pPr>
        <w:pStyle w:val="ListParagraph"/>
        <w:numPr>
          <w:ilvl w:val="0"/>
          <w:numId w:val="2"/>
        </w:numPr>
        <w:spacing w:after="120"/>
        <w:rPr>
          <w:rFonts w:asciiTheme="minorHAnsi" w:hAnsiTheme="minorHAnsi"/>
        </w:rPr>
      </w:pPr>
      <w:r w:rsidRPr="003310E8">
        <w:rPr>
          <w:rFonts w:asciiTheme="minorHAnsi" w:hAnsiTheme="minorHAnsi"/>
          <w:b/>
          <w:bCs/>
        </w:rPr>
        <w:t>Commissioning Started:</w:t>
      </w:r>
      <w:r w:rsidRPr="003310E8">
        <w:rPr>
          <w:rFonts w:asciiTheme="minorHAnsi" w:hAnsiTheme="minorHAnsi"/>
        </w:rPr>
        <w:t xml:space="preserve"> 95%+ probability</w:t>
      </w:r>
    </w:p>
    <w:p w14:paraId="47B03170" w14:textId="4E57881D" w:rsidR="00D30181" w:rsidRPr="003310E8" w:rsidRDefault="0062737A">
      <w:pPr>
        <w:spacing w:after="240"/>
        <w:rPr>
          <w:rFonts w:asciiTheme="minorHAnsi" w:hAnsiTheme="minorHAnsi"/>
        </w:rPr>
      </w:pPr>
      <w:r>
        <w:rPr>
          <w:rFonts w:asciiTheme="minorHAnsi" w:hAnsiTheme="minorHAnsi"/>
        </w:rPr>
        <w:t xml:space="preserve">As an example, </w:t>
      </w:r>
      <w:r w:rsidR="00000000" w:rsidRPr="003310E8">
        <w:rPr>
          <w:rFonts w:asciiTheme="minorHAnsi" w:hAnsiTheme="minorHAnsi"/>
        </w:rPr>
        <w:t>Tharisa's Karo project moved into the high-probability category in early 2026 after the award of the major mining contract to EPSA and the 78% completion of structural steel works at the mill building. [22, 34]</w:t>
      </w:r>
    </w:p>
    <w:p w14:paraId="4D6566D6" w14:textId="77777777" w:rsidR="00D30181" w:rsidRPr="003310E8" w:rsidRDefault="00000000">
      <w:pPr>
        <w:pStyle w:val="Heading2"/>
        <w:rPr>
          <w:rFonts w:asciiTheme="minorHAnsi" w:hAnsiTheme="minorHAnsi"/>
          <w:sz w:val="24"/>
          <w:szCs w:val="24"/>
        </w:rPr>
      </w:pPr>
      <w:r w:rsidRPr="003310E8">
        <w:rPr>
          <w:rFonts w:asciiTheme="minorHAnsi" w:hAnsiTheme="minorHAnsi"/>
          <w:sz w:val="24"/>
          <w:szCs w:val="24"/>
        </w:rPr>
        <w:t>Step 4: The Future Production Leverage Ratio</w:t>
      </w:r>
    </w:p>
    <w:p w14:paraId="4626EEB7" w14:textId="1240A7AC" w:rsidR="00D30181" w:rsidRPr="003310E8" w:rsidRDefault="00000000">
      <w:pPr>
        <w:spacing w:after="120"/>
        <w:rPr>
          <w:rFonts w:asciiTheme="minorHAnsi" w:hAnsiTheme="minorHAnsi"/>
        </w:rPr>
      </w:pPr>
      <w:r w:rsidRPr="003310E8">
        <w:rPr>
          <w:rFonts w:asciiTheme="minorHAnsi" w:hAnsiTheme="minorHAnsi"/>
        </w:rPr>
        <w:t>To calculate the 'Future Ounce per £1</w:t>
      </w:r>
      <w:r w:rsidR="0062737A">
        <w:rPr>
          <w:rFonts w:asciiTheme="minorHAnsi" w:hAnsiTheme="minorHAnsi"/>
        </w:rPr>
        <w:t xml:space="preserve"> (or $)</w:t>
      </w:r>
      <w:r w:rsidRPr="003310E8">
        <w:rPr>
          <w:rFonts w:asciiTheme="minorHAnsi" w:hAnsiTheme="minorHAnsi"/>
        </w:rPr>
        <w:t xml:space="preserve">', compare the projected steady-state production against the </w:t>
      </w:r>
      <w:r w:rsidRPr="003310E8">
        <w:rPr>
          <w:rFonts w:asciiTheme="minorHAnsi" w:hAnsiTheme="minorHAnsi"/>
          <w:i/>
          <w:iCs/>
        </w:rPr>
        <w:t>current</w:t>
      </w:r>
      <w:r w:rsidRPr="003310E8">
        <w:rPr>
          <w:rFonts w:asciiTheme="minorHAnsi" w:hAnsiTheme="minorHAnsi"/>
        </w:rPr>
        <w:t xml:space="preserve"> market capitalisation. This highlights companies whose growth is currently undervalued by the market. [35, 36]</w:t>
      </w:r>
    </w:p>
    <w:p w14:paraId="5EA0CD8D" w14:textId="77777777" w:rsidR="00D30181" w:rsidRPr="003310E8" w:rsidRDefault="00000000">
      <w:pPr>
        <w:spacing w:after="240"/>
        <w:rPr>
          <w:rFonts w:asciiTheme="minorHAnsi" w:hAnsiTheme="minorHAnsi"/>
        </w:rPr>
      </w:pPr>
      <w:r w:rsidRPr="003310E8">
        <w:rPr>
          <w:rFonts w:asciiTheme="minorHAnsi" w:hAnsiTheme="minorHAnsi"/>
        </w:rPr>
        <w:t>This metric identifies 're-rating' candidates—stocks where the successful delivery of a project will force the market to assign a higher valuation to the newly expanded production base. [26, 29]</w:t>
      </w:r>
    </w:p>
    <w:p w14:paraId="59FA89B7" w14:textId="77777777" w:rsidR="00D30181" w:rsidRPr="003310E8" w:rsidRDefault="00000000">
      <w:pPr>
        <w:pStyle w:val="Heading1"/>
        <w:rPr>
          <w:rFonts w:asciiTheme="minorHAnsi" w:hAnsiTheme="minorHAnsi"/>
          <w:sz w:val="24"/>
          <w:szCs w:val="24"/>
        </w:rPr>
      </w:pPr>
      <w:r w:rsidRPr="003310E8">
        <w:rPr>
          <w:rFonts w:asciiTheme="minorHAnsi" w:hAnsiTheme="minorHAnsi"/>
          <w:sz w:val="24"/>
          <w:szCs w:val="24"/>
        </w:rPr>
        <w:t>Case Study: 2025 Historic Benchmarks for VALT, THS, and SLP</w:t>
      </w:r>
    </w:p>
    <w:p w14:paraId="7B82161B" w14:textId="77777777" w:rsidR="00D30181" w:rsidRPr="003310E8" w:rsidRDefault="00000000">
      <w:pPr>
        <w:spacing w:after="120"/>
        <w:rPr>
          <w:rFonts w:asciiTheme="minorHAnsi" w:hAnsiTheme="minorHAnsi"/>
        </w:rPr>
      </w:pPr>
      <w:r w:rsidRPr="003310E8">
        <w:rPr>
          <w:rFonts w:asciiTheme="minorHAnsi" w:hAnsiTheme="minorHAnsi"/>
        </w:rPr>
        <w:t>Right, let's apply the first methodology to the 2025 calendar year. This provides a stark illustration of the value discrepancies currently available in the UK-listed PGM sector.</w:t>
      </w:r>
    </w:p>
    <w:p w14:paraId="489707D6" w14:textId="77777777" w:rsidR="00D30181" w:rsidRPr="003310E8" w:rsidRDefault="00000000">
      <w:pPr>
        <w:spacing w:after="240"/>
        <w:rPr>
          <w:rFonts w:asciiTheme="minorHAnsi" w:hAnsiTheme="minorHAnsi"/>
        </w:rPr>
      </w:pPr>
      <w:r w:rsidRPr="003310E8">
        <w:rPr>
          <w:rFonts w:asciiTheme="minorHAnsi" w:hAnsiTheme="minorHAnsi"/>
        </w:rPr>
        <w:t xml:space="preserve">The following data </w:t>
      </w:r>
      <w:proofErr w:type="gramStart"/>
      <w:r w:rsidRPr="003310E8">
        <w:rPr>
          <w:rFonts w:asciiTheme="minorHAnsi" w:hAnsiTheme="minorHAnsi"/>
        </w:rPr>
        <w:t>uses</w:t>
      </w:r>
      <w:proofErr w:type="gramEnd"/>
      <w:r w:rsidRPr="003310E8">
        <w:rPr>
          <w:rFonts w:asciiTheme="minorHAnsi" w:hAnsiTheme="minorHAnsi"/>
        </w:rPr>
        <w:t xml:space="preserve"> fully diluted share counts and share prices as of 26th January 2026. [17, 21, 37]</w:t>
      </w:r>
    </w:p>
    <w:p w14:paraId="65148AA9" w14:textId="77777777" w:rsidR="00D30181" w:rsidRPr="003310E8" w:rsidRDefault="00000000">
      <w:pPr>
        <w:pStyle w:val="Heading2"/>
        <w:rPr>
          <w:rFonts w:asciiTheme="minorHAnsi" w:hAnsiTheme="minorHAnsi"/>
          <w:sz w:val="24"/>
          <w:szCs w:val="24"/>
        </w:rPr>
      </w:pPr>
      <w:r w:rsidRPr="003310E8">
        <w:rPr>
          <w:rFonts w:asciiTheme="minorHAnsi" w:hAnsiTheme="minorHAnsi"/>
          <w:sz w:val="24"/>
          <w:szCs w:val="24"/>
        </w:rPr>
        <w:t xml:space="preserve">Findings: </w:t>
      </w:r>
      <w:proofErr w:type="spellStart"/>
      <w:r w:rsidRPr="003310E8">
        <w:rPr>
          <w:rFonts w:asciiTheme="minorHAnsi" w:hAnsiTheme="minorHAnsi"/>
          <w:sz w:val="24"/>
          <w:szCs w:val="24"/>
        </w:rPr>
        <w:t>Tharisa</w:t>
      </w:r>
      <w:proofErr w:type="spellEnd"/>
      <w:r w:rsidRPr="003310E8">
        <w:rPr>
          <w:rFonts w:asciiTheme="minorHAnsi" w:hAnsiTheme="minorHAnsi"/>
          <w:sz w:val="24"/>
          <w:szCs w:val="24"/>
        </w:rPr>
        <w:t xml:space="preserve"> plc as the Value Leader</w:t>
      </w:r>
    </w:p>
    <w:p w14:paraId="60186124" w14:textId="77777777" w:rsidR="00D30181" w:rsidRPr="003310E8" w:rsidRDefault="00000000">
      <w:pPr>
        <w:spacing w:after="120"/>
        <w:rPr>
          <w:rFonts w:asciiTheme="minorHAnsi" w:hAnsiTheme="minorHAnsi"/>
        </w:rPr>
      </w:pPr>
      <w:r w:rsidRPr="003310E8">
        <w:rPr>
          <w:rFonts w:asciiTheme="minorHAnsi" w:hAnsiTheme="minorHAnsi"/>
        </w:rPr>
        <w:t xml:space="preserve">The analysis identifies </w:t>
      </w:r>
      <w:proofErr w:type="spellStart"/>
      <w:r w:rsidRPr="003310E8">
        <w:rPr>
          <w:rFonts w:asciiTheme="minorHAnsi" w:hAnsiTheme="minorHAnsi"/>
        </w:rPr>
        <w:t>Tharisa</w:t>
      </w:r>
      <w:proofErr w:type="spellEnd"/>
      <w:r w:rsidRPr="003310E8">
        <w:rPr>
          <w:rFonts w:asciiTheme="minorHAnsi" w:hAnsiTheme="minorHAnsi"/>
        </w:rPr>
        <w:t xml:space="preserve"> plc as the undisputed leader in physical production leverage. For every £1 invested in </w:t>
      </w:r>
      <w:proofErr w:type="spellStart"/>
      <w:r w:rsidRPr="003310E8">
        <w:rPr>
          <w:rFonts w:asciiTheme="minorHAnsi" w:hAnsiTheme="minorHAnsi"/>
        </w:rPr>
        <w:t>Tharisa</w:t>
      </w:r>
      <w:proofErr w:type="spellEnd"/>
      <w:r w:rsidRPr="003310E8">
        <w:rPr>
          <w:rFonts w:asciiTheme="minorHAnsi" w:hAnsiTheme="minorHAnsi"/>
        </w:rPr>
        <w:t xml:space="preserve">, the shareholder acquires a claim to 0.000355 ounces of PGM production—approximately 2.4 times more metal than an investment in </w:t>
      </w:r>
      <w:proofErr w:type="spellStart"/>
      <w:r w:rsidRPr="003310E8">
        <w:rPr>
          <w:rFonts w:asciiTheme="minorHAnsi" w:hAnsiTheme="minorHAnsi"/>
        </w:rPr>
        <w:t>Valterra</w:t>
      </w:r>
      <w:proofErr w:type="spellEnd"/>
      <w:r w:rsidRPr="003310E8">
        <w:rPr>
          <w:rFonts w:asciiTheme="minorHAnsi" w:hAnsiTheme="minorHAnsi"/>
        </w:rPr>
        <w:t xml:space="preserve"> Platinum and 32% more than Sylvania Platinum.</w:t>
      </w:r>
    </w:p>
    <w:p w14:paraId="22538390" w14:textId="77777777" w:rsidR="00D30181" w:rsidRPr="003310E8" w:rsidRDefault="00000000">
      <w:pPr>
        <w:spacing w:after="120"/>
        <w:rPr>
          <w:rFonts w:asciiTheme="minorHAnsi" w:hAnsiTheme="minorHAnsi"/>
        </w:rPr>
      </w:pPr>
      <w:r w:rsidRPr="003310E8">
        <w:rPr>
          <w:rFonts w:asciiTheme="minorHAnsi" w:hAnsiTheme="minorHAnsi"/>
        </w:rPr>
        <w:t xml:space="preserve">Now, this is particularly significant because </w:t>
      </w:r>
      <w:proofErr w:type="spellStart"/>
      <w:r w:rsidRPr="003310E8">
        <w:rPr>
          <w:rFonts w:asciiTheme="minorHAnsi" w:hAnsiTheme="minorHAnsi"/>
        </w:rPr>
        <w:t>Tharisa</w:t>
      </w:r>
      <w:proofErr w:type="spellEnd"/>
      <w:r w:rsidRPr="003310E8">
        <w:rPr>
          <w:rFonts w:asciiTheme="minorHAnsi" w:hAnsiTheme="minorHAnsi"/>
        </w:rPr>
        <w:t xml:space="preserve"> is a co-producer. That £1 investment pays for both the PGM production </w:t>
      </w:r>
      <w:r w:rsidRPr="003310E8">
        <w:rPr>
          <w:rFonts w:asciiTheme="minorHAnsi" w:hAnsiTheme="minorHAnsi"/>
          <w:i/>
          <w:iCs/>
        </w:rPr>
        <w:t>and</w:t>
      </w:r>
      <w:r w:rsidRPr="003310E8">
        <w:rPr>
          <w:rFonts w:asciiTheme="minorHAnsi" w:hAnsiTheme="minorHAnsi"/>
        </w:rPr>
        <w:t xml:space="preserve"> the 1.56 million tonnes of annual chrome production. [18, 37]</w:t>
      </w:r>
    </w:p>
    <w:p w14:paraId="78EAEAD9" w14:textId="77777777" w:rsidR="00D30181" w:rsidRPr="003310E8" w:rsidRDefault="00000000">
      <w:pPr>
        <w:spacing w:after="240"/>
        <w:rPr>
          <w:rFonts w:asciiTheme="minorHAnsi" w:hAnsiTheme="minorHAnsi"/>
        </w:rPr>
      </w:pPr>
      <w:r w:rsidRPr="003310E8">
        <w:rPr>
          <w:rFonts w:asciiTheme="minorHAnsi" w:hAnsiTheme="minorHAnsi"/>
        </w:rPr>
        <w:t xml:space="preserve">The fact that </w:t>
      </w:r>
      <w:proofErr w:type="spellStart"/>
      <w:r w:rsidRPr="003310E8">
        <w:rPr>
          <w:rFonts w:asciiTheme="minorHAnsi" w:hAnsiTheme="minorHAnsi"/>
        </w:rPr>
        <w:t>Tharisa</w:t>
      </w:r>
      <w:proofErr w:type="spellEnd"/>
      <w:r w:rsidRPr="003310E8">
        <w:rPr>
          <w:rFonts w:asciiTheme="minorHAnsi" w:hAnsiTheme="minorHAnsi"/>
        </w:rPr>
        <w:t xml:space="preserve"> offers the highest production leverage on its PGM assets—alone—implies that the market is currently assigning a negative value to its massive chrome </w:t>
      </w:r>
      <w:proofErr w:type="gramStart"/>
      <w:r w:rsidRPr="003310E8">
        <w:rPr>
          <w:rFonts w:asciiTheme="minorHAnsi" w:hAnsiTheme="minorHAnsi"/>
        </w:rPr>
        <w:t>operations, or</w:t>
      </w:r>
      <w:proofErr w:type="gramEnd"/>
      <w:r w:rsidRPr="003310E8">
        <w:rPr>
          <w:rFonts w:asciiTheme="minorHAnsi" w:hAnsiTheme="minorHAnsi"/>
        </w:rPr>
        <w:t xml:space="preserve"> applying a severe discount to its complex corporate structure and jurisdictional risks. [9, 38]</w:t>
      </w:r>
    </w:p>
    <w:p w14:paraId="6740883B" w14:textId="77777777" w:rsidR="00D30181" w:rsidRPr="003310E8" w:rsidRDefault="00000000">
      <w:pPr>
        <w:pStyle w:val="Heading2"/>
        <w:rPr>
          <w:rFonts w:asciiTheme="minorHAnsi" w:hAnsiTheme="minorHAnsi"/>
          <w:sz w:val="24"/>
          <w:szCs w:val="24"/>
        </w:rPr>
      </w:pPr>
      <w:r w:rsidRPr="003310E8">
        <w:rPr>
          <w:rFonts w:asciiTheme="minorHAnsi" w:hAnsiTheme="minorHAnsi"/>
          <w:sz w:val="24"/>
          <w:szCs w:val="24"/>
        </w:rPr>
        <w:t xml:space="preserve">Findings: </w:t>
      </w:r>
      <w:proofErr w:type="spellStart"/>
      <w:r w:rsidRPr="003310E8">
        <w:rPr>
          <w:rFonts w:asciiTheme="minorHAnsi" w:hAnsiTheme="minorHAnsi"/>
          <w:sz w:val="24"/>
          <w:szCs w:val="24"/>
        </w:rPr>
        <w:t>Valterra's</w:t>
      </w:r>
      <w:proofErr w:type="spellEnd"/>
      <w:r w:rsidRPr="003310E8">
        <w:rPr>
          <w:rFonts w:asciiTheme="minorHAnsi" w:hAnsiTheme="minorHAnsi"/>
          <w:sz w:val="24"/>
          <w:szCs w:val="24"/>
        </w:rPr>
        <w:t xml:space="preserve"> Premium and Growth Narrative</w:t>
      </w:r>
    </w:p>
    <w:p w14:paraId="31B733F3" w14:textId="77777777" w:rsidR="00D30181" w:rsidRPr="003310E8" w:rsidRDefault="00000000">
      <w:pPr>
        <w:spacing w:after="120"/>
        <w:rPr>
          <w:rFonts w:asciiTheme="minorHAnsi" w:hAnsiTheme="minorHAnsi"/>
        </w:rPr>
      </w:pPr>
      <w:proofErr w:type="spellStart"/>
      <w:r w:rsidRPr="003310E8">
        <w:rPr>
          <w:rFonts w:asciiTheme="minorHAnsi" w:hAnsiTheme="minorHAnsi"/>
        </w:rPr>
        <w:t>Valterra</w:t>
      </w:r>
      <w:proofErr w:type="spellEnd"/>
      <w:r w:rsidRPr="003310E8">
        <w:rPr>
          <w:rFonts w:asciiTheme="minorHAnsi" w:hAnsiTheme="minorHAnsi"/>
        </w:rPr>
        <w:t xml:space="preserve"> Platinum offers the lowest physical production leverage per pound invested. However, this 'expensiveness' must be contextualised.</w:t>
      </w:r>
    </w:p>
    <w:p w14:paraId="5C50B60F" w14:textId="77777777" w:rsidR="00D30181" w:rsidRPr="003310E8" w:rsidRDefault="00000000">
      <w:pPr>
        <w:spacing w:after="120"/>
        <w:rPr>
          <w:rFonts w:asciiTheme="minorHAnsi" w:hAnsiTheme="minorHAnsi"/>
        </w:rPr>
      </w:pPr>
      <w:r w:rsidRPr="003310E8">
        <w:rPr>
          <w:rFonts w:asciiTheme="minorHAnsi" w:hAnsiTheme="minorHAnsi"/>
        </w:rPr>
        <w:lastRenderedPageBreak/>
        <w:t xml:space="preserve">As the top global producer of platinum, </w:t>
      </w:r>
      <w:proofErr w:type="spellStart"/>
      <w:r w:rsidRPr="003310E8">
        <w:rPr>
          <w:rFonts w:asciiTheme="minorHAnsi" w:hAnsiTheme="minorHAnsi"/>
        </w:rPr>
        <w:t>Valterra</w:t>
      </w:r>
      <w:proofErr w:type="spellEnd"/>
      <w:r w:rsidRPr="003310E8">
        <w:rPr>
          <w:rFonts w:asciiTheme="minorHAnsi" w:hAnsiTheme="minorHAnsi"/>
        </w:rPr>
        <w:t xml:space="preserve"> commands a 'major's premium'. [39, 40] Investors are paying for the quality of the Mogalakwena asset—a low-cost, open-pit mine with an 85-year life of mine—and the stability of a pure-play entity following its successful demerger from Anglo American in May 2025. [17]</w:t>
      </w:r>
    </w:p>
    <w:p w14:paraId="1F6553EA" w14:textId="77777777" w:rsidR="00D30181" w:rsidRDefault="00000000">
      <w:pPr>
        <w:spacing w:after="120"/>
        <w:rPr>
          <w:rFonts w:asciiTheme="minorHAnsi" w:hAnsiTheme="minorHAnsi"/>
        </w:rPr>
      </w:pPr>
      <w:r w:rsidRPr="003310E8">
        <w:rPr>
          <w:rFonts w:asciiTheme="minorHAnsi" w:hAnsiTheme="minorHAnsi"/>
        </w:rPr>
        <w:t xml:space="preserve">Furthermore, </w:t>
      </w:r>
      <w:proofErr w:type="spellStart"/>
      <w:r w:rsidRPr="003310E8">
        <w:rPr>
          <w:rFonts w:asciiTheme="minorHAnsi" w:hAnsiTheme="minorHAnsi"/>
        </w:rPr>
        <w:t>Valterra's</w:t>
      </w:r>
      <w:proofErr w:type="spellEnd"/>
      <w:r w:rsidRPr="003310E8">
        <w:rPr>
          <w:rFonts w:asciiTheme="minorHAnsi" w:hAnsiTheme="minorHAnsi"/>
        </w:rPr>
        <w:t xml:space="preserve"> Q4 2025 performance showed massive momentum, with refined production hitting 1.0 million ounces for the quarter and average basket prices rising 41% year-on-year. [41, 42]</w:t>
      </w:r>
    </w:p>
    <w:p w14:paraId="5D37BDAB" w14:textId="3D21A045" w:rsidR="00DA2708" w:rsidRPr="003310E8" w:rsidRDefault="00DA2708">
      <w:pPr>
        <w:spacing w:after="120"/>
        <w:rPr>
          <w:rFonts w:asciiTheme="minorHAnsi" w:hAnsiTheme="minorHAnsi"/>
        </w:rPr>
      </w:pPr>
      <w:r>
        <w:rPr>
          <w:rFonts w:asciiTheme="minorHAnsi" w:hAnsiTheme="minorHAnsi"/>
        </w:rPr>
        <w:t>Another factor was the ‘hit’ on production of the widely reported production in early 2025, which severely dented H1 production.</w:t>
      </w:r>
    </w:p>
    <w:p w14:paraId="0D50F228" w14:textId="77777777" w:rsidR="00D30181" w:rsidRPr="003310E8" w:rsidRDefault="00000000">
      <w:pPr>
        <w:spacing w:after="240"/>
        <w:rPr>
          <w:rFonts w:asciiTheme="minorHAnsi" w:hAnsiTheme="minorHAnsi"/>
        </w:rPr>
      </w:pPr>
      <w:r w:rsidRPr="003310E8">
        <w:rPr>
          <w:rFonts w:asciiTheme="minorHAnsi" w:hAnsiTheme="minorHAnsi"/>
        </w:rPr>
        <w:t xml:space="preserve">For institutional investors seeking certainty of production, </w:t>
      </w:r>
      <w:proofErr w:type="spellStart"/>
      <w:r w:rsidRPr="003310E8">
        <w:rPr>
          <w:rFonts w:asciiTheme="minorHAnsi" w:hAnsiTheme="minorHAnsi"/>
        </w:rPr>
        <w:t>Valterra</w:t>
      </w:r>
      <w:proofErr w:type="spellEnd"/>
      <w:r w:rsidRPr="003310E8">
        <w:rPr>
          <w:rFonts w:asciiTheme="minorHAnsi" w:hAnsiTheme="minorHAnsi"/>
        </w:rPr>
        <w:t xml:space="preserve"> remains the foundational allocation, even if it offers less physical leverage than its mid-tier peers. [17]</w:t>
      </w:r>
    </w:p>
    <w:p w14:paraId="75669A35" w14:textId="77777777" w:rsidR="00D30181" w:rsidRPr="003310E8" w:rsidRDefault="00000000">
      <w:pPr>
        <w:pStyle w:val="Heading1"/>
        <w:rPr>
          <w:rFonts w:asciiTheme="minorHAnsi" w:hAnsiTheme="minorHAnsi"/>
          <w:sz w:val="24"/>
          <w:szCs w:val="24"/>
        </w:rPr>
      </w:pPr>
      <w:r w:rsidRPr="003310E8">
        <w:rPr>
          <w:rFonts w:asciiTheme="minorHAnsi" w:hAnsiTheme="minorHAnsi"/>
          <w:sz w:val="24"/>
          <w:szCs w:val="24"/>
        </w:rPr>
        <w:t xml:space="preserve">The Strategic Expansion of </w:t>
      </w:r>
      <w:proofErr w:type="spellStart"/>
      <w:r w:rsidRPr="003310E8">
        <w:rPr>
          <w:rFonts w:asciiTheme="minorHAnsi" w:hAnsiTheme="minorHAnsi"/>
          <w:sz w:val="24"/>
          <w:szCs w:val="24"/>
        </w:rPr>
        <w:t>Tharisa</w:t>
      </w:r>
      <w:proofErr w:type="spellEnd"/>
      <w:r w:rsidRPr="003310E8">
        <w:rPr>
          <w:rFonts w:asciiTheme="minorHAnsi" w:hAnsiTheme="minorHAnsi"/>
          <w:sz w:val="24"/>
          <w:szCs w:val="24"/>
        </w:rPr>
        <w:t>: Modelling Future Purchasing Power</w:t>
      </w:r>
    </w:p>
    <w:p w14:paraId="7C36CD80" w14:textId="77777777" w:rsidR="00D30181" w:rsidRPr="003310E8" w:rsidRDefault="00000000">
      <w:pPr>
        <w:spacing w:after="120"/>
        <w:rPr>
          <w:rFonts w:asciiTheme="minorHAnsi" w:hAnsiTheme="minorHAnsi"/>
        </w:rPr>
      </w:pPr>
      <w:r w:rsidRPr="003310E8">
        <w:rPr>
          <w:rFonts w:asciiTheme="minorHAnsi" w:hAnsiTheme="minorHAnsi"/>
        </w:rPr>
        <w:t xml:space="preserve">To understand why </w:t>
      </w:r>
      <w:proofErr w:type="spellStart"/>
      <w:r w:rsidRPr="003310E8">
        <w:rPr>
          <w:rFonts w:asciiTheme="minorHAnsi" w:hAnsiTheme="minorHAnsi"/>
        </w:rPr>
        <w:t>Tharisa</w:t>
      </w:r>
      <w:proofErr w:type="spellEnd"/>
      <w:r w:rsidRPr="003310E8">
        <w:rPr>
          <w:rFonts w:asciiTheme="minorHAnsi" w:hAnsiTheme="minorHAnsi"/>
        </w:rPr>
        <w:t xml:space="preserve"> might be the most undervalued stock in the cohort, we need to apply the Forward-Looking Extrapolation Methodology to its current growth pipeline.</w:t>
      </w:r>
    </w:p>
    <w:p w14:paraId="5D769737" w14:textId="77777777" w:rsidR="00D30181" w:rsidRPr="003310E8" w:rsidRDefault="00000000">
      <w:pPr>
        <w:spacing w:after="240"/>
        <w:rPr>
          <w:rFonts w:asciiTheme="minorHAnsi" w:hAnsiTheme="minorHAnsi"/>
        </w:rPr>
      </w:pPr>
      <w:proofErr w:type="spellStart"/>
      <w:r w:rsidRPr="003310E8">
        <w:rPr>
          <w:rFonts w:asciiTheme="minorHAnsi" w:hAnsiTheme="minorHAnsi"/>
        </w:rPr>
        <w:t>Tharisa</w:t>
      </w:r>
      <w:proofErr w:type="spellEnd"/>
      <w:r w:rsidRPr="003310E8">
        <w:rPr>
          <w:rFonts w:asciiTheme="minorHAnsi" w:hAnsiTheme="minorHAnsi"/>
        </w:rPr>
        <w:t xml:space="preserve"> is currently undergoing a 'step-change' in its production profile through two simultaneous catalysts. [9, 43]</w:t>
      </w:r>
    </w:p>
    <w:p w14:paraId="29941297" w14:textId="77777777" w:rsidR="00D30181" w:rsidRPr="003310E8" w:rsidRDefault="00000000">
      <w:pPr>
        <w:pStyle w:val="Heading2"/>
        <w:rPr>
          <w:rFonts w:asciiTheme="minorHAnsi" w:hAnsiTheme="minorHAnsi"/>
          <w:sz w:val="24"/>
          <w:szCs w:val="24"/>
        </w:rPr>
      </w:pPr>
      <w:r w:rsidRPr="003310E8">
        <w:rPr>
          <w:rFonts w:asciiTheme="minorHAnsi" w:hAnsiTheme="minorHAnsi"/>
          <w:sz w:val="24"/>
          <w:szCs w:val="24"/>
        </w:rPr>
        <w:t>The Karo Platinum Catalyst (Zimbabwe)</w:t>
      </w:r>
    </w:p>
    <w:p w14:paraId="3099FD21" w14:textId="77777777" w:rsidR="00D30181" w:rsidRPr="003310E8" w:rsidRDefault="00000000">
      <w:pPr>
        <w:spacing w:after="120"/>
        <w:rPr>
          <w:rFonts w:asciiTheme="minorHAnsi" w:hAnsiTheme="minorHAnsi"/>
        </w:rPr>
      </w:pPr>
      <w:r w:rsidRPr="003310E8">
        <w:rPr>
          <w:rFonts w:asciiTheme="minorHAnsi" w:hAnsiTheme="minorHAnsi"/>
        </w:rPr>
        <w:t>The Karo project is a tier-one greenfield development located on the Great Dyke of Zimbabwe, a region renowned for some of the most consistent PGM grades globally. [29, 44]</w:t>
      </w:r>
    </w:p>
    <w:p w14:paraId="1E909F66" w14:textId="77777777" w:rsidR="00D30181" w:rsidRPr="003310E8" w:rsidRDefault="00000000">
      <w:pPr>
        <w:spacing w:after="120"/>
        <w:rPr>
          <w:rFonts w:asciiTheme="minorHAnsi" w:hAnsiTheme="minorHAnsi"/>
        </w:rPr>
      </w:pPr>
      <w:r w:rsidRPr="003310E8">
        <w:rPr>
          <w:rFonts w:asciiTheme="minorHAnsi" w:hAnsiTheme="minorHAnsi"/>
        </w:rPr>
        <w:t>Despite a temporary slowdown in 2024 due to low metal prices, the project regained full momentum in early 2026 following a sharp rally in platinum and rhodium prices. [22, 29]</w:t>
      </w:r>
    </w:p>
    <w:p w14:paraId="2D3FDFAD" w14:textId="77777777" w:rsidR="00D30181" w:rsidRPr="003310E8" w:rsidRDefault="00000000">
      <w:pPr>
        <w:spacing w:after="120"/>
        <w:rPr>
          <w:rFonts w:asciiTheme="minorHAnsi" w:hAnsiTheme="minorHAnsi"/>
        </w:rPr>
      </w:pPr>
      <w:r w:rsidRPr="003310E8">
        <w:rPr>
          <w:rFonts w:asciiTheme="minorHAnsi" w:hAnsiTheme="minorHAnsi"/>
          <w:b/>
          <w:bCs/>
        </w:rPr>
        <w:t>Key Karo milestones for the extrapolation model:</w:t>
      </w:r>
    </w:p>
    <w:p w14:paraId="0674BE9A" w14:textId="77777777" w:rsidR="00D30181" w:rsidRPr="003310E8" w:rsidRDefault="00000000">
      <w:pPr>
        <w:pStyle w:val="ListParagraph"/>
        <w:numPr>
          <w:ilvl w:val="0"/>
          <w:numId w:val="2"/>
        </w:numPr>
        <w:rPr>
          <w:rFonts w:asciiTheme="minorHAnsi" w:hAnsiTheme="minorHAnsi"/>
        </w:rPr>
      </w:pPr>
      <w:r w:rsidRPr="003310E8">
        <w:rPr>
          <w:rFonts w:asciiTheme="minorHAnsi" w:hAnsiTheme="minorHAnsi"/>
          <w:b/>
          <w:bCs/>
        </w:rPr>
        <w:t>First Ore Target:</w:t>
      </w:r>
      <w:r w:rsidRPr="003310E8">
        <w:rPr>
          <w:rFonts w:asciiTheme="minorHAnsi" w:hAnsiTheme="minorHAnsi"/>
        </w:rPr>
        <w:t xml:space="preserve"> Mid-2027 [22, 29]</w:t>
      </w:r>
    </w:p>
    <w:p w14:paraId="47C0C9C0" w14:textId="77777777" w:rsidR="00D30181" w:rsidRPr="003310E8" w:rsidRDefault="00000000">
      <w:pPr>
        <w:pStyle w:val="ListParagraph"/>
        <w:numPr>
          <w:ilvl w:val="0"/>
          <w:numId w:val="2"/>
        </w:numPr>
        <w:rPr>
          <w:rFonts w:asciiTheme="minorHAnsi" w:hAnsiTheme="minorHAnsi"/>
        </w:rPr>
      </w:pPr>
      <w:r w:rsidRPr="003310E8">
        <w:rPr>
          <w:rFonts w:asciiTheme="minorHAnsi" w:hAnsiTheme="minorHAnsi"/>
          <w:b/>
          <w:bCs/>
        </w:rPr>
        <w:t>Projected Annual Output:</w:t>
      </w:r>
      <w:r w:rsidRPr="003310E8">
        <w:rPr>
          <w:rFonts w:asciiTheme="minorHAnsi" w:hAnsiTheme="minorHAnsi"/>
        </w:rPr>
        <w:t xml:space="preserve"> 226,000 PGM ounces (Stage 1) [29, 34]</w:t>
      </w:r>
    </w:p>
    <w:p w14:paraId="4A08A03E" w14:textId="77777777" w:rsidR="00D30181" w:rsidRPr="003310E8" w:rsidRDefault="00000000">
      <w:pPr>
        <w:pStyle w:val="ListParagraph"/>
        <w:numPr>
          <w:ilvl w:val="0"/>
          <w:numId w:val="2"/>
        </w:numPr>
        <w:spacing w:after="240"/>
        <w:rPr>
          <w:rFonts w:asciiTheme="minorHAnsi" w:hAnsiTheme="minorHAnsi"/>
        </w:rPr>
      </w:pPr>
      <w:r w:rsidRPr="003310E8">
        <w:rPr>
          <w:rFonts w:asciiTheme="minorHAnsi" w:hAnsiTheme="minorHAnsi"/>
          <w:b/>
          <w:bCs/>
        </w:rPr>
        <w:t>Infrastructure Progress:</w:t>
      </w:r>
      <w:r w:rsidRPr="003310E8">
        <w:rPr>
          <w:rFonts w:asciiTheme="minorHAnsi" w:hAnsiTheme="minorHAnsi"/>
        </w:rPr>
        <w:t xml:space="preserve"> </w:t>
      </w:r>
      <w:proofErr w:type="spellStart"/>
      <w:r w:rsidRPr="003310E8">
        <w:rPr>
          <w:rFonts w:asciiTheme="minorHAnsi" w:hAnsiTheme="minorHAnsi"/>
        </w:rPr>
        <w:t>Chirundazi</w:t>
      </w:r>
      <w:proofErr w:type="spellEnd"/>
      <w:r w:rsidRPr="003310E8">
        <w:rPr>
          <w:rFonts w:asciiTheme="minorHAnsi" w:hAnsiTheme="minorHAnsi"/>
        </w:rPr>
        <w:t xml:space="preserve"> Dam 27% complete; mill building structural steel 78% complete; 132kV transmission line poles 25% installed [22, 34]</w:t>
      </w:r>
    </w:p>
    <w:p w14:paraId="47F84E07" w14:textId="77777777" w:rsidR="00D30181" w:rsidRPr="003310E8" w:rsidRDefault="00000000">
      <w:pPr>
        <w:pStyle w:val="Heading2"/>
        <w:rPr>
          <w:rFonts w:asciiTheme="minorHAnsi" w:hAnsiTheme="minorHAnsi"/>
          <w:sz w:val="24"/>
          <w:szCs w:val="24"/>
        </w:rPr>
      </w:pPr>
      <w:r w:rsidRPr="003310E8">
        <w:rPr>
          <w:rFonts w:asciiTheme="minorHAnsi" w:hAnsiTheme="minorHAnsi"/>
          <w:sz w:val="24"/>
          <w:szCs w:val="24"/>
        </w:rPr>
        <w:t xml:space="preserve">The </w:t>
      </w:r>
      <w:proofErr w:type="spellStart"/>
      <w:r w:rsidRPr="003310E8">
        <w:rPr>
          <w:rFonts w:asciiTheme="minorHAnsi" w:hAnsiTheme="minorHAnsi"/>
          <w:sz w:val="24"/>
          <w:szCs w:val="24"/>
        </w:rPr>
        <w:t>Tharisa</w:t>
      </w:r>
      <w:proofErr w:type="spellEnd"/>
      <w:r w:rsidRPr="003310E8">
        <w:rPr>
          <w:rFonts w:asciiTheme="minorHAnsi" w:hAnsiTheme="minorHAnsi"/>
          <w:sz w:val="24"/>
          <w:szCs w:val="24"/>
        </w:rPr>
        <w:t xml:space="preserve"> Mine Underground Transition</w:t>
      </w:r>
    </w:p>
    <w:p w14:paraId="1BD644C7" w14:textId="77777777" w:rsidR="00D30181" w:rsidRPr="003310E8" w:rsidRDefault="00000000">
      <w:pPr>
        <w:spacing w:after="120"/>
        <w:rPr>
          <w:rFonts w:asciiTheme="minorHAnsi" w:hAnsiTheme="minorHAnsi"/>
        </w:rPr>
      </w:pPr>
      <w:r w:rsidRPr="003310E8">
        <w:rPr>
          <w:rFonts w:asciiTheme="minorHAnsi" w:hAnsiTheme="minorHAnsi"/>
        </w:rPr>
        <w:t xml:space="preserve">Simultaneously, </w:t>
      </w:r>
      <w:proofErr w:type="spellStart"/>
      <w:r w:rsidRPr="003310E8">
        <w:rPr>
          <w:rFonts w:asciiTheme="minorHAnsi" w:hAnsiTheme="minorHAnsi"/>
        </w:rPr>
        <w:t>Tharisa</w:t>
      </w:r>
      <w:proofErr w:type="spellEnd"/>
      <w:r w:rsidRPr="003310E8">
        <w:rPr>
          <w:rFonts w:asciiTheme="minorHAnsi" w:hAnsiTheme="minorHAnsi"/>
        </w:rPr>
        <w:t xml:space="preserve"> is investing $547 million over the next decade to transition its South African </w:t>
      </w:r>
      <w:proofErr w:type="gramStart"/>
      <w:r w:rsidRPr="003310E8">
        <w:rPr>
          <w:rFonts w:asciiTheme="minorHAnsi" w:hAnsiTheme="minorHAnsi"/>
        </w:rPr>
        <w:t>open-pit</w:t>
      </w:r>
      <w:proofErr w:type="gramEnd"/>
      <w:r w:rsidRPr="003310E8">
        <w:rPr>
          <w:rFonts w:asciiTheme="minorHAnsi" w:hAnsiTheme="minorHAnsi"/>
        </w:rPr>
        <w:t xml:space="preserve"> mine to a mechanised underground operation. [15, 45]</w:t>
      </w:r>
    </w:p>
    <w:p w14:paraId="06193ECB" w14:textId="77777777" w:rsidR="00D30181" w:rsidRDefault="00000000">
      <w:pPr>
        <w:spacing w:after="120"/>
        <w:rPr>
          <w:rFonts w:asciiTheme="minorHAnsi" w:hAnsiTheme="minorHAnsi"/>
        </w:rPr>
      </w:pPr>
      <w:r w:rsidRPr="003310E8">
        <w:rPr>
          <w:rFonts w:asciiTheme="minorHAnsi" w:hAnsiTheme="minorHAnsi"/>
        </w:rPr>
        <w:t>This isn't merely a replacement project; it's a grade-optimisation strategy. The move to the MG2 and MG4 horizons is expected to deliver cleaner ore with higher grades (1.71 g/t 6E) compared to the current open-pit feed. [31, 44]</w:t>
      </w:r>
    </w:p>
    <w:p w14:paraId="1684C2FB" w14:textId="77777777" w:rsidR="00DA2708" w:rsidRDefault="00DA2708">
      <w:pPr>
        <w:spacing w:after="120"/>
        <w:rPr>
          <w:rFonts w:asciiTheme="minorHAnsi" w:hAnsiTheme="minorHAnsi"/>
        </w:rPr>
      </w:pPr>
    </w:p>
    <w:p w14:paraId="66BD44CB" w14:textId="77777777" w:rsidR="00DA2708" w:rsidRDefault="00DA2708">
      <w:pPr>
        <w:spacing w:after="120"/>
        <w:rPr>
          <w:rFonts w:asciiTheme="minorHAnsi" w:hAnsiTheme="minorHAnsi"/>
        </w:rPr>
      </w:pPr>
    </w:p>
    <w:p w14:paraId="0AEA1E82" w14:textId="77777777" w:rsidR="00DA2708" w:rsidRPr="003310E8" w:rsidRDefault="00DA2708">
      <w:pPr>
        <w:spacing w:after="120"/>
        <w:rPr>
          <w:rFonts w:asciiTheme="minorHAnsi" w:hAnsiTheme="minorHAnsi"/>
        </w:rPr>
      </w:pPr>
    </w:p>
    <w:p w14:paraId="118AA394" w14:textId="77777777" w:rsidR="00D30181" w:rsidRPr="003310E8" w:rsidRDefault="00000000">
      <w:pPr>
        <w:pStyle w:val="Heading2"/>
        <w:rPr>
          <w:rFonts w:asciiTheme="minorHAnsi" w:hAnsiTheme="minorHAnsi"/>
          <w:sz w:val="24"/>
          <w:szCs w:val="24"/>
        </w:rPr>
      </w:pPr>
      <w:r w:rsidRPr="003310E8">
        <w:rPr>
          <w:rFonts w:asciiTheme="minorHAnsi" w:hAnsiTheme="minorHAnsi"/>
          <w:sz w:val="24"/>
          <w:szCs w:val="24"/>
        </w:rPr>
        <w:lastRenderedPageBreak/>
        <w:t>Extrapolated Future Purchasing Power (2028-2030)</w:t>
      </w:r>
    </w:p>
    <w:p w14:paraId="0EB2103A" w14:textId="77777777" w:rsidR="00D30181" w:rsidRPr="003310E8" w:rsidRDefault="00000000">
      <w:pPr>
        <w:spacing w:after="120"/>
        <w:rPr>
          <w:rFonts w:asciiTheme="minorHAnsi" w:hAnsiTheme="minorHAnsi"/>
        </w:rPr>
      </w:pPr>
      <w:r w:rsidRPr="003310E8">
        <w:rPr>
          <w:rFonts w:asciiTheme="minorHAnsi" w:hAnsiTheme="minorHAnsi"/>
        </w:rPr>
        <w:t xml:space="preserve">If we extrapolate Tharisa's production to its projected </w:t>
      </w:r>
      <w:proofErr w:type="gramStart"/>
      <w:r w:rsidRPr="003310E8">
        <w:rPr>
          <w:rFonts w:asciiTheme="minorHAnsi" w:hAnsiTheme="minorHAnsi"/>
        </w:rPr>
        <w:t>steady-state</w:t>
      </w:r>
      <w:proofErr w:type="gramEnd"/>
      <w:r w:rsidRPr="003310E8">
        <w:rPr>
          <w:rFonts w:asciiTheme="minorHAnsi" w:hAnsiTheme="minorHAnsi"/>
        </w:rPr>
        <w:t xml:space="preserve"> of ~400,000 PGM ounces (Group total) and 2 million tonnes of chrome concentrate, the future purchasing power becomes extraordinary.</w:t>
      </w:r>
    </w:p>
    <w:p w14:paraId="60254208" w14:textId="77777777" w:rsidR="00D30181" w:rsidRPr="003310E8" w:rsidRDefault="00000000">
      <w:pPr>
        <w:spacing w:after="120"/>
        <w:rPr>
          <w:rFonts w:asciiTheme="minorHAnsi" w:hAnsiTheme="minorHAnsi"/>
        </w:rPr>
      </w:pPr>
      <w:r w:rsidRPr="003310E8">
        <w:rPr>
          <w:rFonts w:asciiTheme="minorHAnsi" w:hAnsiTheme="minorHAnsi"/>
        </w:rPr>
        <w:t>Applying the current market capitalisation of £414.5 million to a steady-state 400,000 oz production profile results in a future production leverage ratio of approximately 0.000965 oz per £1.</w:t>
      </w:r>
    </w:p>
    <w:p w14:paraId="10631941" w14:textId="77777777" w:rsidR="00D30181" w:rsidRPr="003310E8" w:rsidRDefault="00000000">
      <w:pPr>
        <w:spacing w:after="240"/>
        <w:rPr>
          <w:rFonts w:asciiTheme="minorHAnsi" w:hAnsiTheme="minorHAnsi"/>
        </w:rPr>
      </w:pPr>
      <w:r w:rsidRPr="003310E8">
        <w:rPr>
          <w:rFonts w:asciiTheme="minorHAnsi" w:hAnsiTheme="minorHAnsi"/>
        </w:rPr>
        <w:t xml:space="preserve">This represents a near-tripling of the current physical leverage. This 'multi-generational' resource base suggests that </w:t>
      </w:r>
      <w:proofErr w:type="spellStart"/>
      <w:r w:rsidRPr="003310E8">
        <w:rPr>
          <w:rFonts w:asciiTheme="minorHAnsi" w:hAnsiTheme="minorHAnsi"/>
        </w:rPr>
        <w:t>Tharisa</w:t>
      </w:r>
      <w:proofErr w:type="spellEnd"/>
      <w:r w:rsidRPr="003310E8">
        <w:rPr>
          <w:rFonts w:asciiTheme="minorHAnsi" w:hAnsiTheme="minorHAnsi"/>
        </w:rPr>
        <w:t xml:space="preserve"> is currently priced for its present challenges rather than its highly probable future expansion. [43, 46]</w:t>
      </w:r>
    </w:p>
    <w:p w14:paraId="44CC9F1D" w14:textId="77777777" w:rsidR="00D30181" w:rsidRPr="003310E8" w:rsidRDefault="00000000">
      <w:pPr>
        <w:pStyle w:val="Heading1"/>
        <w:rPr>
          <w:rFonts w:asciiTheme="minorHAnsi" w:hAnsiTheme="minorHAnsi"/>
          <w:sz w:val="24"/>
          <w:szCs w:val="24"/>
        </w:rPr>
      </w:pPr>
      <w:r w:rsidRPr="003310E8">
        <w:rPr>
          <w:rFonts w:asciiTheme="minorHAnsi" w:hAnsiTheme="minorHAnsi"/>
          <w:sz w:val="24"/>
          <w:szCs w:val="24"/>
        </w:rPr>
        <w:t>Sylvania Platinum: The Efficiency and Tailings Paradigm</w:t>
      </w:r>
    </w:p>
    <w:p w14:paraId="790106D4" w14:textId="77777777" w:rsidR="00D30181" w:rsidRPr="003310E8" w:rsidRDefault="00000000">
      <w:pPr>
        <w:spacing w:after="120"/>
        <w:rPr>
          <w:rFonts w:asciiTheme="minorHAnsi" w:hAnsiTheme="minorHAnsi"/>
        </w:rPr>
      </w:pPr>
      <w:r w:rsidRPr="003310E8">
        <w:rPr>
          <w:rFonts w:asciiTheme="minorHAnsi" w:hAnsiTheme="minorHAnsi"/>
        </w:rPr>
        <w:t>Sylvania Platinum represents the 'efficiency play' in the UK PGM sector. Its model of reprocessing tailings dumps from the chrome mining industry provides a fundamentally different risk-reward profile than traditional mining. [47, 48]</w:t>
      </w:r>
    </w:p>
    <w:p w14:paraId="376FF76A" w14:textId="77777777" w:rsidR="00D30181" w:rsidRPr="003310E8" w:rsidRDefault="00000000">
      <w:pPr>
        <w:spacing w:after="120"/>
        <w:rPr>
          <w:rFonts w:asciiTheme="minorHAnsi" w:hAnsiTheme="minorHAnsi"/>
        </w:rPr>
      </w:pPr>
      <w:r w:rsidRPr="003310E8">
        <w:rPr>
          <w:rFonts w:asciiTheme="minorHAnsi" w:hAnsiTheme="minorHAnsi"/>
        </w:rPr>
        <w:t>Sylvania's Sylvania Dump Operations (SDO) achieved record-breaking performance in late 2025. In the quarter ended 31st December 2025 (Q2 FY2026), the company achieved its highest quarterly production in history: 24,642 4E ounces (31,380 6E ounces). [21, 33]</w:t>
      </w:r>
    </w:p>
    <w:p w14:paraId="5D7375D9" w14:textId="77777777" w:rsidR="00D30181" w:rsidRPr="003310E8" w:rsidRDefault="00000000">
      <w:pPr>
        <w:spacing w:after="240"/>
        <w:rPr>
          <w:rFonts w:asciiTheme="minorHAnsi" w:hAnsiTheme="minorHAnsi"/>
        </w:rPr>
      </w:pPr>
      <w:r w:rsidRPr="003310E8">
        <w:rPr>
          <w:rFonts w:asciiTheme="minorHAnsi" w:hAnsiTheme="minorHAnsi"/>
        </w:rPr>
        <w:t>This growth was achieved whilst processing fewer tonnes, illustrating a mastery of process optimisation and a successful strategy of focusing on 'value over volume'. [10, 21, 32]</w:t>
      </w:r>
    </w:p>
    <w:p w14:paraId="317CE597" w14:textId="77777777" w:rsidR="00D30181" w:rsidRPr="003310E8" w:rsidRDefault="00000000">
      <w:pPr>
        <w:pStyle w:val="Heading1"/>
        <w:rPr>
          <w:rFonts w:asciiTheme="minorHAnsi" w:hAnsiTheme="minorHAnsi"/>
          <w:sz w:val="24"/>
          <w:szCs w:val="24"/>
        </w:rPr>
      </w:pPr>
      <w:r w:rsidRPr="003310E8">
        <w:rPr>
          <w:rFonts w:asciiTheme="minorHAnsi" w:hAnsiTheme="minorHAnsi"/>
          <w:sz w:val="24"/>
          <w:szCs w:val="24"/>
        </w:rPr>
        <w:t>The PGM Market Context: Deficits, Volatility, and the 2026 Outlook</w:t>
      </w:r>
    </w:p>
    <w:p w14:paraId="1F80B0F1" w14:textId="77777777" w:rsidR="00D30181" w:rsidRPr="003310E8" w:rsidRDefault="00000000">
      <w:pPr>
        <w:spacing w:after="120"/>
        <w:rPr>
          <w:rFonts w:asciiTheme="minorHAnsi" w:hAnsiTheme="minorHAnsi"/>
        </w:rPr>
      </w:pPr>
      <w:r w:rsidRPr="003310E8">
        <w:rPr>
          <w:rFonts w:asciiTheme="minorHAnsi" w:hAnsiTheme="minorHAnsi"/>
        </w:rPr>
        <w:t>The validity of the physical production leverage framework is intrinsically linked to the underlying commodity market. A high-leverage stock is only valuable if the commodity price is stable or rising. [8, 51]</w:t>
      </w:r>
    </w:p>
    <w:p w14:paraId="2710D449" w14:textId="77777777" w:rsidR="00D30181" w:rsidRPr="003310E8" w:rsidRDefault="00000000">
      <w:pPr>
        <w:spacing w:after="240"/>
        <w:rPr>
          <w:rFonts w:asciiTheme="minorHAnsi" w:hAnsiTheme="minorHAnsi"/>
        </w:rPr>
      </w:pPr>
      <w:r w:rsidRPr="003310E8">
        <w:rPr>
          <w:rFonts w:asciiTheme="minorHAnsi" w:hAnsiTheme="minorHAnsi"/>
        </w:rPr>
        <w:t>In early 2026, the PGM market has entered a period of extreme structural tension.</w:t>
      </w:r>
    </w:p>
    <w:p w14:paraId="4BACB9FA" w14:textId="77777777" w:rsidR="00D30181" w:rsidRPr="003310E8" w:rsidRDefault="00000000">
      <w:pPr>
        <w:pStyle w:val="Heading2"/>
        <w:rPr>
          <w:rFonts w:asciiTheme="minorHAnsi" w:hAnsiTheme="minorHAnsi"/>
          <w:sz w:val="24"/>
          <w:szCs w:val="24"/>
        </w:rPr>
      </w:pPr>
      <w:r w:rsidRPr="003310E8">
        <w:rPr>
          <w:rFonts w:asciiTheme="minorHAnsi" w:hAnsiTheme="minorHAnsi"/>
          <w:sz w:val="24"/>
          <w:szCs w:val="24"/>
        </w:rPr>
        <w:t>Structural Supply Shortfalls</w:t>
      </w:r>
    </w:p>
    <w:p w14:paraId="3C679445" w14:textId="77777777" w:rsidR="00D30181" w:rsidRPr="003310E8" w:rsidRDefault="00000000">
      <w:pPr>
        <w:spacing w:after="120"/>
        <w:rPr>
          <w:rFonts w:asciiTheme="minorHAnsi" w:hAnsiTheme="minorHAnsi"/>
        </w:rPr>
      </w:pPr>
      <w:r w:rsidRPr="003310E8">
        <w:rPr>
          <w:rFonts w:asciiTheme="minorHAnsi" w:hAnsiTheme="minorHAnsi"/>
        </w:rPr>
        <w:t>Platinum has remained in a structural deficit since 2023, with the shortfall projected to exceed 1 million ounces in 2026. [52]</w:t>
      </w:r>
    </w:p>
    <w:p w14:paraId="6CAFFCD8" w14:textId="77777777" w:rsidR="00D30181" w:rsidRPr="003310E8" w:rsidRDefault="00000000">
      <w:pPr>
        <w:spacing w:after="120"/>
        <w:rPr>
          <w:rFonts w:asciiTheme="minorHAnsi" w:hAnsiTheme="minorHAnsi"/>
        </w:rPr>
      </w:pPr>
      <w:r w:rsidRPr="003310E8">
        <w:rPr>
          <w:rFonts w:asciiTheme="minorHAnsi" w:hAnsiTheme="minorHAnsi"/>
        </w:rPr>
        <w:t xml:space="preserve">This imbalance is the result of years of underinvestment in the South African mining belt, where multiple high-cost shafts have been closed or placed on care and maintenance since 2016 (e.g., Bokoni, </w:t>
      </w:r>
      <w:proofErr w:type="spellStart"/>
      <w:r w:rsidRPr="003310E8">
        <w:rPr>
          <w:rFonts w:asciiTheme="minorHAnsi" w:hAnsiTheme="minorHAnsi"/>
        </w:rPr>
        <w:t>Kroondal</w:t>
      </w:r>
      <w:proofErr w:type="spellEnd"/>
      <w:r w:rsidRPr="003310E8">
        <w:rPr>
          <w:rFonts w:asciiTheme="minorHAnsi" w:hAnsiTheme="minorHAnsi"/>
        </w:rPr>
        <w:t>, and Rustenburg shafts). [53, 54]</w:t>
      </w:r>
    </w:p>
    <w:p w14:paraId="3683EC3F" w14:textId="77777777" w:rsidR="00D30181" w:rsidRPr="003310E8" w:rsidRDefault="00000000">
      <w:pPr>
        <w:spacing w:after="240"/>
        <w:rPr>
          <w:rFonts w:asciiTheme="minorHAnsi" w:hAnsiTheme="minorHAnsi"/>
        </w:rPr>
      </w:pPr>
      <w:r w:rsidRPr="003310E8">
        <w:rPr>
          <w:rFonts w:asciiTheme="minorHAnsi" w:hAnsiTheme="minorHAnsi"/>
        </w:rPr>
        <w:t>Above-ground inventories have depleted to critically low levels—less than five months of consumption coverage—which historically precedes periods of heightened price volatility and rapid upward movements. [52, 54]</w:t>
      </w:r>
    </w:p>
    <w:p w14:paraId="7E0AF770" w14:textId="77777777" w:rsidR="00D30181" w:rsidRPr="003310E8" w:rsidRDefault="00000000">
      <w:pPr>
        <w:pStyle w:val="Heading1"/>
        <w:rPr>
          <w:rFonts w:asciiTheme="minorHAnsi" w:hAnsiTheme="minorHAnsi"/>
          <w:sz w:val="24"/>
          <w:szCs w:val="24"/>
        </w:rPr>
      </w:pPr>
      <w:r w:rsidRPr="003310E8">
        <w:rPr>
          <w:rFonts w:asciiTheme="minorHAnsi" w:hAnsiTheme="minorHAnsi"/>
          <w:sz w:val="24"/>
          <w:szCs w:val="24"/>
        </w:rPr>
        <w:t>Conclusions and Practical Implementation</w:t>
      </w:r>
    </w:p>
    <w:p w14:paraId="05C379A1" w14:textId="60F7C48C" w:rsidR="00D30181" w:rsidRPr="003310E8" w:rsidRDefault="00B35FB6">
      <w:pPr>
        <w:spacing w:after="120"/>
        <w:rPr>
          <w:rFonts w:asciiTheme="minorHAnsi" w:hAnsiTheme="minorHAnsi"/>
        </w:rPr>
      </w:pPr>
      <w:r>
        <w:rPr>
          <w:rFonts w:asciiTheme="minorHAnsi" w:hAnsiTheme="minorHAnsi"/>
        </w:rPr>
        <w:t xml:space="preserve">OK, let me </w:t>
      </w:r>
      <w:r w:rsidR="00000000" w:rsidRPr="003310E8">
        <w:rPr>
          <w:rFonts w:asciiTheme="minorHAnsi" w:hAnsiTheme="minorHAnsi"/>
        </w:rPr>
        <w:t>bring this all together.</w:t>
      </w:r>
    </w:p>
    <w:p w14:paraId="371DC55E" w14:textId="7B5F54D0" w:rsidR="00D30181" w:rsidRPr="003310E8" w:rsidRDefault="00000000">
      <w:pPr>
        <w:spacing w:after="120"/>
        <w:rPr>
          <w:rFonts w:asciiTheme="minorHAnsi" w:hAnsiTheme="minorHAnsi"/>
        </w:rPr>
      </w:pPr>
      <w:r w:rsidRPr="003310E8">
        <w:rPr>
          <w:rFonts w:asciiTheme="minorHAnsi" w:hAnsiTheme="minorHAnsi"/>
        </w:rPr>
        <w:lastRenderedPageBreak/>
        <w:t xml:space="preserve">The transition from commodity speculator to fundamental mining investor requires a rigorous application of the physical production leverage framework. The evidence from the UK PGM sector demonstrates that relying on P/E ratios alone is insufficient, as it fails </w:t>
      </w:r>
      <w:r w:rsidR="00B35FB6">
        <w:rPr>
          <w:rFonts w:asciiTheme="minorHAnsi" w:hAnsiTheme="minorHAnsi"/>
        </w:rPr>
        <w:t xml:space="preserve">(IMHO) </w:t>
      </w:r>
      <w:r w:rsidRPr="003310E8">
        <w:rPr>
          <w:rFonts w:asciiTheme="minorHAnsi" w:hAnsiTheme="minorHAnsi"/>
        </w:rPr>
        <w:t>to capture the 'purchasing power' of investment capital relative to the underlying physical assets.</w:t>
      </w:r>
    </w:p>
    <w:p w14:paraId="1D97C6EC" w14:textId="77777777" w:rsidR="003310E8" w:rsidRDefault="003310E8">
      <w:pPr>
        <w:pStyle w:val="Heading2"/>
        <w:rPr>
          <w:rFonts w:asciiTheme="minorHAnsi" w:hAnsiTheme="minorHAnsi"/>
          <w:sz w:val="24"/>
          <w:szCs w:val="24"/>
        </w:rPr>
      </w:pPr>
    </w:p>
    <w:p w14:paraId="0C29839D" w14:textId="406C80D8" w:rsidR="00D30181" w:rsidRPr="003310E8" w:rsidRDefault="00000000">
      <w:pPr>
        <w:pStyle w:val="Heading2"/>
        <w:rPr>
          <w:rFonts w:asciiTheme="minorHAnsi" w:hAnsiTheme="minorHAnsi"/>
          <w:sz w:val="24"/>
          <w:szCs w:val="24"/>
        </w:rPr>
      </w:pPr>
      <w:r w:rsidRPr="003310E8">
        <w:rPr>
          <w:rFonts w:asciiTheme="minorHAnsi" w:hAnsiTheme="minorHAnsi"/>
          <w:sz w:val="24"/>
          <w:szCs w:val="24"/>
        </w:rPr>
        <w:t>Key Strategic Takeaways</w:t>
      </w:r>
    </w:p>
    <w:p w14:paraId="2FAAD70F" w14:textId="03CE9B0C" w:rsidR="00D30181" w:rsidRPr="003310E8" w:rsidRDefault="00000000">
      <w:pPr>
        <w:pStyle w:val="ListParagraph"/>
        <w:numPr>
          <w:ilvl w:val="0"/>
          <w:numId w:val="2"/>
        </w:numPr>
        <w:rPr>
          <w:rFonts w:asciiTheme="minorHAnsi" w:hAnsiTheme="minorHAnsi"/>
        </w:rPr>
      </w:pPr>
      <w:r w:rsidRPr="003310E8">
        <w:rPr>
          <w:rFonts w:asciiTheme="minorHAnsi" w:hAnsiTheme="minorHAnsi"/>
          <w:b/>
          <w:bCs/>
        </w:rPr>
        <w:t>Maximise Physical Exposure in Bull Markets:</w:t>
      </w:r>
      <w:r w:rsidRPr="003310E8">
        <w:rPr>
          <w:rFonts w:asciiTheme="minorHAnsi" w:hAnsiTheme="minorHAnsi"/>
        </w:rPr>
        <w:t xml:space="preserve"> During a sector-wide rally driven by structural deficits (such as the current 2026-2030 platinum outlook), the mathematically superior strategy is to favour stocks with the highest physical production leverage. [8, 52] </w:t>
      </w:r>
      <w:r w:rsidR="00B35FB6">
        <w:rPr>
          <w:rFonts w:asciiTheme="minorHAnsi" w:hAnsiTheme="minorHAnsi"/>
        </w:rPr>
        <w:t xml:space="preserve">Of the three stocks analysed, </w:t>
      </w:r>
      <w:proofErr w:type="spellStart"/>
      <w:r w:rsidRPr="003310E8">
        <w:rPr>
          <w:rFonts w:asciiTheme="minorHAnsi" w:hAnsiTheme="minorHAnsi"/>
        </w:rPr>
        <w:t>Tharisa</w:t>
      </w:r>
      <w:proofErr w:type="spellEnd"/>
      <w:r w:rsidRPr="003310E8">
        <w:rPr>
          <w:rFonts w:asciiTheme="minorHAnsi" w:hAnsiTheme="minorHAnsi"/>
        </w:rPr>
        <w:t xml:space="preserve"> plc offers the greatest 'multiplier effect' on profit margins as prices rise above its fixed cost base.</w:t>
      </w:r>
    </w:p>
    <w:p w14:paraId="480916B1" w14:textId="5A8EE938" w:rsidR="00D30181" w:rsidRPr="003310E8" w:rsidRDefault="00000000">
      <w:pPr>
        <w:pStyle w:val="ListParagraph"/>
        <w:numPr>
          <w:ilvl w:val="0"/>
          <w:numId w:val="2"/>
        </w:numPr>
        <w:rPr>
          <w:rFonts w:asciiTheme="minorHAnsi" w:hAnsiTheme="minorHAnsi"/>
        </w:rPr>
      </w:pPr>
      <w:r w:rsidRPr="003310E8">
        <w:rPr>
          <w:rFonts w:asciiTheme="minorHAnsi" w:hAnsiTheme="minorHAnsi"/>
          <w:b/>
          <w:bCs/>
        </w:rPr>
        <w:t>Model the Expansion Pipeline:</w:t>
      </w:r>
      <w:r w:rsidRPr="003310E8">
        <w:rPr>
          <w:rFonts w:asciiTheme="minorHAnsi" w:hAnsiTheme="minorHAnsi"/>
        </w:rPr>
        <w:t xml:space="preserve"> An investment in a developer like </w:t>
      </w:r>
      <w:proofErr w:type="spellStart"/>
      <w:r w:rsidRPr="003310E8">
        <w:rPr>
          <w:rFonts w:asciiTheme="minorHAnsi" w:hAnsiTheme="minorHAnsi"/>
        </w:rPr>
        <w:t>Tharisa</w:t>
      </w:r>
      <w:proofErr w:type="spellEnd"/>
      <w:r w:rsidRPr="003310E8">
        <w:rPr>
          <w:rFonts w:asciiTheme="minorHAnsi" w:hAnsiTheme="minorHAnsi"/>
        </w:rPr>
        <w:t xml:space="preserve"> must be conditional on the successful ramp-up of projects like Karo and the underground portals. [9, 44]</w:t>
      </w:r>
      <w:r w:rsidR="006C5143">
        <w:rPr>
          <w:rFonts w:asciiTheme="minorHAnsi" w:hAnsiTheme="minorHAnsi"/>
        </w:rPr>
        <w:t xml:space="preserve"> This means that we need to t</w:t>
      </w:r>
      <w:r w:rsidRPr="003310E8">
        <w:rPr>
          <w:rFonts w:asciiTheme="minorHAnsi" w:hAnsiTheme="minorHAnsi"/>
        </w:rPr>
        <w:t>rack quarterly progress against DFS targets, specifically monitoring mill completion and portal commissioning dates.</w:t>
      </w:r>
    </w:p>
    <w:p w14:paraId="1FB85FA4" w14:textId="77777777" w:rsidR="00D30181" w:rsidRPr="003310E8" w:rsidRDefault="00000000">
      <w:pPr>
        <w:pStyle w:val="ListParagraph"/>
        <w:numPr>
          <w:ilvl w:val="0"/>
          <w:numId w:val="2"/>
        </w:numPr>
        <w:rPr>
          <w:rFonts w:asciiTheme="minorHAnsi" w:hAnsiTheme="minorHAnsi"/>
        </w:rPr>
      </w:pPr>
      <w:r w:rsidRPr="003310E8">
        <w:rPr>
          <w:rFonts w:asciiTheme="minorHAnsi" w:hAnsiTheme="minorHAnsi"/>
          <w:b/>
          <w:bCs/>
        </w:rPr>
        <w:t>Utilise Sylvania as a Defensive Growth Hybrid:</w:t>
      </w:r>
      <w:r w:rsidRPr="003310E8">
        <w:rPr>
          <w:rFonts w:asciiTheme="minorHAnsi" w:hAnsiTheme="minorHAnsi"/>
        </w:rPr>
        <w:t xml:space="preserve"> Sylvania offers a unique combination of high-efficiency PGM recovery and a massive 'free option' on the chrome market through Thaba. [32, 50] This makes it the ideal holding for investors who want PGM exposure but are concerned about the technical execution risks of greenfield mining.</w:t>
      </w:r>
    </w:p>
    <w:p w14:paraId="7F39DA29" w14:textId="77777777" w:rsidR="00D30181" w:rsidRPr="003310E8" w:rsidRDefault="00000000">
      <w:pPr>
        <w:pStyle w:val="ListParagraph"/>
        <w:numPr>
          <w:ilvl w:val="0"/>
          <w:numId w:val="2"/>
        </w:numPr>
        <w:spacing w:after="120"/>
        <w:rPr>
          <w:rFonts w:asciiTheme="minorHAnsi" w:hAnsiTheme="minorHAnsi"/>
        </w:rPr>
      </w:pPr>
      <w:r w:rsidRPr="003310E8">
        <w:rPr>
          <w:rFonts w:asciiTheme="minorHAnsi" w:hAnsiTheme="minorHAnsi"/>
          <w:b/>
          <w:bCs/>
        </w:rPr>
        <w:t xml:space="preserve">Anchor the Portfolio with </w:t>
      </w:r>
      <w:proofErr w:type="spellStart"/>
      <w:r w:rsidRPr="003310E8">
        <w:rPr>
          <w:rFonts w:asciiTheme="minorHAnsi" w:hAnsiTheme="minorHAnsi"/>
          <w:b/>
          <w:bCs/>
        </w:rPr>
        <w:t>Valterra</w:t>
      </w:r>
      <w:proofErr w:type="spellEnd"/>
      <w:r w:rsidRPr="003310E8">
        <w:rPr>
          <w:rFonts w:asciiTheme="minorHAnsi" w:hAnsiTheme="minorHAnsi"/>
          <w:b/>
          <w:bCs/>
        </w:rPr>
        <w:t>:</w:t>
      </w:r>
      <w:r w:rsidRPr="003310E8">
        <w:rPr>
          <w:rFonts w:asciiTheme="minorHAnsi" w:hAnsiTheme="minorHAnsi"/>
        </w:rPr>
        <w:t xml:space="preserve"> For those managing larger portfolios, </w:t>
      </w:r>
      <w:proofErr w:type="spellStart"/>
      <w:r w:rsidRPr="003310E8">
        <w:rPr>
          <w:rFonts w:asciiTheme="minorHAnsi" w:hAnsiTheme="minorHAnsi"/>
        </w:rPr>
        <w:t>Valterra</w:t>
      </w:r>
      <w:proofErr w:type="spellEnd"/>
      <w:r w:rsidRPr="003310E8">
        <w:rPr>
          <w:rFonts w:asciiTheme="minorHAnsi" w:hAnsiTheme="minorHAnsi"/>
        </w:rPr>
        <w:t xml:space="preserve"> provides the necessary liquidity and asset quality to survive any prolonged period of market stress. [17] Whilst it offers less leverage, its demerger-led focus on operational excellence makes it a formidable pure-play major.</w:t>
      </w:r>
    </w:p>
    <w:p w14:paraId="697350F3" w14:textId="1E513C89" w:rsidR="00D30181" w:rsidRPr="003310E8" w:rsidRDefault="000F5B35">
      <w:pPr>
        <w:spacing w:after="120"/>
        <w:rPr>
          <w:rFonts w:asciiTheme="minorHAnsi" w:hAnsiTheme="minorHAnsi"/>
        </w:rPr>
      </w:pPr>
      <w:r>
        <w:rPr>
          <w:rFonts w:asciiTheme="minorHAnsi" w:hAnsiTheme="minorHAnsi"/>
        </w:rPr>
        <w:t>To me, t</w:t>
      </w:r>
      <w:r w:rsidR="00000000" w:rsidRPr="003310E8">
        <w:rPr>
          <w:rFonts w:asciiTheme="minorHAnsi" w:hAnsiTheme="minorHAnsi"/>
        </w:rPr>
        <w:t>he 'Ounces per £1' metric reveals a simple truth: the best value is found where the market has failed to price in the physical scale of the operations.</w:t>
      </w:r>
    </w:p>
    <w:p w14:paraId="07F57670" w14:textId="1845303E" w:rsidR="00D30181" w:rsidRDefault="00000000">
      <w:pPr>
        <w:spacing w:after="240"/>
        <w:rPr>
          <w:rFonts w:asciiTheme="minorHAnsi" w:hAnsiTheme="minorHAnsi"/>
        </w:rPr>
      </w:pPr>
      <w:r w:rsidRPr="003310E8">
        <w:rPr>
          <w:rFonts w:asciiTheme="minorHAnsi" w:hAnsiTheme="minorHAnsi"/>
        </w:rPr>
        <w:t xml:space="preserve">As the world shifts toward a hydrogen-based and carbon-conscious economy, those </w:t>
      </w:r>
      <w:proofErr w:type="spellStart"/>
      <w:r w:rsidR="000F5B35">
        <w:rPr>
          <w:rFonts w:asciiTheme="minorHAnsi" w:hAnsiTheme="minorHAnsi"/>
        </w:rPr>
        <w:t>diy</w:t>
      </w:r>
      <w:proofErr w:type="spellEnd"/>
      <w:r w:rsidR="000F5B35">
        <w:rPr>
          <w:rFonts w:asciiTheme="minorHAnsi" w:hAnsiTheme="minorHAnsi"/>
        </w:rPr>
        <w:t>-</w:t>
      </w:r>
      <w:r w:rsidRPr="003310E8">
        <w:rPr>
          <w:rFonts w:asciiTheme="minorHAnsi" w:hAnsiTheme="minorHAnsi"/>
        </w:rPr>
        <w:t>investors who have secured the maximum physical leverage at the start of this cycle will be best positioned to reap the rewards of the unavoidable maths of increasing demand and dwindling supply.</w:t>
      </w:r>
    </w:p>
    <w:p w14:paraId="6ECD5956" w14:textId="7D48CD47" w:rsidR="00D30181" w:rsidRPr="003310E8" w:rsidRDefault="003310E8" w:rsidP="00521CF1">
      <w:pPr>
        <w:spacing w:after="240"/>
        <w:rPr>
          <w:rFonts w:asciiTheme="minorHAnsi" w:hAnsiTheme="minorHAnsi"/>
        </w:rPr>
      </w:pPr>
      <w:r w:rsidRPr="003310E8">
        <w:rPr>
          <w:rFonts w:asciiTheme="minorHAnsi" w:hAnsiTheme="minorHAnsi"/>
          <w:b/>
          <w:bCs/>
          <w:color w:val="EE0000"/>
          <w:sz w:val="28"/>
          <w:szCs w:val="28"/>
        </w:rPr>
        <w:t>Risk Warning:</w:t>
      </w:r>
      <w:r w:rsidRPr="003310E8">
        <w:rPr>
          <w:rFonts w:asciiTheme="minorHAnsi" w:hAnsiTheme="minorHAnsi"/>
          <w:color w:val="EE0000"/>
        </w:rPr>
        <w:t xml:space="preserve"> </w:t>
      </w:r>
      <w:r w:rsidRPr="003310E8">
        <w:rPr>
          <w:rFonts w:asciiTheme="minorHAnsi" w:hAnsiTheme="minorHAnsi"/>
          <w:i/>
          <w:iCs/>
        </w:rPr>
        <w:t xml:space="preserve">Investing involves significant risks, including the potential loss of your entire investment. The value of investments can fluctuate, and past performance is not indicative of future results. This report does not constitute financial advice; you should carefully assess your financial situation, risk tolerance, and investment objectives before making decisions. Always conduct your own research (DYOR) and consult an independent financial advisor if necessary. This report is produced for informational purposes only and does not constitute a recommendation to buy, sell, or hold any </w:t>
      </w:r>
      <w:proofErr w:type="spellStart"/>
      <w:proofErr w:type="gramStart"/>
      <w:r w:rsidRPr="003310E8">
        <w:rPr>
          <w:rFonts w:asciiTheme="minorHAnsi" w:hAnsiTheme="minorHAnsi"/>
          <w:i/>
          <w:iCs/>
        </w:rPr>
        <w:t>securities.</w:t>
      </w:r>
      <w:r w:rsidR="00000000" w:rsidRPr="003310E8">
        <w:rPr>
          <w:rFonts w:asciiTheme="minorHAnsi" w:hAnsiTheme="minorHAnsi"/>
          <w:i/>
          <w:iCs/>
        </w:rPr>
        <w:t>As</w:t>
      </w:r>
      <w:proofErr w:type="spellEnd"/>
      <w:proofErr w:type="gramEnd"/>
      <w:r w:rsidR="00000000" w:rsidRPr="003310E8">
        <w:rPr>
          <w:rFonts w:asciiTheme="minorHAnsi" w:hAnsiTheme="minorHAnsi"/>
          <w:i/>
          <w:iCs/>
        </w:rPr>
        <w:t xml:space="preserve"> ever, do your own research</w:t>
      </w:r>
      <w:r>
        <w:rPr>
          <w:rFonts w:asciiTheme="minorHAnsi" w:hAnsiTheme="minorHAnsi"/>
          <w:i/>
          <w:iCs/>
        </w:rPr>
        <w:t xml:space="preserve"> (DYOR)</w:t>
      </w:r>
      <w:r w:rsidR="00000000" w:rsidRPr="003310E8">
        <w:rPr>
          <w:rFonts w:asciiTheme="minorHAnsi" w:hAnsiTheme="minorHAnsi"/>
          <w:i/>
          <w:iCs/>
        </w:rPr>
        <w:t>.</w:t>
      </w:r>
    </w:p>
    <w:p w14:paraId="4AF0CD21" w14:textId="391EAF95" w:rsidR="00D30181" w:rsidRPr="003310E8" w:rsidRDefault="00521CF1">
      <w:pPr>
        <w:spacing w:after="240"/>
        <w:rPr>
          <w:rFonts w:asciiTheme="minorHAnsi" w:hAnsiTheme="minorHAnsi"/>
          <w:b/>
          <w:bCs/>
          <w:color w:val="0000FF"/>
        </w:rPr>
      </w:pPr>
      <w:r w:rsidRPr="00521CF1">
        <w:rPr>
          <w:rFonts w:asciiTheme="minorHAnsi" w:hAnsiTheme="minorHAnsi"/>
          <w:b/>
          <w:bCs/>
          <w:color w:val="EE0000"/>
        </w:rPr>
        <w:t>DYOR:</w:t>
      </w:r>
      <w:r>
        <w:rPr>
          <w:rFonts w:asciiTheme="minorHAnsi" w:hAnsiTheme="minorHAnsi"/>
          <w:b/>
          <w:bCs/>
          <w:color w:val="0000FF"/>
        </w:rPr>
        <w:t xml:space="preserve"> </w:t>
      </w:r>
      <w:r w:rsidR="00000000" w:rsidRPr="003310E8">
        <w:rPr>
          <w:rFonts w:asciiTheme="minorHAnsi" w:hAnsiTheme="minorHAnsi"/>
          <w:b/>
          <w:bCs/>
          <w:color w:val="0000FF"/>
        </w:rPr>
        <w:t>Mick Pavey</w:t>
      </w:r>
      <w:r w:rsidR="003310E8">
        <w:rPr>
          <w:rFonts w:asciiTheme="minorHAnsi" w:hAnsiTheme="minorHAnsi"/>
          <w:b/>
          <w:bCs/>
          <w:color w:val="0000FF"/>
        </w:rPr>
        <w:t xml:space="preserve"> (16</w:t>
      </w:r>
      <w:r w:rsidR="003310E8" w:rsidRPr="003310E8">
        <w:rPr>
          <w:rFonts w:asciiTheme="minorHAnsi" w:hAnsiTheme="minorHAnsi"/>
          <w:b/>
          <w:bCs/>
          <w:color w:val="0000FF"/>
          <w:vertAlign w:val="superscript"/>
        </w:rPr>
        <w:t>th</w:t>
      </w:r>
      <w:r w:rsidR="003310E8">
        <w:rPr>
          <w:rFonts w:asciiTheme="minorHAnsi" w:hAnsiTheme="minorHAnsi"/>
          <w:b/>
          <w:bCs/>
          <w:color w:val="0000FF"/>
        </w:rPr>
        <w:t xml:space="preserve"> February 2026)</w:t>
      </w:r>
    </w:p>
    <w:p w14:paraId="12FA3C10" w14:textId="53FC3414" w:rsidR="00D30181" w:rsidRDefault="00000000">
      <w:pPr>
        <w:spacing w:before="480" w:after="120"/>
      </w:pPr>
      <w:r>
        <w:rPr>
          <w:b/>
          <w:bCs/>
          <w:sz w:val="32"/>
          <w:szCs w:val="32"/>
        </w:rPr>
        <w:lastRenderedPageBreak/>
        <w:t>References</w:t>
      </w:r>
      <w:r w:rsidR="003310E8">
        <w:rPr>
          <w:b/>
          <w:bCs/>
          <w:sz w:val="32"/>
          <w:szCs w:val="32"/>
        </w:rPr>
        <w:t xml:space="preserve"> (190 were accessed in the research)</w:t>
      </w:r>
    </w:p>
    <w:p w14:paraId="24DEF9D2" w14:textId="77777777" w:rsidR="00D30181" w:rsidRDefault="00000000">
      <w:pPr>
        <w:spacing w:after="60"/>
      </w:pPr>
      <w:r>
        <w:rPr>
          <w:sz w:val="20"/>
          <w:szCs w:val="20"/>
        </w:rPr>
        <w:t>1. Mining Asset Valuation Techniques - Overview, Formula - Corporate Finance Institute, https://corporatefinanceinstitute.com/resources/valuation/mining-asset-valuation-techniques/</w:t>
      </w:r>
    </w:p>
    <w:p w14:paraId="1922B61F" w14:textId="77777777" w:rsidR="00D30181" w:rsidRDefault="00000000">
      <w:pPr>
        <w:spacing w:after="60"/>
      </w:pPr>
      <w:r>
        <w:rPr>
          <w:sz w:val="20"/>
          <w:szCs w:val="20"/>
        </w:rPr>
        <w:t>2. Mining Investment: A Guide to Understanding Valuations | Resource Capital Funds, https://resourcecapitalfunds.com/insights/mining-and-minerals-101/mining-investment-a-guide-to-understanding-valuations/</w:t>
      </w:r>
    </w:p>
    <w:p w14:paraId="63B18C04" w14:textId="77777777" w:rsidR="00D30181" w:rsidRDefault="00000000">
      <w:pPr>
        <w:spacing w:after="60"/>
      </w:pPr>
      <w:r>
        <w:rPr>
          <w:sz w:val="20"/>
          <w:szCs w:val="20"/>
        </w:rPr>
        <w:t>3. PLATINUM, https://cisp.cachefly.net/assets/articles/attachments/57851_platinum2015.pdf</w:t>
      </w:r>
    </w:p>
    <w:p w14:paraId="2D555D9B" w14:textId="77777777" w:rsidR="00D30181" w:rsidRDefault="00000000">
      <w:pPr>
        <w:spacing w:after="60"/>
      </w:pPr>
      <w:r>
        <w:rPr>
          <w:sz w:val="20"/>
          <w:szCs w:val="20"/>
        </w:rPr>
        <w:t>4. Platinum Group Metals: Critical Rare Elements for Industry - Discovery Alert, https://discoveryalert.com.au/platinum-group-metals-market-investment-demand-2025/</w:t>
      </w:r>
    </w:p>
    <w:p w14:paraId="3EF4C938" w14:textId="77777777" w:rsidR="00D30181" w:rsidRDefault="00000000">
      <w:pPr>
        <w:spacing w:after="60"/>
      </w:pPr>
      <w:r>
        <w:rPr>
          <w:sz w:val="20"/>
          <w:szCs w:val="20"/>
        </w:rPr>
        <w:t>5. SA Mine 2025, https://africanminingmarket.com/wp-content/uploads/2025/10/pwc_samine202510_report.pdf</w:t>
      </w:r>
    </w:p>
    <w:p w14:paraId="4FD82EE0" w14:textId="77777777" w:rsidR="00D30181" w:rsidRDefault="00000000">
      <w:pPr>
        <w:spacing w:after="60"/>
      </w:pPr>
      <w:r>
        <w:rPr>
          <w:sz w:val="20"/>
          <w:szCs w:val="20"/>
        </w:rPr>
        <w:t xml:space="preserve">6. Methodology For Standard &amp; Poor's Metals </w:t>
      </w:r>
      <w:proofErr w:type="gramStart"/>
      <w:r>
        <w:rPr>
          <w:sz w:val="20"/>
          <w:szCs w:val="20"/>
        </w:rPr>
        <w:t>And</w:t>
      </w:r>
      <w:proofErr w:type="gramEnd"/>
      <w:r>
        <w:rPr>
          <w:sz w:val="20"/>
          <w:szCs w:val="20"/>
        </w:rPr>
        <w:t xml:space="preserve"> Mining Price Assumptions, https://maalot.co.il/publications/MT20131127143758.pdf</w:t>
      </w:r>
    </w:p>
    <w:p w14:paraId="338B36CB" w14:textId="77777777" w:rsidR="00D30181" w:rsidRDefault="00000000">
      <w:pPr>
        <w:spacing w:after="60"/>
      </w:pPr>
      <w:r>
        <w:rPr>
          <w:sz w:val="20"/>
          <w:szCs w:val="20"/>
        </w:rPr>
        <w:t xml:space="preserve">7. How to </w:t>
      </w:r>
      <w:proofErr w:type="spellStart"/>
      <w:r>
        <w:rPr>
          <w:sz w:val="20"/>
          <w:szCs w:val="20"/>
        </w:rPr>
        <w:t>Analyze</w:t>
      </w:r>
      <w:proofErr w:type="spellEnd"/>
      <w:r>
        <w:rPr>
          <w:sz w:val="20"/>
          <w:szCs w:val="20"/>
        </w:rPr>
        <w:t xml:space="preserve"> Mining Stocks: Investor's Guide to Reserves, Costs, and Risk, https://www.investing.com/academy/analysis/how-to-analyze-mining-stocks/</w:t>
      </w:r>
    </w:p>
    <w:p w14:paraId="7EC1E767" w14:textId="77777777" w:rsidR="00D30181" w:rsidRDefault="00000000">
      <w:pPr>
        <w:spacing w:after="60"/>
      </w:pPr>
      <w:r>
        <w:rPr>
          <w:sz w:val="20"/>
          <w:szCs w:val="20"/>
        </w:rPr>
        <w:t>8. Gold Miners Performance 2025: Rally Analysis &amp; Outlook - Discovery Alert, https://discoveryalert.com.au/gold-miners-performance-operating-leverage-2025/</w:t>
      </w:r>
    </w:p>
    <w:p w14:paraId="6FD75C91" w14:textId="77777777" w:rsidR="00D30181" w:rsidRDefault="00000000">
      <w:pPr>
        <w:spacing w:after="60"/>
      </w:pPr>
      <w:r>
        <w:rPr>
          <w:sz w:val="20"/>
          <w:szCs w:val="20"/>
        </w:rPr>
        <w:t xml:space="preserve">9. </w:t>
      </w:r>
      <w:proofErr w:type="spellStart"/>
      <w:r>
        <w:rPr>
          <w:sz w:val="20"/>
          <w:szCs w:val="20"/>
        </w:rPr>
        <w:t>Tharisa</w:t>
      </w:r>
      <w:proofErr w:type="spellEnd"/>
      <w:r>
        <w:rPr>
          <w:sz w:val="20"/>
          <w:szCs w:val="20"/>
        </w:rPr>
        <w:t xml:space="preserve"> CEO: Karo Project to unlock multi-generational PGM growth - Mining Review Africa, https://www.miningreview.com/platinum-group-metals/tharisa-ceo-karo-project-to-unlock-multi-generational-pgm-growth/</w:t>
      </w:r>
    </w:p>
    <w:p w14:paraId="34071426" w14:textId="77777777" w:rsidR="00D30181" w:rsidRDefault="00000000">
      <w:pPr>
        <w:spacing w:after="60"/>
      </w:pPr>
      <w:r>
        <w:rPr>
          <w:sz w:val="20"/>
          <w:szCs w:val="20"/>
        </w:rPr>
        <w:t>10. Sylvania Platinum Quarterly Production Achieves Record 16% Growth, https://discoveryalert.com.au/sylvania-platinum-operational-excellence-2025/</w:t>
      </w:r>
    </w:p>
    <w:p w14:paraId="0E9CB7D2" w14:textId="3465CCBF" w:rsidR="00D30181" w:rsidRPr="003310E8" w:rsidRDefault="00000000">
      <w:pPr>
        <w:spacing w:after="60"/>
        <w:rPr>
          <w:b/>
          <w:bCs/>
        </w:rPr>
      </w:pPr>
      <w:r w:rsidRPr="003310E8">
        <w:rPr>
          <w:b/>
          <w:bCs/>
          <w:i/>
          <w:iCs/>
          <w:sz w:val="20"/>
          <w:szCs w:val="20"/>
        </w:rPr>
        <w:t>[References 11-190 continue in same format...</w:t>
      </w:r>
      <w:r w:rsidR="003310E8">
        <w:rPr>
          <w:b/>
          <w:bCs/>
          <w:i/>
          <w:iCs/>
          <w:sz w:val="20"/>
          <w:szCs w:val="20"/>
        </w:rPr>
        <w:t xml:space="preserve"> (not shown here for brevity)</w:t>
      </w:r>
      <w:r w:rsidRPr="003310E8">
        <w:rPr>
          <w:b/>
          <w:bCs/>
          <w:i/>
          <w:iCs/>
          <w:sz w:val="20"/>
          <w:szCs w:val="20"/>
        </w:rPr>
        <w:t>]</w:t>
      </w:r>
    </w:p>
    <w:sectPr w:rsidR="00D30181" w:rsidRPr="003310E8">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5F9F8" w14:textId="77777777" w:rsidR="00B9481C" w:rsidRDefault="00B9481C" w:rsidP="0047481E">
      <w:r>
        <w:separator/>
      </w:r>
    </w:p>
  </w:endnote>
  <w:endnote w:type="continuationSeparator" w:id="0">
    <w:p w14:paraId="054546F9" w14:textId="77777777" w:rsidR="00B9481C" w:rsidRDefault="00B9481C" w:rsidP="004748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415924"/>
      <w:docPartObj>
        <w:docPartGallery w:val="Page Numbers (Bottom of Page)"/>
        <w:docPartUnique/>
      </w:docPartObj>
    </w:sdtPr>
    <w:sdtContent>
      <w:sdt>
        <w:sdtPr>
          <w:id w:val="-1769616900"/>
          <w:docPartObj>
            <w:docPartGallery w:val="Page Numbers (Top of Page)"/>
            <w:docPartUnique/>
          </w:docPartObj>
        </w:sdtPr>
        <w:sdtContent>
          <w:p w14:paraId="72F12FCC" w14:textId="27118608" w:rsidR="003E0F2E" w:rsidRDefault="003E0F2E">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50CE7C2C" w14:textId="77777777" w:rsidR="0047481E" w:rsidRDefault="004748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BCA7E" w14:textId="77777777" w:rsidR="00B9481C" w:rsidRDefault="00B9481C" w:rsidP="0047481E">
      <w:r>
        <w:separator/>
      </w:r>
    </w:p>
  </w:footnote>
  <w:footnote w:type="continuationSeparator" w:id="0">
    <w:p w14:paraId="379DC7AC" w14:textId="77777777" w:rsidR="00B9481C" w:rsidRDefault="00B9481C" w:rsidP="004748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4C9F4" w14:textId="4F2FD371" w:rsidR="0047481E" w:rsidRDefault="0047481E" w:rsidP="0047481E">
    <w:pPr>
      <w:pStyle w:val="Header"/>
      <w:jc w:val="center"/>
    </w:pPr>
    <w:r>
      <w:rPr>
        <w:noProof/>
      </w:rPr>
      <w:drawing>
        <wp:inline distT="0" distB="0" distL="0" distR="0" wp14:anchorId="78CF679B" wp14:editId="0116AB4F">
          <wp:extent cx="2466975" cy="493395"/>
          <wp:effectExtent l="0" t="0" r="9525" b="1905"/>
          <wp:docPr id="18188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519" name="Picture 18188519"/>
                  <pic:cNvPicPr/>
                </pic:nvPicPr>
                <pic:blipFill>
                  <a:blip r:embed="rId1">
                    <a:extLst>
                      <a:ext uri="{28A0092B-C50C-407E-A947-70E740481C1C}">
                        <a14:useLocalDpi xmlns:a14="http://schemas.microsoft.com/office/drawing/2010/main" val="0"/>
                      </a:ext>
                    </a:extLst>
                  </a:blip>
                  <a:stretch>
                    <a:fillRect/>
                  </a:stretch>
                </pic:blipFill>
                <pic:spPr>
                  <a:xfrm>
                    <a:off x="0" y="0"/>
                    <a:ext cx="2466975" cy="4933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F1FA6"/>
    <w:multiLevelType w:val="hybridMultilevel"/>
    <w:tmpl w:val="A074F032"/>
    <w:lvl w:ilvl="0" w:tplc="51A0D2DE">
      <w:start w:val="1"/>
      <w:numFmt w:val="bullet"/>
      <w:lvlText w:val="●"/>
      <w:lvlJc w:val="left"/>
      <w:pPr>
        <w:ind w:left="720" w:hanging="360"/>
      </w:pPr>
    </w:lvl>
    <w:lvl w:ilvl="1" w:tplc="1ED079C2">
      <w:start w:val="1"/>
      <w:numFmt w:val="bullet"/>
      <w:lvlText w:val="○"/>
      <w:lvlJc w:val="left"/>
      <w:pPr>
        <w:ind w:left="1440" w:hanging="360"/>
      </w:pPr>
    </w:lvl>
    <w:lvl w:ilvl="2" w:tplc="6A9A1A24">
      <w:start w:val="1"/>
      <w:numFmt w:val="bullet"/>
      <w:lvlText w:val="■"/>
      <w:lvlJc w:val="left"/>
      <w:pPr>
        <w:ind w:left="2160" w:hanging="360"/>
      </w:pPr>
    </w:lvl>
    <w:lvl w:ilvl="3" w:tplc="5F4433FE">
      <w:start w:val="1"/>
      <w:numFmt w:val="bullet"/>
      <w:lvlText w:val="●"/>
      <w:lvlJc w:val="left"/>
      <w:pPr>
        <w:ind w:left="2880" w:hanging="360"/>
      </w:pPr>
    </w:lvl>
    <w:lvl w:ilvl="4" w:tplc="09B0EABA">
      <w:start w:val="1"/>
      <w:numFmt w:val="bullet"/>
      <w:lvlText w:val="○"/>
      <w:lvlJc w:val="left"/>
      <w:pPr>
        <w:ind w:left="3600" w:hanging="360"/>
      </w:pPr>
    </w:lvl>
    <w:lvl w:ilvl="5" w:tplc="73D04E5E">
      <w:start w:val="1"/>
      <w:numFmt w:val="bullet"/>
      <w:lvlText w:val="■"/>
      <w:lvlJc w:val="left"/>
      <w:pPr>
        <w:ind w:left="4320" w:hanging="360"/>
      </w:pPr>
    </w:lvl>
    <w:lvl w:ilvl="6" w:tplc="DBDAC990">
      <w:start w:val="1"/>
      <w:numFmt w:val="bullet"/>
      <w:lvlText w:val="●"/>
      <w:lvlJc w:val="left"/>
      <w:pPr>
        <w:ind w:left="5040" w:hanging="360"/>
      </w:pPr>
    </w:lvl>
    <w:lvl w:ilvl="7" w:tplc="198A43E4">
      <w:start w:val="1"/>
      <w:numFmt w:val="bullet"/>
      <w:lvlText w:val="●"/>
      <w:lvlJc w:val="left"/>
      <w:pPr>
        <w:ind w:left="5760" w:hanging="360"/>
      </w:pPr>
    </w:lvl>
    <w:lvl w:ilvl="8" w:tplc="D9AA00F6">
      <w:start w:val="1"/>
      <w:numFmt w:val="bullet"/>
      <w:lvlText w:val="●"/>
      <w:lvlJc w:val="left"/>
      <w:pPr>
        <w:ind w:left="6480" w:hanging="360"/>
      </w:pPr>
    </w:lvl>
  </w:abstractNum>
  <w:abstractNum w:abstractNumId="1" w15:restartNumberingAfterBreak="0">
    <w:nsid w:val="41B62D74"/>
    <w:multiLevelType w:val="hybridMultilevel"/>
    <w:tmpl w:val="D66A1E0E"/>
    <w:lvl w:ilvl="0" w:tplc="83E2DA6E">
      <w:start w:val="1"/>
      <w:numFmt w:val="bullet"/>
      <w:lvlText w:val="•"/>
      <w:lvlJc w:val="left"/>
      <w:pPr>
        <w:ind w:left="720" w:hanging="360"/>
      </w:pPr>
    </w:lvl>
    <w:lvl w:ilvl="1" w:tplc="386ACC8E">
      <w:numFmt w:val="decimal"/>
      <w:lvlText w:val=""/>
      <w:lvlJc w:val="left"/>
    </w:lvl>
    <w:lvl w:ilvl="2" w:tplc="F788A034">
      <w:numFmt w:val="decimal"/>
      <w:lvlText w:val=""/>
      <w:lvlJc w:val="left"/>
    </w:lvl>
    <w:lvl w:ilvl="3" w:tplc="9A86A4CA">
      <w:numFmt w:val="decimal"/>
      <w:lvlText w:val=""/>
      <w:lvlJc w:val="left"/>
    </w:lvl>
    <w:lvl w:ilvl="4" w:tplc="446A0F78">
      <w:numFmt w:val="decimal"/>
      <w:lvlText w:val=""/>
      <w:lvlJc w:val="left"/>
    </w:lvl>
    <w:lvl w:ilvl="5" w:tplc="B72489A0">
      <w:numFmt w:val="decimal"/>
      <w:lvlText w:val=""/>
      <w:lvlJc w:val="left"/>
    </w:lvl>
    <w:lvl w:ilvl="6" w:tplc="63C29D0E">
      <w:numFmt w:val="decimal"/>
      <w:lvlText w:val=""/>
      <w:lvlJc w:val="left"/>
    </w:lvl>
    <w:lvl w:ilvl="7" w:tplc="C1EADCF8">
      <w:numFmt w:val="decimal"/>
      <w:lvlText w:val=""/>
      <w:lvlJc w:val="left"/>
    </w:lvl>
    <w:lvl w:ilvl="8" w:tplc="98DCCECA">
      <w:numFmt w:val="decimal"/>
      <w:lvlText w:val=""/>
      <w:lvlJc w:val="left"/>
    </w:lvl>
  </w:abstractNum>
  <w:num w:numId="1" w16cid:durableId="323706111">
    <w:abstractNumId w:val="0"/>
    <w:lvlOverride w:ilvl="0">
      <w:startOverride w:val="1"/>
    </w:lvlOverride>
  </w:num>
  <w:num w:numId="2" w16cid:durableId="13695724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181"/>
    <w:rsid w:val="000F5B35"/>
    <w:rsid w:val="0025063A"/>
    <w:rsid w:val="003310E8"/>
    <w:rsid w:val="003E0F2E"/>
    <w:rsid w:val="0047481E"/>
    <w:rsid w:val="00521CF1"/>
    <w:rsid w:val="005E253B"/>
    <w:rsid w:val="0062737A"/>
    <w:rsid w:val="00666525"/>
    <w:rsid w:val="006C5143"/>
    <w:rsid w:val="00A144BC"/>
    <w:rsid w:val="00B35FB6"/>
    <w:rsid w:val="00B9481C"/>
    <w:rsid w:val="00D30181"/>
    <w:rsid w:val="00DA2708"/>
    <w:rsid w:val="00F23A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39B011"/>
  <w15:docId w15:val="{E6263D08-CAA1-422E-9D44-FC08F14AE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32"/>
      <w:szCs w:val="32"/>
    </w:rPr>
  </w:style>
  <w:style w:type="paragraph" w:styleId="Heading2">
    <w:name w:val="heading 2"/>
    <w:uiPriority w:val="9"/>
    <w:unhideWhenUsed/>
    <w:qFormat/>
    <w:pPr>
      <w:spacing w:before="180" w:after="12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47481E"/>
    <w:pPr>
      <w:tabs>
        <w:tab w:val="center" w:pos="4513"/>
        <w:tab w:val="right" w:pos="9026"/>
      </w:tabs>
    </w:pPr>
  </w:style>
  <w:style w:type="character" w:customStyle="1" w:styleId="HeaderChar">
    <w:name w:val="Header Char"/>
    <w:basedOn w:val="DefaultParagraphFont"/>
    <w:link w:val="Header"/>
    <w:uiPriority w:val="99"/>
    <w:rsid w:val="0047481E"/>
  </w:style>
  <w:style w:type="paragraph" w:styleId="Footer">
    <w:name w:val="footer"/>
    <w:basedOn w:val="Normal"/>
    <w:link w:val="FooterChar"/>
    <w:uiPriority w:val="99"/>
    <w:unhideWhenUsed/>
    <w:rsid w:val="0047481E"/>
    <w:pPr>
      <w:tabs>
        <w:tab w:val="center" w:pos="4513"/>
        <w:tab w:val="right" w:pos="9026"/>
      </w:tabs>
    </w:pPr>
  </w:style>
  <w:style w:type="character" w:customStyle="1" w:styleId="FooterChar">
    <w:name w:val="Footer Char"/>
    <w:basedOn w:val="DefaultParagraphFont"/>
    <w:link w:val="Footer"/>
    <w:uiPriority w:val="99"/>
    <w:rsid w:val="004748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2960</Words>
  <Characters>16872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Mick P</cp:lastModifiedBy>
  <cp:revision>5</cp:revision>
  <dcterms:created xsi:type="dcterms:W3CDTF">2026-02-16T12:29:00Z</dcterms:created>
  <dcterms:modified xsi:type="dcterms:W3CDTF">2026-02-16T12:31:00Z</dcterms:modified>
</cp:coreProperties>
</file>