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Freedom Blueprint – February 2026</w:t>
      </w:r>
    </w:p>
    <w:p>
      <w:pPr>
        <w:pStyle w:val="Subtitle"/>
      </w:pPr>
      <w:r>
        <w:t xml:space="preserve">Why Traditional P/E Ratios Fail Mining Stocks (And What Works Instead)</w:t>
      </w:r>
    </w:p>
    <w:p>
      <w:pPr>
        <w:spacing w:before="240" w:after="120"/>
      </w:pPr>
      <w:r>
        <w:t xml:space="preserve">Over the past few months, it's occurred to me that we need a different way to value mining companies. Traditional Price-to-Earnings ratios just don't cut it in sectors like Platinum Group Metals (PGMs), where wild price swings and massive capital requirements distort earnings metrics beyond recognition.</w:t>
      </w:r>
    </w:p>
    <w:p>
      <w:pPr>
        <w:spacing w:before="120" w:after="120"/>
      </w:pPr>
      <w:r>
        <w:t xml:space="preserve">So, I've been thinking about a better question: How many ounces of physical metal does your investment pound actually buy you?</w:t>
      </w:r>
    </w:p>
    <w:p>
      <w:pPr>
        <w:spacing w:before="120" w:after="120"/>
      </w:pPr>
      <w:r>
        <w:t xml:space="preserve">This is what I call </w:t>
      </w:r>
      <w:r>
        <w:rPr>
          <w:b/>
          <w:bCs/>
        </w:rPr>
        <w:t xml:space="preserve">physical production leverage</w:t>
      </w:r>
      <w:r>
        <w:t xml:space="preserve"> – and to me, it reveals far more about real value than any earnings multiple ever could.</w:t>
      </w:r>
    </w:p>
    <w:p>
      <w:pPr>
        <w:pStyle w:val="Heading2"/>
      </w:pPr>
      <w:r>
        <w:t xml:space="preserve">The Core Problem</w:t>
      </w:r>
    </w:p>
    <w:p>
      <w:pPr>
        <w:spacing w:before="120" w:after="120"/>
      </w:pPr>
      <w:r>
        <w:t xml:space="preserve">Here's the issue with mining stocks: P/E ratios are often meaningless. A mining company might show terrible earnings one year because palladium crashed, then stellar earnings the next because rhodium rallied. But the underlying asset – the metal in the ground and the efficiency of extraction – remains largely unchanged. I'm also very aware that the eps figure is easily manipulated!</w:t>
      </w:r>
    </w:p>
    <w:p>
      <w:pPr>
        <w:spacing w:before="120" w:after="120"/>
      </w:pPr>
      <w:r>
        <w:t xml:space="preserve">For diy-investors, this creates a frustrating problem. How do you compare mining companies when earnings are so volatile?</w:t>
      </w:r>
    </w:p>
    <w:p>
      <w:pPr>
        <w:pStyle w:val="Heading2"/>
      </w:pPr>
      <w:r>
        <w:t xml:space="preserve">The Physical Production Framework</w:t>
      </w:r>
    </w:p>
    <w:p>
      <w:pPr>
        <w:spacing w:before="120" w:after="120"/>
      </w:pPr>
      <w:r>
        <w:t xml:space="preserve">In my recent research, I developed a dual methodology to cut through this complexity:</w:t>
      </w:r>
    </w:p>
    <w:p>
      <w:pPr>
        <w:spacing w:before="120" w:after="60"/>
      </w:pPr>
      <w:r>
        <w:rPr>
          <w:b/>
          <w:bCs/>
        </w:rPr>
        <w:t xml:space="preserve">Historic Approach:</w:t>
      </w:r>
      <w:r>
        <w:t xml:space="preserve"> Uses verified, audited production figures to answer: "How many ounces did my £1 buy over the most recent reporting cycle?"</w:t>
      </w:r>
    </w:p>
    <w:p>
      <w:pPr>
        <w:spacing w:before="60" w:after="120"/>
      </w:pPr>
      <w:r>
        <w:rPr>
          <w:b/>
          <w:bCs/>
        </w:rPr>
        <w:t xml:space="preserve">Forward-Looking Approach:</w:t>
      </w:r>
      <w:r>
        <w:t xml:space="preserve"> Models estimated future production based on life-of-mine plans and feasibility studies, together with any productivity/efficiency measures being introduced (eg. more mining automation). This approach is essential for identifying value in growth-oriented stocks, where current production is modest but future potential is substantial.</w:t>
      </w:r>
    </w:p>
    <w:p>
      <w:pPr>
        <w:spacing w:before="120" w:after="60"/>
      </w:pPr>
      <w:r>
        <w:t xml:space="preserve">The key metric is what I call the </w:t>
      </w:r>
      <w:r>
        <w:rPr>
          <w:b/>
          <w:bCs/>
        </w:rPr>
        <w:t xml:space="preserve">Production Leverage Ratio</w:t>
      </w:r>
      <w:r>
        <w:t xml:space="preserve">:</w:t>
      </w:r>
    </w:p>
    <w:p>
      <w:pPr>
        <w:pStyle w:val="BlockQuote"/>
      </w:pPr>
      <w:r>
        <w:rPr>
          <w:i/>
          <w:iCs/>
        </w:rPr>
        <w:t xml:space="preserve">Annual Attributable Production (6E oz) ÷ Fully Diluted Market Cap (£)</w:t>
      </w:r>
    </w:p>
    <w:p>
      <w:pPr>
        <w:spacing w:before="60" w:after="120"/>
      </w:pPr>
      <w:r>
        <w:t xml:space="preserve">This tells you precisely how much physical metal exposure your capital secures, independent of the volatility inherent in earnings or dividends.</w:t>
      </w:r>
    </w:p>
    <w:p>
      <w:pPr>
        <w:pStyle w:val="Heading2"/>
      </w:pPr>
      <w:r>
        <w:t xml:space="preserve">Real-World Application: The FY2025 Case Study</w:t>
      </w:r>
    </w:p>
    <w:p>
      <w:pPr>
        <w:spacing w:before="120" w:after="120"/>
      </w:pPr>
      <w:r>
        <w:t xml:space="preserve">I applied this framework to three UK-listed PGM miners: Tharisa plc (THS), Valterra Platinum (VALT), and Sylvania Platinum (SLP), using their 2025 production data.</w:t>
      </w:r>
    </w:p>
    <w:p>
      <w:pPr>
        <w:spacing w:before="120" w:after="120"/>
      </w:pPr>
      <w:r>
        <w:t xml:space="preserve">The results were striking.</w:t>
      </w:r>
    </w:p>
    <w:p>
      <w:pPr>
        <w:spacing w:before="120" w:after="60"/>
      </w:pPr>
      <w:r>
        <w:rPr>
          <w:b/>
          <w:bCs/>
        </w:rPr>
        <w:t xml:space="preserve">Tharisa emerged as the undisputed leader in physical production leverage.</w:t>
      </w:r>
      <w:r>
        <w:t xml:space="preserve"> For every £1 invested, you acquire a claim to 0.000355 ounces of PGM production – approximately </w:t>
      </w:r>
      <w:r>
        <w:rPr>
          <w:b/>
          <w:bCs/>
        </w:rPr>
        <w:t xml:space="preserve">2.4 times more metal</w:t>
      </w:r>
      <w:r>
        <w:t xml:space="preserve"> than an investment in Valterra and 32% more than Sylvania.</w:t>
      </w:r>
    </w:p>
    <w:p>
      <w:pPr>
        <w:spacing w:before="60" w:after="120"/>
      </w:pPr>
      <w:r>
        <w:t xml:space="preserve">Now, this is particularly significant because Tharisa is a co-producer. That £1 investment pays for both the PGM production </w:t>
      </w:r>
      <w:r>
        <w:rPr>
          <w:i/>
          <w:iCs/>
        </w:rPr>
        <w:t xml:space="preserve">and</w:t>
      </w:r>
      <w:r>
        <w:t xml:space="preserve"> a share of 1.56 million tonnes of annual chrome production. The fact that Tharisa offers the highest production leverage on its PGM assets alone implies the market is currently assigning a negative value to its massive chrome operations.</w:t>
      </w:r>
    </w:p>
    <w:p>
      <w:pPr>
        <w:spacing w:before="120" w:after="120"/>
      </w:pPr>
      <w:r>
        <w:t xml:space="preserve">Valterra, by contrast, offers the lowest physical production leverage per pound invested. However, this "expensiveness" must be contextualised. As the top global platinum producer, Valterra commands a "major's premium" – investors are paying for the quality of the Mogalakwena asset (a low-cost, open-pit mine with an 85-year life) and the stability of a pure-play entity.</w:t>
      </w:r>
    </w:p>
    <w:p>
      <w:pPr>
        <w:pStyle w:val="Heading2"/>
      </w:pPr>
      <w:r>
        <w:t xml:space="preserve">The Growth Catalyst</w:t>
      </w:r>
    </w:p>
    <w:p>
      <w:pPr>
        <w:spacing w:before="120" w:after="120"/>
      </w:pPr>
      <w:r>
        <w:t xml:space="preserve">Here's where it gets interesting for diy-investors.</w:t>
      </w:r>
    </w:p>
    <w:p>
      <w:pPr>
        <w:spacing w:before="120" w:after="120"/>
      </w:pPr>
      <w:r>
        <w:t xml:space="preserve">Tharisa is currently undergoing a step-change in its production profile through its Karo Platinum project in Zimbabwe (226,000 PGM ounces annually at Stage 1) and its South African underground transition.</w:t>
      </w:r>
    </w:p>
    <w:p>
      <w:pPr>
        <w:spacing w:before="120" w:after="120"/>
      </w:pPr>
      <w:r>
        <w:t xml:space="preserve">If we extrapolate Tharisa's production to its projected steady-state of approximately 400,000 PGM ounces, the future production leverage ratio becomes extraordinary – representing a </w:t>
      </w:r>
      <w:r>
        <w:rPr>
          <w:b/>
          <w:bCs/>
        </w:rPr>
        <w:t xml:space="preserve">near-tripling of current physical leverage</w:t>
      </w:r>
      <w:r>
        <w:t xml:space="preserve">.</w:t>
      </w:r>
    </w:p>
    <w:p>
      <w:pPr>
        <w:spacing w:before="120" w:after="120"/>
      </w:pPr>
      <w:r>
        <w:t xml:space="preserve">This suggests the market is pricing Tharisa for its present challenges rather than its highly probable future expansion.</w:t>
      </w:r>
    </w:p>
    <w:p>
      <w:pPr>
        <w:pStyle w:val="Heading2"/>
      </w:pPr>
      <w:r>
        <w:t xml:space="preserve">The Strategic Takeaway</w:t>
      </w:r>
    </w:p>
    <w:p>
      <w:pPr>
        <w:spacing w:before="120" w:after="120"/>
      </w:pPr>
      <w:r>
        <w:t xml:space="preserve">During a sector-wide rally driven by structural deficits – such as the current 2026-2030 platinum outlook – the mathematically superior strategy (IMHO) is to favour stocks with the highest physical production leverage.</w:t>
      </w:r>
    </w:p>
    <w:p>
      <w:pPr>
        <w:spacing w:before="120" w:after="120"/>
      </w:pPr>
      <w:r>
        <w:t xml:space="preserve">Why? Because every price increase above the fixed cost base acts as a multiplier on profit margins. Maximum physical leverage equals maximum profit multiplier in commodity bull markets.</w:t>
      </w:r>
    </w:p>
    <w:p>
      <w:pPr>
        <w:spacing w:before="120" w:after="120"/>
      </w:pPr>
      <w:r>
        <w:t xml:space="preserve">Of the three stocks analysed, Tharisa offers the greatest "multiplier effect" as PGM prices rise. This isn't speculation – it's arithmetic.</w:t>
      </w:r>
    </w:p>
    <w:p>
      <w:pPr>
        <w:spacing w:before="120" w:after="120"/>
      </w:pPr>
      <w:r>
        <w:t xml:space="preserve">To me, the "Ounces per £1" metric reveals a simple truth: the best value is found where the market has failed to price in the physical scale of the operations.</w:t>
      </w:r>
    </w:p>
    <w:p>
      <w:pPr>
        <w:spacing w:before="120" w:after="240"/>
      </w:pPr>
      <w:r>
        <w:t xml:space="preserve">As ever, do your own research (DYOR).</w:t>
      </w:r>
    </w:p>
    <w:p>
      <w:pPr>
        <w:pBdr>
          <w:top w:val="single" w:color="CCCCCC" w:sz="6"/>
        </w:pBdr>
        <w:spacing w:before="240" w:after="240"/>
      </w:pPr>
      <w:r>
        <w:t xml:space="preserve"/>
      </w:r>
    </w:p>
    <w:p>
      <w:pPr>
        <w:spacing w:before="120" w:after="60"/>
      </w:pPr>
      <w:r>
        <w:rPr>
          <w:b/>
          <w:bCs/>
        </w:rPr>
        <w:t xml:space="preserve">Risk Warning:</w:t>
      </w:r>
      <w:r>
        <w:t xml:space="preserve"> Investing involves significant risks, including the potential loss of your entire investment. This article does not constitute financial advice. Always conduct your own research and consult an independent financial advisor if necessary.</w:t>
      </w:r>
    </w:p>
    <w:p>
      <w:pPr>
        <w:spacing w:before="60" w:after="120"/>
      </w:pPr>
      <w:r>
        <w:rPr>
          <w:b/>
          <w:bCs/>
        </w:rPr>
        <w:t xml:space="preserve">DYOR: Mick Pavey (16th February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40"/>
      <w:szCs w:val="40"/>
    </w:rPr>
  </w:style>
  <w:style w:type="paragraph" w:styleId="Subtitle">
    <w:name w:val="Subtitle"/>
    <w:basedOn w:val="Normal"/>
    <w:pPr>
      <w:spacing w:before="60" w:after="240"/>
      <w:jc w:val="center"/>
    </w:pPr>
    <w:rPr>
      <w:rFonts w:ascii="Arial" w:cs="Arial" w:eastAsia="Arial" w:hAnsi="Arial"/>
      <w:b/>
      <w:bCs/>
      <w:color w:val="333333"/>
      <w:sz w:val="28"/>
      <w:szCs w:val="28"/>
    </w:rPr>
  </w:style>
  <w:style w:type="paragraph" w:styleId="Heading2">
    <w:name w:val="Heading 2"/>
    <w:basedOn w:val="Normal"/>
    <w:qFormat/>
    <w:pPr>
      <w:spacing w:before="240" w:after="120"/>
      <w:outlineLvl w:val="1"/>
    </w:pPr>
    <w:rPr>
      <w:rFonts w:ascii="Arial" w:cs="Arial" w:eastAsia="Arial" w:hAnsi="Arial"/>
      <w:b/>
      <w:bCs/>
      <w:color w:val="000000"/>
      <w:sz w:val="28"/>
      <w:szCs w:val="28"/>
    </w:rPr>
  </w:style>
  <w:style w:type="paragraph" w:styleId="BlockQuote">
    <w:name w:val="Block Quote"/>
    <w:basedOn w:val="Normal"/>
    <w:pPr>
      <w:spacing w:before="120" w:after="120"/>
      <w:ind w:left="720" w:right="720"/>
      <w:jc w:val="center"/>
    </w:pPr>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2026-02-16T14:16:08.872Z</dcterms:created>
  <dcterms:modified xsi:type="dcterms:W3CDTF">2026-02-16T14:16:08.873Z</dcterms:modified>
</cp:coreProperties>
</file>

<file path=docProps/custom.xml><?xml version="1.0" encoding="utf-8"?>
<Properties xmlns="http://schemas.openxmlformats.org/officeDocument/2006/custom-properties" xmlns:vt="http://schemas.openxmlformats.org/officeDocument/2006/docPropsVTypes"/>
</file>