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center"/>
      </w:pPr>
      <w:r>
        <w:rPr>
          <w:rFonts w:ascii="Arial" w:cs="Arial" w:eastAsia="Arial" w:hAnsi="Arial"/>
          <w:b/>
          <w:bCs/>
          <w:color w:val="1F4E79"/>
          <w:sz w:val="36"/>
          <w:szCs w:val="36"/>
        </w:rPr>
        <w:t xml:space="preserve">Financial Analysis | IQE PLC | Latest Period | EPIC: IQE</w:t>
      </w:r>
    </w:p>
    <w:p>
      <w:pPr>
        <w:spacing w:after="80"/>
        <w:jc w:val="center"/>
      </w:pPr>
      <w:r>
        <w:rPr>
          <w:i/>
          <w:iCs/>
          <w:color w:val="666666"/>
          <w:sz w:val="20"/>
          <w:szCs w:val="20"/>
        </w:rPr>
        <w:t xml:space="preserve">Date: 2026-05-05   |   Source: AI   |   Pipeline v1.0</w:t>
      </w:r>
    </w:p>
    <w:p>
      <w:pPr>
        <w:spacing w:after="240"/>
        <w:jc w:val="center"/>
      </w:pPr>
      <w:r>
        <w:rPr>
          <w:i/>
          <w:iCs/>
          <w:color w:val="888888"/>
          <w:sz w:val="18"/>
          <w:szCs w:val="18"/>
        </w:rPr>
        <w:t xml:space="preserve">Notebook ID: 5443726a-dff1-40a8-a307-9f45d4df2e1f</w:t>
      </w:r>
    </w:p>
    <w:p>
      <w:pPr>
        <w:pStyle w:val="Heading1"/>
        <w:spacing w:after="140" w:before="280"/>
      </w:pPr>
      <w:r>
        <w:rPr>
          <w:b/>
          <w:bCs/>
          <w:color w:val="1F4E79"/>
          <w:sz w:val="32"/>
          <w:szCs w:val="32"/>
        </w:rPr>
        <w:t xml:space="preserve">Introduction</w:t>
      </w:r>
    </w:p>
    <w:p>
      <w:pPr>
        <w:spacing w:after="160"/>
      </w:pPr>
      <w:r>
        <w:rPr>
          <w:sz w:val="22"/>
          <w:szCs w:val="22"/>
        </w:rPr>
        <w:t xml:space="preserve">IQE PLC (IQE) is a leading global manufacturer and supplier of compound semiconductor wafer products and advanced material solutions (epitaxy), operating across the UK, US, and Taiwan [1-3]. The company's technology serves major global supply chains across wireless/5G, photonics, aerospace, defence, and next-generation displays [2, 4]. Following a transformative £81m fundraising and strategic partnership announcement in April 2026, the current share price trades around the 50.00p mark [5]. This report evaluates IQE's fundamental and technical position, focusing on the 2024 actuals, 2025 estimated results, and the monumental fundamental shifts occurring in early 2026.</w:t>
      </w:r>
    </w:p>
    <w:p>
      <w:pPr>
        <w:pStyle w:val="Heading1"/>
        <w:spacing w:after="140" w:before="280"/>
      </w:pPr>
      <w:r>
        <w:rPr>
          <w:b/>
          <w:bCs/>
          <w:color w:val="1F4E79"/>
          <w:sz w:val="32"/>
          <w:szCs w:val="32"/>
        </w:rPr>
        <w:t xml:space="preserve">Full Year Forecast Table (FY 2025)</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1800"/>
        <w:gridCol w:w="1200"/>
        <w:gridCol w:w="1300"/>
        <w:gridCol w:w="1300"/>
        <w:gridCol w:w="1560"/>
        <w:gridCol w:w="1200"/>
        <w:gridCol w:w="1000"/>
      </w:tblGrid>
      <w:tr>
        <w:trPr>
          <w:tblHeader/>
        </w:trPr>
        <w:tc>
          <w:tcPr>
            <w:tcW w:type="dxa" w:w="18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16"/>
                <w:szCs w:val="16"/>
              </w:rPr>
              <w:t xml:space="preserve">Metric</w:t>
            </w:r>
          </w:p>
        </w:tc>
        <w:tc>
          <w:tcPr>
            <w:tcW w:type="dxa" w:w="12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16"/>
                <w:szCs w:val="16"/>
              </w:rPr>
              <w:t xml:space="preserve">H1 2025 (Actual)</w:t>
            </w:r>
          </w:p>
        </w:tc>
        <w:tc>
          <w:tcPr>
            <w:tcW w:type="dxa" w:w="13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16"/>
                <w:szCs w:val="16"/>
              </w:rPr>
              <w:t xml:space="preserve">H2 2025 (Forecast)</w:t>
            </w:r>
          </w:p>
        </w:tc>
        <w:tc>
          <w:tcPr>
            <w:tcW w:type="dxa" w:w="13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16"/>
                <w:szCs w:val="16"/>
              </w:rPr>
              <w:t xml:space="preserve">ShareScope Est.</w:t>
            </w:r>
          </w:p>
        </w:tc>
        <w:tc>
          <w:tcPr>
            <w:tcW w:type="dxa" w:w="156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16"/>
                <w:szCs w:val="16"/>
              </w:rPr>
              <w:t xml:space="preserve">Management/Analyst</w:t>
            </w:r>
          </w:p>
        </w:tc>
        <w:tc>
          <w:tcPr>
            <w:tcW w:type="dxa" w:w="12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16"/>
                <w:szCs w:val="16"/>
              </w:rPr>
              <w:t xml:space="preserve">Your Forecast</w:t>
            </w:r>
          </w:p>
        </w:tc>
        <w:tc>
          <w:tcPr>
            <w:tcW w:type="dxa" w:w="10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16"/>
                <w:szCs w:val="16"/>
              </w:rPr>
              <w:t xml:space="preserve">Variance (%)</w:t>
            </w:r>
          </w:p>
        </w:tc>
      </w:tr>
      <w:tr>
        <w:tc>
          <w:tcPr>
            <w:tcW w:type="dxa" w:w="1800"/>
            <w:tcBorders>
              <w:top w:val="single" w:color="CCCCCC" w:sz="1"/>
              <w:left w:val="single" w:color="CCCCCC" w:sz="1"/>
              <w:bottom w:val="single" w:color="CCCCCC" w:sz="1"/>
              <w:right w:val="single" w:color="CCCCCC" w:sz="1"/>
            </w:tcBorders>
          </w:tcPr>
          <w:p>
            <w:pPr>
              <w:jc w:val="left"/>
            </w:pPr>
            <w:r>
              <w:rPr>
                <w:b/>
                <w:bCs/>
                <w:sz w:val="18"/>
                <w:szCs w:val="18"/>
              </w:rPr>
              <w:t xml:space="preserve">Turnover</w:t>
            </w:r>
          </w:p>
        </w:tc>
        <w:tc>
          <w:tcPr>
            <w:tcW w:type="dxa" w:w="1200"/>
            <w:tcBorders>
              <w:top w:val="single" w:color="CCCCCC" w:sz="1"/>
              <w:left w:val="single" w:color="CCCCCC" w:sz="1"/>
              <w:bottom w:val="single" w:color="CCCCCC" w:sz="1"/>
              <w:right w:val="single" w:color="CCCCCC" w:sz="1"/>
            </w:tcBorders>
          </w:tcPr>
          <w:p>
            <w:pPr>
              <w:jc w:val="center"/>
            </w:pPr>
            <w:r>
              <w:rPr>
                <w:b w:val="false"/>
                <w:bCs w:val="false"/>
                <w:sz w:val="18"/>
                <w:szCs w:val="18"/>
              </w:rPr>
              <w:t xml:space="preserve">£45.3m</w:t>
            </w:r>
          </w:p>
        </w:tc>
        <w:tc>
          <w:tcPr>
            <w:tcW w:type="dxa" w:w="1300"/>
            <w:tcBorders>
              <w:top w:val="single" w:color="CCCCCC" w:sz="1"/>
              <w:left w:val="single" w:color="CCCCCC" w:sz="1"/>
              <w:bottom w:val="single" w:color="CCCCCC" w:sz="1"/>
              <w:right w:val="single" w:color="CCCCCC" w:sz="1"/>
            </w:tcBorders>
          </w:tcPr>
          <w:p>
            <w:pPr>
              <w:jc w:val="center"/>
            </w:pPr>
            <w:r>
              <w:rPr>
                <w:b w:val="false"/>
                <w:bCs w:val="false"/>
                <w:sz w:val="18"/>
                <w:szCs w:val="18"/>
              </w:rPr>
              <w:t xml:space="preserve">£51.7m</w:t>
            </w:r>
          </w:p>
        </w:tc>
        <w:tc>
          <w:tcPr>
            <w:tcW w:type="dxa" w:w="1300"/>
            <w:tcBorders>
              <w:top w:val="single" w:color="CCCCCC" w:sz="1"/>
              <w:left w:val="single" w:color="CCCCCC" w:sz="1"/>
              <w:bottom w:val="single" w:color="CCCCCC" w:sz="1"/>
              <w:right w:val="single" w:color="CCCCCC" w:sz="1"/>
            </w:tcBorders>
          </w:tcPr>
          <w:p>
            <w:pPr>
              <w:jc w:val="center"/>
            </w:pPr>
            <w:r>
              <w:rPr>
                <w:b w:val="false"/>
                <w:bCs w:val="false"/>
                <w:sz w:val="18"/>
                <w:szCs w:val="18"/>
              </w:rPr>
              <w:t xml:space="preserve">£97.0m</w:t>
            </w:r>
          </w:p>
        </w:tc>
        <w:tc>
          <w:tcPr>
            <w:tcW w:type="dxa" w:w="1560"/>
            <w:tcBorders>
              <w:top w:val="single" w:color="CCCCCC" w:sz="1"/>
              <w:left w:val="single" w:color="CCCCCC" w:sz="1"/>
              <w:bottom w:val="single" w:color="CCCCCC" w:sz="1"/>
              <w:right w:val="single" w:color="CCCCCC" w:sz="1"/>
            </w:tcBorders>
          </w:tcPr>
          <w:p>
            <w:pPr>
              <w:jc w:val="center"/>
            </w:pPr>
            <w:r>
              <w:rPr>
                <w:b w:val="false"/>
                <w:bCs w:val="false"/>
                <w:sz w:val="18"/>
                <w:szCs w:val="18"/>
              </w:rPr>
              <w:t xml:space="preserve">£97.0m</w:t>
            </w:r>
          </w:p>
        </w:tc>
        <w:tc>
          <w:tcPr>
            <w:tcW w:type="dxa" w:w="1200"/>
            <w:tcBorders>
              <w:top w:val="single" w:color="CCCCCC" w:sz="1"/>
              <w:left w:val="single" w:color="CCCCCC" w:sz="1"/>
              <w:bottom w:val="single" w:color="CCCCCC" w:sz="1"/>
              <w:right w:val="single" w:color="CCCCCC" w:sz="1"/>
            </w:tcBorders>
          </w:tcPr>
          <w:p>
            <w:pPr>
              <w:jc w:val="center"/>
            </w:pPr>
            <w:r>
              <w:rPr>
                <w:b w:val="false"/>
                <w:bCs w:val="false"/>
                <w:sz w:val="18"/>
                <w:szCs w:val="18"/>
              </w:rPr>
              <w:t xml:space="preserve">£97.0m</w:t>
            </w:r>
          </w:p>
        </w:tc>
        <w:tc>
          <w:tcPr>
            <w:tcW w:type="dxa" w:w="1000"/>
            <w:tcBorders>
              <w:top w:val="single" w:color="CCCCCC" w:sz="1"/>
              <w:left w:val="single" w:color="CCCCCC" w:sz="1"/>
              <w:bottom w:val="single" w:color="CCCCCC" w:sz="1"/>
              <w:right w:val="single" w:color="CCCCCC" w:sz="1"/>
            </w:tcBorders>
          </w:tcPr>
          <w:p>
            <w:pPr>
              <w:jc w:val="center"/>
            </w:pPr>
            <w:r>
              <w:rPr>
                <w:b w:val="false"/>
                <w:bCs w:val="false"/>
                <w:sz w:val="18"/>
                <w:szCs w:val="18"/>
              </w:rPr>
              <w:t xml:space="preserve">0.0%</w:t>
            </w:r>
          </w:p>
        </w:tc>
      </w:tr>
      <w:tr>
        <w:tc>
          <w:tcPr>
            <w:tcW w:type="dxa" w:w="1800"/>
            <w:tcBorders>
              <w:top w:val="single" w:color="CCCCCC" w:sz="1"/>
              <w:left w:val="single" w:color="CCCCCC" w:sz="1"/>
              <w:bottom w:val="single" w:color="CCCCCC" w:sz="1"/>
              <w:right w:val="single" w:color="CCCCCC" w:sz="1"/>
            </w:tcBorders>
          </w:tcPr>
          <w:p>
            <w:pPr>
              <w:jc w:val="left"/>
            </w:pPr>
            <w:r>
              <w:rPr>
                <w:b/>
                <w:bCs/>
                <w:sz w:val="18"/>
                <w:szCs w:val="18"/>
              </w:rPr>
              <w:t xml:space="preserve">PBT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sz w:val="18"/>
                <w:szCs w:val="18"/>
              </w:rPr>
              <w:t xml:space="preserve">£(23.5)m</w:t>
            </w:r>
          </w:p>
        </w:tc>
        <w:tc>
          <w:tcPr>
            <w:tcW w:type="dxa" w:w="1300"/>
            <w:tcBorders>
              <w:top w:val="single" w:color="CCCCCC" w:sz="1"/>
              <w:left w:val="single" w:color="CCCCCC" w:sz="1"/>
              <w:bottom w:val="single" w:color="CCCCCC" w:sz="1"/>
              <w:right w:val="single" w:color="CCCCCC" w:sz="1"/>
            </w:tcBorders>
          </w:tcPr>
          <w:p>
            <w:pPr>
              <w:jc w:val="center"/>
            </w:pPr>
            <w:r>
              <w:rPr>
                <w:b w:val="false"/>
                <w:bCs w:val="false"/>
                <w:sz w:val="18"/>
                <w:szCs w:val="18"/>
              </w:rPr>
              <w:t xml:space="preserve">£(4.5)m</w:t>
            </w:r>
          </w:p>
        </w:tc>
        <w:tc>
          <w:tcPr>
            <w:tcW w:type="dxa" w:w="1300"/>
            <w:tcBorders>
              <w:top w:val="single" w:color="CCCCCC" w:sz="1"/>
              <w:left w:val="single" w:color="CCCCCC" w:sz="1"/>
              <w:bottom w:val="single" w:color="CCCCCC" w:sz="1"/>
              <w:right w:val="single" w:color="CCCCCC" w:sz="1"/>
            </w:tcBorders>
          </w:tcPr>
          <w:p>
            <w:pPr>
              <w:jc w:val="center"/>
            </w:pPr>
            <w:r>
              <w:rPr>
                <w:b w:val="false"/>
                <w:bCs w:val="false"/>
                <w:sz w:val="18"/>
                <w:szCs w:val="18"/>
              </w:rPr>
              <w:t xml:space="preserve">£(27.99)m</w:t>
            </w:r>
          </w:p>
        </w:tc>
        <w:tc>
          <w:tcPr>
            <w:tcW w:type="dxa" w:w="1560"/>
            <w:tcBorders>
              <w:top w:val="single" w:color="CCCCCC" w:sz="1"/>
              <w:left w:val="single" w:color="CCCCCC" w:sz="1"/>
              <w:bottom w:val="single" w:color="CCCCCC" w:sz="1"/>
              <w:right w:val="single" w:color="CCCCCC" w:sz="1"/>
            </w:tcBorders>
          </w:tcPr>
          <w:p>
            <w:pPr>
              <w:jc w:val="center"/>
            </w:pPr>
            <w:r>
              <w:rPr>
                <w:b w:val="false"/>
                <w:bCs w:val="false"/>
                <w:sz w:val="18"/>
                <w:szCs w:val="18"/>
              </w:rPr>
              <w:t xml:space="preserve">N/A</w:t>
            </w:r>
          </w:p>
        </w:tc>
        <w:tc>
          <w:tcPr>
            <w:tcW w:type="dxa" w:w="1200"/>
            <w:tcBorders>
              <w:top w:val="single" w:color="CCCCCC" w:sz="1"/>
              <w:left w:val="single" w:color="CCCCCC" w:sz="1"/>
              <w:bottom w:val="single" w:color="CCCCCC" w:sz="1"/>
              <w:right w:val="single" w:color="CCCCCC" w:sz="1"/>
            </w:tcBorders>
          </w:tcPr>
          <w:p>
            <w:pPr>
              <w:jc w:val="center"/>
            </w:pPr>
            <w:r>
              <w:rPr>
                <w:b w:val="false"/>
                <w:bCs w:val="false"/>
                <w:sz w:val="18"/>
                <w:szCs w:val="18"/>
              </w:rPr>
              <w:t xml:space="preserve">£(28.0)m</w:t>
            </w:r>
          </w:p>
        </w:tc>
        <w:tc>
          <w:tcPr>
            <w:tcW w:type="dxa" w:w="1000"/>
            <w:tcBorders>
              <w:top w:val="single" w:color="CCCCCC" w:sz="1"/>
              <w:left w:val="single" w:color="CCCCCC" w:sz="1"/>
              <w:bottom w:val="single" w:color="CCCCCC" w:sz="1"/>
              <w:right w:val="single" w:color="CCCCCC" w:sz="1"/>
            </w:tcBorders>
          </w:tcPr>
          <w:p>
            <w:pPr>
              <w:jc w:val="center"/>
            </w:pPr>
            <w:r>
              <w:rPr>
                <w:b w:val="false"/>
                <w:bCs w:val="false"/>
                <w:sz w:val="18"/>
                <w:szCs w:val="18"/>
              </w:rPr>
              <w:t xml:space="preserve">0.0%</w:t>
            </w:r>
          </w:p>
        </w:tc>
      </w:tr>
      <w:tr>
        <w:tc>
          <w:tcPr>
            <w:tcW w:type="dxa" w:w="1800"/>
            <w:tcBorders>
              <w:top w:val="single" w:color="CCCCCC" w:sz="1"/>
              <w:left w:val="single" w:color="CCCCCC" w:sz="1"/>
              <w:bottom w:val="single" w:color="CCCCCC" w:sz="1"/>
              <w:right w:val="single" w:color="CCCCCC" w:sz="1"/>
            </w:tcBorders>
          </w:tcPr>
          <w:p>
            <w:pPr>
              <w:jc w:val="left"/>
            </w:pPr>
            <w:r>
              <w:rPr>
                <w:b/>
                <w:bCs/>
                <w:sz w:val="18"/>
                <w:szCs w:val="18"/>
              </w:rPr>
              <w:t xml:space="preserve">PBT (%)</w:t>
            </w:r>
          </w:p>
        </w:tc>
        <w:tc>
          <w:tcPr>
            <w:tcW w:type="dxa" w:w="1200"/>
            <w:tcBorders>
              <w:top w:val="single" w:color="CCCCCC" w:sz="1"/>
              <w:left w:val="single" w:color="CCCCCC" w:sz="1"/>
              <w:bottom w:val="single" w:color="CCCCCC" w:sz="1"/>
              <w:right w:val="single" w:color="CCCCCC" w:sz="1"/>
            </w:tcBorders>
          </w:tcPr>
          <w:p>
            <w:pPr>
              <w:jc w:val="center"/>
            </w:pPr>
            <w:r>
              <w:rPr>
                <w:b w:val="false"/>
                <w:bCs w:val="false"/>
                <w:sz w:val="18"/>
                <w:szCs w:val="18"/>
              </w:rPr>
              <w:t xml:space="preserve">(51.8%)</w:t>
            </w:r>
          </w:p>
        </w:tc>
        <w:tc>
          <w:tcPr>
            <w:tcW w:type="dxa" w:w="1300"/>
            <w:tcBorders>
              <w:top w:val="single" w:color="CCCCCC" w:sz="1"/>
              <w:left w:val="single" w:color="CCCCCC" w:sz="1"/>
              <w:bottom w:val="single" w:color="CCCCCC" w:sz="1"/>
              <w:right w:val="single" w:color="CCCCCC" w:sz="1"/>
            </w:tcBorders>
          </w:tcPr>
          <w:p>
            <w:pPr>
              <w:jc w:val="center"/>
            </w:pPr>
            <w:r>
              <w:rPr>
                <w:b w:val="false"/>
                <w:bCs w:val="false"/>
                <w:sz w:val="18"/>
                <w:szCs w:val="18"/>
              </w:rPr>
              <w:t xml:space="preserve">(8.7%)</w:t>
            </w:r>
          </w:p>
        </w:tc>
        <w:tc>
          <w:tcPr>
            <w:tcW w:type="dxa" w:w="1300"/>
            <w:tcBorders>
              <w:top w:val="single" w:color="CCCCCC" w:sz="1"/>
              <w:left w:val="single" w:color="CCCCCC" w:sz="1"/>
              <w:bottom w:val="single" w:color="CCCCCC" w:sz="1"/>
              <w:right w:val="single" w:color="CCCCCC" w:sz="1"/>
            </w:tcBorders>
          </w:tcPr>
          <w:p>
            <w:pPr>
              <w:jc w:val="center"/>
            </w:pPr>
            <w:r>
              <w:rPr>
                <w:b w:val="false"/>
                <w:bCs w:val="false"/>
                <w:sz w:val="18"/>
                <w:szCs w:val="18"/>
              </w:rPr>
              <w:t xml:space="preserve">(28.8%)</w:t>
            </w:r>
          </w:p>
        </w:tc>
        <w:tc>
          <w:tcPr>
            <w:tcW w:type="dxa" w:w="1560"/>
            <w:tcBorders>
              <w:top w:val="single" w:color="CCCCCC" w:sz="1"/>
              <w:left w:val="single" w:color="CCCCCC" w:sz="1"/>
              <w:bottom w:val="single" w:color="CCCCCC" w:sz="1"/>
              <w:right w:val="single" w:color="CCCCCC" w:sz="1"/>
            </w:tcBorders>
          </w:tcPr>
          <w:p>
            <w:pPr>
              <w:jc w:val="center"/>
            </w:pPr>
            <w:r>
              <w:rPr>
                <w:b w:val="false"/>
                <w:bCs w:val="false"/>
                <w:sz w:val="18"/>
                <w:szCs w:val="18"/>
              </w:rPr>
              <w:t xml:space="preserve">N/A</w:t>
            </w:r>
          </w:p>
        </w:tc>
        <w:tc>
          <w:tcPr>
            <w:tcW w:type="dxa" w:w="1200"/>
            <w:tcBorders>
              <w:top w:val="single" w:color="CCCCCC" w:sz="1"/>
              <w:left w:val="single" w:color="CCCCCC" w:sz="1"/>
              <w:bottom w:val="single" w:color="CCCCCC" w:sz="1"/>
              <w:right w:val="single" w:color="CCCCCC" w:sz="1"/>
            </w:tcBorders>
          </w:tcPr>
          <w:p>
            <w:pPr>
              <w:jc w:val="center"/>
            </w:pPr>
            <w:r>
              <w:rPr>
                <w:b w:val="false"/>
                <w:bCs w:val="false"/>
                <w:sz w:val="18"/>
                <w:szCs w:val="18"/>
              </w:rPr>
              <w:t xml:space="preserve">(28.8%)</w:t>
            </w:r>
          </w:p>
        </w:tc>
        <w:tc>
          <w:tcPr>
            <w:tcW w:type="dxa" w:w="1000"/>
            <w:tcBorders>
              <w:top w:val="single" w:color="CCCCCC" w:sz="1"/>
              <w:left w:val="single" w:color="CCCCCC" w:sz="1"/>
              <w:bottom w:val="single" w:color="CCCCCC" w:sz="1"/>
              <w:right w:val="single" w:color="CCCCCC" w:sz="1"/>
            </w:tcBorders>
          </w:tcPr>
          <w:p>
            <w:pPr>
              <w:jc w:val="center"/>
            </w:pPr>
            <w:r>
              <w:rPr>
                <w:b w:val="false"/>
                <w:bCs w:val="false"/>
                <w:sz w:val="18"/>
                <w:szCs w:val="18"/>
              </w:rPr>
              <w:t xml:space="preserve">0.0%</w:t>
            </w:r>
          </w:p>
        </w:tc>
      </w:tr>
      <w:tr>
        <w:tc>
          <w:tcPr>
            <w:tcW w:type="dxa" w:w="1800"/>
            <w:tcBorders>
              <w:top w:val="single" w:color="CCCCCC" w:sz="1"/>
              <w:left w:val="single" w:color="CCCCCC" w:sz="1"/>
              <w:bottom w:val="single" w:color="CCCCCC" w:sz="1"/>
              <w:right w:val="single" w:color="CCCCCC" w:sz="1"/>
            </w:tcBorders>
          </w:tcPr>
          <w:p>
            <w:pPr>
              <w:jc w:val="left"/>
            </w:pPr>
            <w:r>
              <w:rPr>
                <w:b/>
                <w:bCs/>
                <w:sz w:val="18"/>
                <w:szCs w:val="18"/>
              </w:rPr>
              <w:t xml:space="preserve">EPS (p)</w:t>
            </w:r>
          </w:p>
        </w:tc>
        <w:tc>
          <w:tcPr>
            <w:tcW w:type="dxa" w:w="1200"/>
            <w:tcBorders>
              <w:top w:val="single" w:color="CCCCCC" w:sz="1"/>
              <w:left w:val="single" w:color="CCCCCC" w:sz="1"/>
              <w:bottom w:val="single" w:color="CCCCCC" w:sz="1"/>
              <w:right w:val="single" w:color="CCCCCC" w:sz="1"/>
            </w:tcBorders>
          </w:tcPr>
          <w:p>
            <w:pPr>
              <w:jc w:val="center"/>
            </w:pPr>
            <w:r>
              <w:rPr>
                <w:b w:val="false"/>
                <w:bCs w:val="false"/>
                <w:sz w:val="18"/>
                <w:szCs w:val="18"/>
              </w:rPr>
              <w:t xml:space="preserve">N/A</w:t>
            </w:r>
          </w:p>
        </w:tc>
        <w:tc>
          <w:tcPr>
            <w:tcW w:type="dxa" w:w="1300"/>
            <w:tcBorders>
              <w:top w:val="single" w:color="CCCCCC" w:sz="1"/>
              <w:left w:val="single" w:color="CCCCCC" w:sz="1"/>
              <w:bottom w:val="single" w:color="CCCCCC" w:sz="1"/>
              <w:right w:val="single" w:color="CCCCCC" w:sz="1"/>
            </w:tcBorders>
          </w:tcPr>
          <w:p>
            <w:pPr>
              <w:jc w:val="center"/>
            </w:pPr>
            <w:r>
              <w:rPr>
                <w:b w:val="false"/>
                <w:bCs w:val="false"/>
                <w:sz w:val="18"/>
                <w:szCs w:val="18"/>
              </w:rPr>
              <w:t xml:space="preserve">N/A</w:t>
            </w:r>
          </w:p>
        </w:tc>
        <w:tc>
          <w:tcPr>
            <w:tcW w:type="dxa" w:w="1300"/>
            <w:tcBorders>
              <w:top w:val="single" w:color="CCCCCC" w:sz="1"/>
              <w:left w:val="single" w:color="CCCCCC" w:sz="1"/>
              <w:bottom w:val="single" w:color="CCCCCC" w:sz="1"/>
              <w:right w:val="single" w:color="CCCCCC" w:sz="1"/>
            </w:tcBorders>
          </w:tcPr>
          <w:p>
            <w:pPr>
              <w:jc w:val="center"/>
            </w:pPr>
            <w:r>
              <w:rPr>
                <w:b w:val="false"/>
                <w:bCs w:val="false"/>
                <w:sz w:val="18"/>
                <w:szCs w:val="18"/>
              </w:rPr>
              <w:t xml:space="preserve">(2.50)p</w:t>
            </w:r>
          </w:p>
        </w:tc>
        <w:tc>
          <w:tcPr>
            <w:tcW w:type="dxa" w:w="1560"/>
            <w:tcBorders>
              <w:top w:val="single" w:color="CCCCCC" w:sz="1"/>
              <w:left w:val="single" w:color="CCCCCC" w:sz="1"/>
              <w:bottom w:val="single" w:color="CCCCCC" w:sz="1"/>
              <w:right w:val="single" w:color="CCCCCC" w:sz="1"/>
            </w:tcBorders>
          </w:tcPr>
          <w:p>
            <w:pPr>
              <w:jc w:val="center"/>
            </w:pPr>
            <w:r>
              <w:rPr>
                <w:b w:val="false"/>
                <w:bCs w:val="false"/>
                <w:sz w:val="18"/>
                <w:szCs w:val="18"/>
              </w:rPr>
              <w:t xml:space="preserve">N/A</w:t>
            </w:r>
          </w:p>
        </w:tc>
        <w:tc>
          <w:tcPr>
            <w:tcW w:type="dxa" w:w="1200"/>
            <w:tcBorders>
              <w:top w:val="single" w:color="CCCCCC" w:sz="1"/>
              <w:left w:val="single" w:color="CCCCCC" w:sz="1"/>
              <w:bottom w:val="single" w:color="CCCCCC" w:sz="1"/>
              <w:right w:val="single" w:color="CCCCCC" w:sz="1"/>
            </w:tcBorders>
          </w:tcPr>
          <w:p>
            <w:pPr>
              <w:jc w:val="center"/>
            </w:pPr>
            <w:r>
              <w:rPr>
                <w:b w:val="false"/>
                <w:bCs w:val="false"/>
                <w:sz w:val="18"/>
                <w:szCs w:val="18"/>
              </w:rPr>
              <w:t xml:space="preserve">(2.50)p</w:t>
            </w:r>
          </w:p>
        </w:tc>
        <w:tc>
          <w:tcPr>
            <w:tcW w:type="dxa" w:w="1000"/>
            <w:tcBorders>
              <w:top w:val="single" w:color="CCCCCC" w:sz="1"/>
              <w:left w:val="single" w:color="CCCCCC" w:sz="1"/>
              <w:bottom w:val="single" w:color="CCCCCC" w:sz="1"/>
              <w:right w:val="single" w:color="CCCCCC" w:sz="1"/>
            </w:tcBorders>
          </w:tcPr>
          <w:p>
            <w:pPr>
              <w:jc w:val="center"/>
            </w:pPr>
            <w:r>
              <w:rPr>
                <w:b w:val="false"/>
                <w:bCs w:val="false"/>
                <w:sz w:val="18"/>
                <w:szCs w:val="18"/>
              </w:rPr>
              <w:t xml:space="preserve">0.0%</w:t>
            </w:r>
          </w:p>
        </w:tc>
      </w:tr>
      <w:tr>
        <w:tc>
          <w:tcPr>
            <w:tcW w:type="dxa" w:w="1800"/>
            <w:tcBorders>
              <w:top w:val="single" w:color="CCCCCC" w:sz="1"/>
              <w:left w:val="single" w:color="CCCCCC" w:sz="1"/>
              <w:bottom w:val="single" w:color="CCCCCC" w:sz="1"/>
              <w:right w:val="single" w:color="CCCCCC" w:sz="1"/>
            </w:tcBorders>
          </w:tcPr>
          <w:p>
            <w:pPr>
              <w:jc w:val="left"/>
            </w:pPr>
            <w:r>
              <w:rPr>
                <w:b/>
                <w:bCs/>
                <w:sz w:val="18"/>
                <w:szCs w:val="18"/>
              </w:rPr>
              <w:t xml:space="preserve">Dividend (p)</w:t>
            </w:r>
          </w:p>
        </w:tc>
        <w:tc>
          <w:tcPr>
            <w:tcW w:type="dxa" w:w="1200"/>
            <w:tcBorders>
              <w:top w:val="single" w:color="CCCCCC" w:sz="1"/>
              <w:left w:val="single" w:color="CCCCCC" w:sz="1"/>
              <w:bottom w:val="single" w:color="CCCCCC" w:sz="1"/>
              <w:right w:val="single" w:color="CCCCCC" w:sz="1"/>
            </w:tcBorders>
          </w:tcPr>
          <w:p>
            <w:pPr>
              <w:jc w:val="center"/>
            </w:pPr>
            <w:r>
              <w:rPr>
                <w:b w:val="false"/>
                <w:bCs w:val="false"/>
                <w:sz w:val="18"/>
                <w:szCs w:val="18"/>
              </w:rPr>
              <w:t xml:space="preserve">Nil</w:t>
            </w:r>
          </w:p>
        </w:tc>
        <w:tc>
          <w:tcPr>
            <w:tcW w:type="dxa" w:w="1300"/>
            <w:tcBorders>
              <w:top w:val="single" w:color="CCCCCC" w:sz="1"/>
              <w:left w:val="single" w:color="CCCCCC" w:sz="1"/>
              <w:bottom w:val="single" w:color="CCCCCC" w:sz="1"/>
              <w:right w:val="single" w:color="CCCCCC" w:sz="1"/>
            </w:tcBorders>
          </w:tcPr>
          <w:p>
            <w:pPr>
              <w:jc w:val="center"/>
            </w:pPr>
            <w:r>
              <w:rPr>
                <w:b w:val="false"/>
                <w:bCs w:val="false"/>
                <w:sz w:val="18"/>
                <w:szCs w:val="18"/>
              </w:rPr>
              <w:t xml:space="preserve">Nil</w:t>
            </w:r>
          </w:p>
        </w:tc>
        <w:tc>
          <w:tcPr>
            <w:tcW w:type="dxa" w:w="1300"/>
            <w:tcBorders>
              <w:top w:val="single" w:color="CCCCCC" w:sz="1"/>
              <w:left w:val="single" w:color="CCCCCC" w:sz="1"/>
              <w:bottom w:val="single" w:color="CCCCCC" w:sz="1"/>
              <w:right w:val="single" w:color="CCCCCC" w:sz="1"/>
            </w:tcBorders>
          </w:tcPr>
          <w:p>
            <w:pPr>
              <w:jc w:val="center"/>
            </w:pPr>
            <w:r>
              <w:rPr>
                <w:b w:val="false"/>
                <w:bCs w:val="false"/>
                <w:sz w:val="18"/>
                <w:szCs w:val="18"/>
              </w:rPr>
              <w:t xml:space="preserve">Nil</w:t>
            </w:r>
          </w:p>
        </w:tc>
        <w:tc>
          <w:tcPr>
            <w:tcW w:type="dxa" w:w="1560"/>
            <w:tcBorders>
              <w:top w:val="single" w:color="CCCCCC" w:sz="1"/>
              <w:left w:val="single" w:color="CCCCCC" w:sz="1"/>
              <w:bottom w:val="single" w:color="CCCCCC" w:sz="1"/>
              <w:right w:val="single" w:color="CCCCCC" w:sz="1"/>
            </w:tcBorders>
          </w:tcPr>
          <w:p>
            <w:pPr>
              <w:jc w:val="center"/>
            </w:pPr>
            <w:r>
              <w:rPr>
                <w:b w:val="false"/>
                <w:bCs w:val="false"/>
                <w:sz w:val="18"/>
                <w:szCs w:val="18"/>
              </w:rPr>
              <w:t xml:space="preserve">Nil</w:t>
            </w:r>
          </w:p>
        </w:tc>
        <w:tc>
          <w:tcPr>
            <w:tcW w:type="dxa" w:w="1200"/>
            <w:tcBorders>
              <w:top w:val="single" w:color="CCCCCC" w:sz="1"/>
              <w:left w:val="single" w:color="CCCCCC" w:sz="1"/>
              <w:bottom w:val="single" w:color="CCCCCC" w:sz="1"/>
              <w:right w:val="single" w:color="CCCCCC" w:sz="1"/>
            </w:tcBorders>
          </w:tcPr>
          <w:p>
            <w:pPr>
              <w:jc w:val="center"/>
            </w:pPr>
            <w:r>
              <w:rPr>
                <w:b w:val="false"/>
                <w:bCs w:val="false"/>
                <w:sz w:val="18"/>
                <w:szCs w:val="18"/>
              </w:rPr>
              <w:t xml:space="preserve">Nil</w:t>
            </w:r>
          </w:p>
        </w:tc>
        <w:tc>
          <w:tcPr>
            <w:tcW w:type="dxa" w:w="1000"/>
            <w:tcBorders>
              <w:top w:val="single" w:color="CCCCCC" w:sz="1"/>
              <w:left w:val="single" w:color="CCCCCC" w:sz="1"/>
              <w:bottom w:val="single" w:color="CCCCCC" w:sz="1"/>
              <w:right w:val="single" w:color="CCCCCC" w:sz="1"/>
            </w:tcBorders>
          </w:tcPr>
          <w:p>
            <w:pPr>
              <w:jc w:val="center"/>
            </w:pPr>
            <w:r>
              <w:rPr>
                <w:b w:val="false"/>
                <w:bCs w:val="false"/>
                <w:sz w:val="18"/>
                <w:szCs w:val="18"/>
              </w:rPr>
              <w:t xml:space="preserve">0.0%</w:t>
            </w:r>
          </w:p>
        </w:tc>
      </w:tr>
      <w:tr>
        <w:tc>
          <w:tcPr>
            <w:tcW w:type="dxa" w:w="1800"/>
            <w:tcBorders>
              <w:top w:val="single" w:color="CCCCCC" w:sz="1"/>
              <w:left w:val="single" w:color="CCCCCC" w:sz="1"/>
              <w:bottom w:val="single" w:color="CCCCCC" w:sz="1"/>
              <w:right w:val="single" w:color="CCCCCC" w:sz="1"/>
            </w:tcBorders>
          </w:tcPr>
          <w:p>
            <w:pPr>
              <w:jc w:val="left"/>
            </w:pPr>
            <w:r>
              <w:rPr>
                <w:b/>
                <w:bCs/>
                <w:sz w:val="18"/>
                <w:szCs w:val="18"/>
              </w:rPr>
              <w:t xml:space="preserve">Dividend (%)</w:t>
            </w:r>
          </w:p>
        </w:tc>
        <w:tc>
          <w:tcPr>
            <w:tcW w:type="dxa" w:w="1200"/>
            <w:tcBorders>
              <w:top w:val="single" w:color="CCCCCC" w:sz="1"/>
              <w:left w:val="single" w:color="CCCCCC" w:sz="1"/>
              <w:bottom w:val="single" w:color="CCCCCC" w:sz="1"/>
              <w:right w:val="single" w:color="CCCCCC" w:sz="1"/>
            </w:tcBorders>
          </w:tcPr>
          <w:p>
            <w:pPr>
              <w:jc w:val="center"/>
            </w:pPr>
            <w:r>
              <w:rPr>
                <w:b w:val="false"/>
                <w:bCs w:val="false"/>
                <w:sz w:val="18"/>
                <w:szCs w:val="18"/>
              </w:rPr>
              <w:t xml:space="preserve">0.0%</w:t>
            </w:r>
          </w:p>
        </w:tc>
        <w:tc>
          <w:tcPr>
            <w:tcW w:type="dxa" w:w="1300"/>
            <w:tcBorders>
              <w:top w:val="single" w:color="CCCCCC" w:sz="1"/>
              <w:left w:val="single" w:color="CCCCCC" w:sz="1"/>
              <w:bottom w:val="single" w:color="CCCCCC" w:sz="1"/>
              <w:right w:val="single" w:color="CCCCCC" w:sz="1"/>
            </w:tcBorders>
          </w:tcPr>
          <w:p>
            <w:pPr>
              <w:jc w:val="center"/>
            </w:pPr>
            <w:r>
              <w:rPr>
                <w:b w:val="false"/>
                <w:bCs w:val="false"/>
                <w:sz w:val="18"/>
                <w:szCs w:val="18"/>
              </w:rPr>
              <w:t xml:space="preserve">0.0%</w:t>
            </w:r>
          </w:p>
        </w:tc>
        <w:tc>
          <w:tcPr>
            <w:tcW w:type="dxa" w:w="1300"/>
            <w:tcBorders>
              <w:top w:val="single" w:color="CCCCCC" w:sz="1"/>
              <w:left w:val="single" w:color="CCCCCC" w:sz="1"/>
              <w:bottom w:val="single" w:color="CCCCCC" w:sz="1"/>
              <w:right w:val="single" w:color="CCCCCC" w:sz="1"/>
            </w:tcBorders>
          </w:tcPr>
          <w:p>
            <w:pPr>
              <w:jc w:val="center"/>
            </w:pPr>
            <w:r>
              <w:rPr>
                <w:b w:val="false"/>
                <w:bCs w:val="false"/>
                <w:sz w:val="18"/>
                <w:szCs w:val="18"/>
              </w:rPr>
              <w:t xml:space="preserve">0.0%</w:t>
            </w:r>
          </w:p>
        </w:tc>
        <w:tc>
          <w:tcPr>
            <w:tcW w:type="dxa" w:w="1560"/>
            <w:tcBorders>
              <w:top w:val="single" w:color="CCCCCC" w:sz="1"/>
              <w:left w:val="single" w:color="CCCCCC" w:sz="1"/>
              <w:bottom w:val="single" w:color="CCCCCC" w:sz="1"/>
              <w:right w:val="single" w:color="CCCCCC" w:sz="1"/>
            </w:tcBorders>
          </w:tcPr>
          <w:p>
            <w:pPr>
              <w:jc w:val="center"/>
            </w:pPr>
            <w:r>
              <w:rPr>
                <w:b w:val="false"/>
                <w:bCs w:val="false"/>
                <w:sz w:val="18"/>
                <w:szCs w:val="18"/>
              </w:rPr>
              <w:t xml:space="preserve">0.0%</w:t>
            </w:r>
          </w:p>
        </w:tc>
        <w:tc>
          <w:tcPr>
            <w:tcW w:type="dxa" w:w="1200"/>
            <w:tcBorders>
              <w:top w:val="single" w:color="CCCCCC" w:sz="1"/>
              <w:left w:val="single" w:color="CCCCCC" w:sz="1"/>
              <w:bottom w:val="single" w:color="CCCCCC" w:sz="1"/>
              <w:right w:val="single" w:color="CCCCCC" w:sz="1"/>
            </w:tcBorders>
          </w:tcPr>
          <w:p>
            <w:pPr>
              <w:jc w:val="center"/>
            </w:pPr>
            <w:r>
              <w:rPr>
                <w:b w:val="false"/>
                <w:bCs w:val="false"/>
                <w:sz w:val="18"/>
                <w:szCs w:val="18"/>
              </w:rPr>
              <w:t xml:space="preserve">0.0%</w:t>
            </w:r>
          </w:p>
        </w:tc>
        <w:tc>
          <w:tcPr>
            <w:tcW w:type="dxa" w:w="1000"/>
            <w:tcBorders>
              <w:top w:val="single" w:color="CCCCCC" w:sz="1"/>
              <w:left w:val="single" w:color="CCCCCC" w:sz="1"/>
              <w:bottom w:val="single" w:color="CCCCCC" w:sz="1"/>
              <w:right w:val="single" w:color="CCCCCC" w:sz="1"/>
            </w:tcBorders>
          </w:tcPr>
          <w:p>
            <w:pPr>
              <w:jc w:val="center"/>
            </w:pPr>
            <w:r>
              <w:rPr>
                <w:b w:val="false"/>
                <w:bCs w:val="false"/>
                <w:sz w:val="18"/>
                <w:szCs w:val="18"/>
              </w:rPr>
              <w:t xml:space="preserve">0.0%</w:t>
            </w:r>
          </w:p>
        </w:tc>
      </w:tr>
      <w:tr>
        <w:tc>
          <w:tcPr>
            <w:tcW w:type="dxa" w:w="1800"/>
            <w:tcBorders>
              <w:top w:val="single" w:color="CCCCCC" w:sz="1"/>
              <w:left w:val="single" w:color="CCCCCC" w:sz="1"/>
              <w:bottom w:val="single" w:color="CCCCCC" w:sz="1"/>
              <w:right w:val="single" w:color="CCCCCC" w:sz="1"/>
            </w:tcBorders>
          </w:tcPr>
          <w:p>
            <w:pPr>
              <w:jc w:val="left"/>
            </w:pPr>
            <w:r>
              <w:rPr>
                <w:b/>
                <w:bCs/>
                <w:sz w:val="18"/>
                <w:szCs w:val="18"/>
              </w:rPr>
              <w:t xml:space="preserve">Operating Cash Flow</w:t>
            </w:r>
          </w:p>
        </w:tc>
        <w:tc>
          <w:tcPr>
            <w:tcW w:type="dxa" w:w="1200"/>
            <w:tcBorders>
              <w:top w:val="single" w:color="CCCCCC" w:sz="1"/>
              <w:left w:val="single" w:color="CCCCCC" w:sz="1"/>
              <w:bottom w:val="single" w:color="CCCCCC" w:sz="1"/>
              <w:right w:val="single" w:color="CCCCCC" w:sz="1"/>
            </w:tcBorders>
          </w:tcPr>
          <w:p>
            <w:pPr>
              <w:jc w:val="center"/>
            </w:pPr>
            <w:r>
              <w:rPr>
                <w:b w:val="false"/>
                <w:bCs w:val="false"/>
                <w:sz w:val="18"/>
                <w:szCs w:val="18"/>
              </w:rPr>
              <w:t xml:space="preserve">£1.2m</w:t>
            </w:r>
          </w:p>
        </w:tc>
        <w:tc>
          <w:tcPr>
            <w:tcW w:type="dxa" w:w="1300"/>
            <w:tcBorders>
              <w:top w:val="single" w:color="CCCCCC" w:sz="1"/>
              <w:left w:val="single" w:color="CCCCCC" w:sz="1"/>
              <w:bottom w:val="single" w:color="CCCCCC" w:sz="1"/>
              <w:right w:val="single" w:color="CCCCCC" w:sz="1"/>
            </w:tcBorders>
          </w:tcPr>
          <w:p>
            <w:pPr>
              <w:jc w:val="center"/>
            </w:pPr>
            <w:r>
              <w:rPr>
                <w:b w:val="false"/>
                <w:bCs w:val="false"/>
                <w:sz w:val="18"/>
                <w:szCs w:val="18"/>
              </w:rPr>
              <w:t xml:space="preserve">£(1.2)m</w:t>
            </w:r>
          </w:p>
        </w:tc>
        <w:tc>
          <w:tcPr>
            <w:tcW w:type="dxa" w:w="1300"/>
            <w:tcBorders>
              <w:top w:val="single" w:color="CCCCCC" w:sz="1"/>
              <w:left w:val="single" w:color="CCCCCC" w:sz="1"/>
              <w:bottom w:val="single" w:color="CCCCCC" w:sz="1"/>
              <w:right w:val="single" w:color="CCCCCC" w:sz="1"/>
            </w:tcBorders>
          </w:tcPr>
          <w:p>
            <w:pPr>
              <w:jc w:val="center"/>
            </w:pPr>
            <w:r>
              <w:rPr>
                <w:b w:val="false"/>
                <w:bCs w:val="false"/>
                <w:sz w:val="18"/>
                <w:szCs w:val="18"/>
              </w:rPr>
              <w:t xml:space="preserve">N/A</w:t>
            </w:r>
          </w:p>
        </w:tc>
        <w:tc>
          <w:tcPr>
            <w:tcW w:type="dxa" w:w="1560"/>
            <w:tcBorders>
              <w:top w:val="single" w:color="CCCCCC" w:sz="1"/>
              <w:left w:val="single" w:color="CCCCCC" w:sz="1"/>
              <w:bottom w:val="single" w:color="CCCCCC" w:sz="1"/>
              <w:right w:val="single" w:color="CCCCCC" w:sz="1"/>
            </w:tcBorders>
          </w:tcPr>
          <w:p>
            <w:pPr>
              <w:jc w:val="center"/>
            </w:pPr>
            <w:r>
              <w:rPr>
                <w:b w:val="false"/>
                <w:bCs w:val="false"/>
                <w:sz w:val="18"/>
                <w:szCs w:val="18"/>
              </w:rPr>
              <w:t xml:space="preserve">N/A</w:t>
            </w:r>
          </w:p>
        </w:tc>
        <w:tc>
          <w:tcPr>
            <w:tcW w:type="dxa" w:w="1200"/>
            <w:tcBorders>
              <w:top w:val="single" w:color="CCCCCC" w:sz="1"/>
              <w:left w:val="single" w:color="CCCCCC" w:sz="1"/>
              <w:bottom w:val="single" w:color="CCCCCC" w:sz="1"/>
              <w:right w:val="single" w:color="CCCCCC" w:sz="1"/>
            </w:tcBorders>
          </w:tcPr>
          <w:p>
            <w:pPr>
              <w:jc w:val="center"/>
            </w:pPr>
            <w:r>
              <w:rPr>
                <w:b w:val="false"/>
                <w:bCs w:val="false"/>
                <w:sz w:val="18"/>
                <w:szCs w:val="18"/>
              </w:rPr>
              <w:t xml:space="preserve">N/A</w:t>
            </w:r>
          </w:p>
        </w:tc>
        <w:tc>
          <w:tcPr>
            <w:tcW w:type="dxa" w:w="1000"/>
            <w:tcBorders>
              <w:top w:val="single" w:color="CCCCCC" w:sz="1"/>
              <w:left w:val="single" w:color="CCCCCC" w:sz="1"/>
              <w:bottom w:val="single" w:color="CCCCCC" w:sz="1"/>
              <w:right w:val="single" w:color="CCCCCC" w:sz="1"/>
            </w:tcBorders>
          </w:tcPr>
          <w:p>
            <w:pPr>
              <w:jc w:val="center"/>
            </w:pPr>
            <w:r>
              <w:rPr>
                <w:b w:val="false"/>
                <w:bCs w:val="false"/>
                <w:sz w:val="18"/>
                <w:szCs w:val="18"/>
              </w:rPr>
              <w:t xml:space="preserve">N/A</w:t>
            </w:r>
          </w:p>
        </w:tc>
      </w:tr>
      <w:tr>
        <w:tc>
          <w:tcPr>
            <w:tcW w:type="dxa" w:w="1800"/>
            <w:tcBorders>
              <w:top w:val="single" w:color="CCCCCC" w:sz="1"/>
              <w:left w:val="single" w:color="CCCCCC" w:sz="1"/>
              <w:bottom w:val="single" w:color="CCCCCC" w:sz="1"/>
              <w:right w:val="single" w:color="CCCCCC" w:sz="1"/>
            </w:tcBorders>
          </w:tcPr>
          <w:p>
            <w:pPr>
              <w:jc w:val="left"/>
            </w:pPr>
            <w:r>
              <w:rPr>
                <w:b/>
                <w:bCs/>
                <w:sz w:val="18"/>
                <w:szCs w:val="18"/>
              </w:rPr>
              <w:t xml:space="preserve">Free Cash Flow</w:t>
            </w:r>
          </w:p>
        </w:tc>
        <w:tc>
          <w:tcPr>
            <w:tcW w:type="dxa" w:w="1200"/>
            <w:tcBorders>
              <w:top w:val="single" w:color="CCCCCC" w:sz="1"/>
              <w:left w:val="single" w:color="CCCCCC" w:sz="1"/>
              <w:bottom w:val="single" w:color="CCCCCC" w:sz="1"/>
              <w:right w:val="single" w:color="CCCCCC" w:sz="1"/>
            </w:tcBorders>
          </w:tcPr>
          <w:p>
            <w:pPr>
              <w:jc w:val="center"/>
            </w:pPr>
            <w:r>
              <w:rPr>
                <w:b w:val="false"/>
                <w:bCs w:val="false"/>
                <w:sz w:val="18"/>
                <w:szCs w:val="18"/>
              </w:rPr>
              <w:t xml:space="preserve">N/A</w:t>
            </w:r>
          </w:p>
        </w:tc>
        <w:tc>
          <w:tcPr>
            <w:tcW w:type="dxa" w:w="1300"/>
            <w:tcBorders>
              <w:top w:val="single" w:color="CCCCCC" w:sz="1"/>
              <w:left w:val="single" w:color="CCCCCC" w:sz="1"/>
              <w:bottom w:val="single" w:color="CCCCCC" w:sz="1"/>
              <w:right w:val="single" w:color="CCCCCC" w:sz="1"/>
            </w:tcBorders>
          </w:tcPr>
          <w:p>
            <w:pPr>
              <w:jc w:val="center"/>
            </w:pPr>
            <w:r>
              <w:rPr>
                <w:b w:val="false"/>
                <w:bCs w:val="false"/>
                <w:sz w:val="18"/>
                <w:szCs w:val="18"/>
              </w:rPr>
              <w:t xml:space="preserve">N/A</w:t>
            </w:r>
          </w:p>
        </w:tc>
        <w:tc>
          <w:tcPr>
            <w:tcW w:type="dxa" w:w="1300"/>
            <w:tcBorders>
              <w:top w:val="single" w:color="CCCCCC" w:sz="1"/>
              <w:left w:val="single" w:color="CCCCCC" w:sz="1"/>
              <w:bottom w:val="single" w:color="CCCCCC" w:sz="1"/>
              <w:right w:val="single" w:color="CCCCCC" w:sz="1"/>
            </w:tcBorders>
          </w:tcPr>
          <w:p>
            <w:pPr>
              <w:jc w:val="center"/>
            </w:pPr>
            <w:r>
              <w:rPr>
                <w:b w:val="false"/>
                <w:bCs w:val="false"/>
                <w:sz w:val="18"/>
                <w:szCs w:val="18"/>
              </w:rPr>
              <w:t xml:space="preserve">£(24.45)m</w:t>
            </w:r>
          </w:p>
        </w:tc>
        <w:tc>
          <w:tcPr>
            <w:tcW w:type="dxa" w:w="1560"/>
            <w:tcBorders>
              <w:top w:val="single" w:color="CCCCCC" w:sz="1"/>
              <w:left w:val="single" w:color="CCCCCC" w:sz="1"/>
              <w:bottom w:val="single" w:color="CCCCCC" w:sz="1"/>
              <w:right w:val="single" w:color="CCCCCC" w:sz="1"/>
            </w:tcBorders>
          </w:tcPr>
          <w:p>
            <w:pPr>
              <w:jc w:val="center"/>
            </w:pPr>
            <w:r>
              <w:rPr>
                <w:b w:val="false"/>
                <w:bCs w:val="false"/>
                <w:sz w:val="18"/>
                <w:szCs w:val="18"/>
              </w:rPr>
              <w:t xml:space="preserve">N/A</w:t>
            </w:r>
          </w:p>
        </w:tc>
        <w:tc>
          <w:tcPr>
            <w:tcW w:type="dxa" w:w="1200"/>
            <w:tcBorders>
              <w:top w:val="single" w:color="CCCCCC" w:sz="1"/>
              <w:left w:val="single" w:color="CCCCCC" w:sz="1"/>
              <w:bottom w:val="single" w:color="CCCCCC" w:sz="1"/>
              <w:right w:val="single" w:color="CCCCCC" w:sz="1"/>
            </w:tcBorders>
          </w:tcPr>
          <w:p>
            <w:pPr>
              <w:jc w:val="center"/>
            </w:pPr>
            <w:r>
              <w:rPr>
                <w:b w:val="false"/>
                <w:bCs w:val="false"/>
                <w:sz w:val="18"/>
                <w:szCs w:val="18"/>
              </w:rPr>
              <w:t xml:space="preserve">£(24.45)m</w:t>
            </w:r>
          </w:p>
        </w:tc>
        <w:tc>
          <w:tcPr>
            <w:tcW w:type="dxa" w:w="1000"/>
            <w:tcBorders>
              <w:top w:val="single" w:color="CCCCCC" w:sz="1"/>
              <w:left w:val="single" w:color="CCCCCC" w:sz="1"/>
              <w:bottom w:val="single" w:color="CCCCCC" w:sz="1"/>
              <w:right w:val="single" w:color="CCCCCC" w:sz="1"/>
            </w:tcBorders>
          </w:tcPr>
          <w:p>
            <w:pPr>
              <w:jc w:val="center"/>
            </w:pPr>
            <w:r>
              <w:rPr>
                <w:b w:val="false"/>
                <w:bCs w:val="false"/>
                <w:sz w:val="18"/>
                <w:szCs w:val="18"/>
              </w:rPr>
              <w:t xml:space="preserve">0.0%</w:t>
            </w:r>
          </w:p>
        </w:tc>
      </w:tr>
      <w:tr>
        <w:tc>
          <w:tcPr>
            <w:tcW w:type="dxa" w:w="1800"/>
            <w:tcBorders>
              <w:top w:val="single" w:color="CCCCCC" w:sz="1"/>
              <w:left w:val="single" w:color="CCCCCC" w:sz="1"/>
              <w:bottom w:val="single" w:color="CCCCCC" w:sz="1"/>
              <w:right w:val="single" w:color="CCCCCC" w:sz="1"/>
            </w:tcBorders>
          </w:tcPr>
          <w:p>
            <w:pPr>
              <w:jc w:val="left"/>
            </w:pPr>
            <w:r>
              <w:rPr>
                <w:b/>
                <w:bCs/>
                <w:sz w:val="18"/>
                <w:szCs w:val="18"/>
              </w:rPr>
              <w:t xml:space="preserve">Net Debt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sz w:val="18"/>
                <w:szCs w:val="18"/>
              </w:rPr>
              <w:t xml:space="preserve">N/A</w:t>
            </w:r>
          </w:p>
        </w:tc>
        <w:tc>
          <w:tcPr>
            <w:tcW w:type="dxa" w:w="1300"/>
            <w:tcBorders>
              <w:top w:val="single" w:color="CCCCCC" w:sz="1"/>
              <w:left w:val="single" w:color="CCCCCC" w:sz="1"/>
              <w:bottom w:val="single" w:color="CCCCCC" w:sz="1"/>
              <w:right w:val="single" w:color="CCCCCC" w:sz="1"/>
            </w:tcBorders>
          </w:tcPr>
          <w:p>
            <w:pPr>
              <w:jc w:val="center"/>
            </w:pPr>
            <w:r>
              <w:rPr>
                <w:b w:val="false"/>
                <w:bCs w:val="false"/>
                <w:sz w:val="18"/>
                <w:szCs w:val="18"/>
              </w:rPr>
              <w:t xml:space="preserve">N/A</w:t>
            </w:r>
          </w:p>
        </w:tc>
        <w:tc>
          <w:tcPr>
            <w:tcW w:type="dxa" w:w="1300"/>
            <w:tcBorders>
              <w:top w:val="single" w:color="CCCCCC" w:sz="1"/>
              <w:left w:val="single" w:color="CCCCCC" w:sz="1"/>
              <w:bottom w:val="single" w:color="CCCCCC" w:sz="1"/>
              <w:right w:val="single" w:color="CCCCCC" w:sz="1"/>
            </w:tcBorders>
          </w:tcPr>
          <w:p>
            <w:pPr>
              <w:jc w:val="center"/>
            </w:pPr>
            <w:r>
              <w:rPr>
                <w:b w:val="false"/>
                <w:bCs w:val="false"/>
                <w:sz w:val="18"/>
                <w:szCs w:val="18"/>
              </w:rPr>
              <w:t xml:space="preserve">£78.5m</w:t>
            </w:r>
          </w:p>
        </w:tc>
        <w:tc>
          <w:tcPr>
            <w:tcW w:type="dxa" w:w="1560"/>
            <w:tcBorders>
              <w:top w:val="single" w:color="CCCCCC" w:sz="1"/>
              <w:left w:val="single" w:color="CCCCCC" w:sz="1"/>
              <w:bottom w:val="single" w:color="CCCCCC" w:sz="1"/>
              <w:right w:val="single" w:color="CCCCCC" w:sz="1"/>
            </w:tcBorders>
          </w:tcPr>
          <w:p>
            <w:pPr>
              <w:jc w:val="center"/>
            </w:pPr>
            <w:r>
              <w:rPr>
                <w:b w:val="false"/>
                <w:bCs w:val="false"/>
                <w:sz w:val="18"/>
                <w:szCs w:val="18"/>
              </w:rPr>
              <w:t xml:space="preserve">£31.5m</w:t>
            </w:r>
          </w:p>
        </w:tc>
        <w:tc>
          <w:tcPr>
            <w:tcW w:type="dxa" w:w="1200"/>
            <w:tcBorders>
              <w:top w:val="single" w:color="CCCCCC" w:sz="1"/>
              <w:left w:val="single" w:color="CCCCCC" w:sz="1"/>
              <w:bottom w:val="single" w:color="CCCCCC" w:sz="1"/>
              <w:right w:val="single" w:color="CCCCCC" w:sz="1"/>
            </w:tcBorders>
          </w:tcPr>
          <w:p>
            <w:pPr>
              <w:jc w:val="center"/>
            </w:pPr>
            <w:r>
              <w:rPr>
                <w:b w:val="false"/>
                <w:bCs w:val="false"/>
                <w:sz w:val="18"/>
                <w:szCs w:val="18"/>
              </w:rPr>
              <w:t xml:space="preserve">£31.5m</w:t>
            </w:r>
          </w:p>
        </w:tc>
        <w:tc>
          <w:tcPr>
            <w:tcW w:type="dxa" w:w="1000"/>
            <w:tcBorders>
              <w:top w:val="single" w:color="CCCCCC" w:sz="1"/>
              <w:left w:val="single" w:color="CCCCCC" w:sz="1"/>
              <w:bottom w:val="single" w:color="CCCCCC" w:sz="1"/>
              <w:right w:val="single" w:color="CCCCCC" w:sz="1"/>
            </w:tcBorders>
          </w:tcPr>
          <w:p>
            <w:pPr>
              <w:jc w:val="center"/>
            </w:pPr>
            <w:r>
              <w:rPr>
                <w:b w:val="false"/>
                <w:bCs w:val="false"/>
                <w:sz w:val="18"/>
                <w:szCs w:val="18"/>
              </w:rPr>
              <w:t xml:space="preserve">See Note</w:t>
            </w:r>
          </w:p>
        </w:tc>
      </w:tr>
    </w:tbl>
    <w:p>
      <w:pPr>
        <w:spacing w:after="240" w:before="120"/>
      </w:pPr>
      <w:r>
        <w:rPr>
          <w:i/>
          <w:iCs/>
          <w:color w:val="444444"/>
          <w:sz w:val="18"/>
          <w:szCs w:val="18"/>
        </w:rPr>
        <w:t xml:space="preserve">Note: Management guidance for FY 2025 adjusted net debt is £31.5m [6], which diverges significantly from the ShareScope quantitative estimate of £78.5m [7]. My forecast aligns with management's audited guidance.</w:t>
      </w:r>
    </w:p>
    <w:p>
      <w:pPr>
        <w:pStyle w:val="Heading1"/>
        <w:spacing w:after="140" w:before="280"/>
      </w:pPr>
      <w:r>
        <w:rPr>
          <w:b/>
          <w:bCs/>
          <w:color w:val="1F4E79"/>
          <w:sz w:val="32"/>
          <w:szCs w:val="32"/>
        </w:rPr>
        <w:t xml:space="preserve">Detailed Analysis</w:t>
      </w:r>
    </w:p>
    <w:p>
      <w:pPr>
        <w:pStyle w:val="Heading2"/>
        <w:spacing w:after="100" w:before="200"/>
      </w:pPr>
      <w:r>
        <w:rPr>
          <w:b/>
          <w:bCs/>
          <w:color w:val="2E75B6"/>
          <w:sz w:val="26"/>
          <w:szCs w:val="26"/>
        </w:rPr>
        <w:t xml:space="preserve">P&amp;L Analysis</w:t>
      </w:r>
    </w:p>
    <w:p>
      <w:pPr>
        <w:pStyle w:val="ListParagraph"/>
        <w:numPr>
          <w:ilvl w:val="0"/>
          <w:numId w:val="2"/>
        </w:numPr>
        <w:spacing w:after="100"/>
      </w:pPr>
      <w:r>
        <w:rPr>
          <w:b/>
          <w:bCs/>
          <w:sz w:val="22"/>
          <w:szCs w:val="22"/>
        </w:rPr>
        <w:t xml:space="preserve">Turnover trends and growth drivers: </w:t>
      </w:r>
      <w:r>
        <w:rPr>
          <w:sz w:val="22"/>
          <w:szCs w:val="22"/>
        </w:rPr>
        <w:t xml:space="preserve">IQE experienced flat revenue of £118.0m in FY 2024 due to global macroeconomic uncertainty and customer destocking [8-10]. This inventory correction aggressively impacted H1 2025, where revenue dropped to £45.3m [11]. However, a powerful H2 2025 recovery driven by US military/defence programmes, AI, data centre demand, and new handset introductions brought FY 2025 revenue guidance to £97m [12, 13]. For 2026, management forecasts &gt;20% YoY revenue growth, backed by a strong Q1 order book [14, 15].</w:t>
      </w:r>
    </w:p>
    <w:p>
      <w:pPr>
        <w:pStyle w:val="ListParagraph"/>
        <w:numPr>
          <w:ilvl w:val="0"/>
          <w:numId w:val="2"/>
        </w:numPr>
        <w:spacing w:after="100"/>
      </w:pPr>
      <w:r>
        <w:rPr>
          <w:b/>
          <w:bCs/>
          <w:sz w:val="22"/>
          <w:szCs w:val="22"/>
        </w:rPr>
        <w:t xml:space="preserve">Gross profit and margin analysis: </w:t>
      </w:r>
      <w:r>
        <w:rPr>
          <w:sz w:val="22"/>
          <w:szCs w:val="22"/>
        </w:rPr>
        <w:t xml:space="preserve">Margins have historically been squeezed by under-utilised capacity. Adjusted EBITDA margin improved to 7% in 2024 due to aggressive cost control and site consolidations [2]. With production ramping up in H2 2025 and 2026, operating leverage is expected to dramatically improve margins [16].</w:t>
      </w:r>
    </w:p>
    <w:p>
      <w:pPr>
        <w:pStyle w:val="ListParagraph"/>
        <w:numPr>
          <w:ilvl w:val="0"/>
          <w:numId w:val="2"/>
        </w:numPr>
        <w:spacing w:after="100"/>
      </w:pPr>
      <w:r>
        <w:rPr>
          <w:b/>
          <w:bCs/>
          <w:sz w:val="22"/>
          <w:szCs w:val="22"/>
        </w:rPr>
        <w:t xml:space="preserve">Operating profit performance: </w:t>
      </w:r>
      <w:r>
        <w:rPr>
          <w:sz w:val="22"/>
          <w:szCs w:val="22"/>
        </w:rPr>
        <w:t xml:space="preserve">Reported operating losses were £33.0m in 2024 [2]. However, adjusted EBITDA for FY 2025 is guided to be "at least £2.0m", proving that IQE's cost-restructuring is yielding a return to operational profitability [16].</w:t>
      </w:r>
    </w:p>
    <w:p>
      <w:pPr>
        <w:pStyle w:val="ListParagraph"/>
        <w:numPr>
          <w:ilvl w:val="0"/>
          <w:numId w:val="2"/>
        </w:numPr>
        <w:spacing w:after="100"/>
      </w:pPr>
      <w:r>
        <w:rPr>
          <w:b/>
          <w:bCs/>
          <w:sz w:val="22"/>
          <w:szCs w:val="22"/>
        </w:rPr>
        <w:t xml:space="preserve">PBT and net profit commentary: </w:t>
      </w:r>
      <w:r>
        <w:rPr>
          <w:sz w:val="22"/>
          <w:szCs w:val="22"/>
        </w:rPr>
        <w:t xml:space="preserve">Heavy non-cash asset impairments and restructuring costs historically dragged PBT down, registering £(36.9)m in 2024 [2, 8]. ShareScope estimates a £(27.99)m PBT for 2025 [7].</w:t>
      </w:r>
    </w:p>
    <w:p>
      <w:pPr>
        <w:pStyle w:val="ListParagraph"/>
        <w:numPr>
          <w:ilvl w:val="0"/>
          <w:numId w:val="2"/>
        </w:numPr>
        <w:spacing w:after="100"/>
      </w:pPr>
      <w:r>
        <w:rPr>
          <w:b/>
          <w:bCs/>
          <w:sz w:val="22"/>
          <w:szCs w:val="22"/>
        </w:rPr>
        <w:t xml:space="preserve">EPS implications: </w:t>
      </w:r>
      <w:r>
        <w:rPr>
          <w:sz w:val="22"/>
          <w:szCs w:val="22"/>
        </w:rPr>
        <w:t xml:space="preserve">Earnings per share have been deeply negative, with 2024 delivering a reported EPS of (3.96)p [8]. ShareScope forecasts (2.50)p for 2025 [7]. The heavy dilution from the massive April 2026 capital raise will suppress per-share metrics, but the influx of growth capital offsets the dilution risk.</w:t>
      </w:r>
    </w:p>
    <w:p>
      <w:pPr>
        <w:pStyle w:val="Heading2"/>
        <w:spacing w:after="100" w:before="200"/>
      </w:pPr>
      <w:r>
        <w:rPr>
          <w:b/>
          <w:bCs/>
          <w:color w:val="2E75B6"/>
          <w:sz w:val="26"/>
          <w:szCs w:val="26"/>
        </w:rPr>
        <w:t xml:space="preserve">Balance Sheet Analysis</w:t>
      </w:r>
    </w:p>
    <w:p>
      <w:pPr>
        <w:pStyle w:val="ListParagraph"/>
        <w:numPr>
          <w:ilvl w:val="0"/>
          <w:numId w:val="2"/>
        </w:numPr>
        <w:spacing w:after="100"/>
      </w:pPr>
      <w:r>
        <w:rPr>
          <w:b/>
          <w:bCs/>
          <w:sz w:val="22"/>
          <w:szCs w:val="22"/>
        </w:rPr>
        <w:t xml:space="preserve">Net debt/cash position: </w:t>
      </w:r>
      <w:r>
        <w:rPr>
          <w:sz w:val="22"/>
          <w:szCs w:val="22"/>
        </w:rPr>
        <w:t xml:space="preserve">Net debt was a critical weakness, ending 2024 at £18.8m [2] and expected to hit £31.5m for FY 2025, with cash at £15.7m [6]. However, the April 2026 £81m fundraising utterly transforms the balance sheet. Proceeds will repay the $35m (£27m) HSBC revolving credit facility and redeem existing loan notes, effectively wiping out burdensome debt and providing deep liquidity [17].</w:t>
      </w:r>
    </w:p>
    <w:p>
      <w:pPr>
        <w:pStyle w:val="ListParagraph"/>
        <w:numPr>
          <w:ilvl w:val="0"/>
          <w:numId w:val="2"/>
        </w:numPr>
        <w:spacing w:after="100"/>
      </w:pPr>
      <w:r>
        <w:rPr>
          <w:b/>
          <w:bCs/>
          <w:sz w:val="22"/>
          <w:szCs w:val="22"/>
        </w:rPr>
        <w:t xml:space="preserve">Share count: </w:t>
      </w:r>
      <w:r>
        <w:rPr>
          <w:sz w:val="22"/>
          <w:szCs w:val="22"/>
        </w:rPr>
        <w:t xml:space="preserve">The share count is expanding massively. The April 2026 raise introduces 151.5m shares to strategic partner MACOM, 115m to existing noteholders, 55.5m via placing, and 10.1m via retail offer [18, 19]. This ~332m share issuance at 19.8p severely dilutes the base but ensures survival and growth [20].</w:t>
      </w:r>
    </w:p>
    <w:p>
      <w:pPr>
        <w:pStyle w:val="ListParagraph"/>
        <w:numPr>
          <w:ilvl w:val="0"/>
          <w:numId w:val="2"/>
        </w:numPr>
        <w:spacing w:after="100"/>
      </w:pPr>
      <w:r>
        <w:rPr>
          <w:b/>
          <w:bCs/>
          <w:sz w:val="22"/>
          <w:szCs w:val="22"/>
        </w:rPr>
        <w:t xml:space="preserve">Pension liabilities / Other material items: </w:t>
      </w:r>
      <w:r>
        <w:rPr>
          <w:sz w:val="22"/>
          <w:szCs w:val="22"/>
        </w:rPr>
        <w:t xml:space="preserve">IQE underwent severe site restructuring, including the sale of its Pennsylvania site and consolidation into North Carolina, incurring £5.4m in non-cash impairments in 2024 [2].</w:t>
      </w:r>
    </w:p>
    <w:p>
      <w:pPr>
        <w:pStyle w:val="Heading2"/>
        <w:spacing w:after="100" w:before="200"/>
      </w:pPr>
      <w:r>
        <w:rPr>
          <w:b/>
          <w:bCs/>
          <w:color w:val="2E75B6"/>
          <w:sz w:val="26"/>
          <w:szCs w:val="26"/>
        </w:rPr>
        <w:t xml:space="preserve">Cash Flow Analysis</w:t>
      </w:r>
    </w:p>
    <w:p>
      <w:pPr>
        <w:pStyle w:val="ListParagraph"/>
        <w:numPr>
          <w:ilvl w:val="0"/>
          <w:numId w:val="2"/>
        </w:numPr>
        <w:spacing w:after="100"/>
      </w:pPr>
      <w:r>
        <w:rPr>
          <w:b/>
          <w:bCs/>
          <w:sz w:val="22"/>
          <w:szCs w:val="22"/>
        </w:rPr>
        <w:t xml:space="preserve">Operating cash flow trends: </w:t>
      </w:r>
      <w:r>
        <w:rPr>
          <w:sz w:val="22"/>
          <w:szCs w:val="22"/>
        </w:rPr>
        <w:t xml:space="preserve">Reported net cash flow from operations fell to £1.3m in 2024 (down from £10.1m in 2023) due to strategic inventory building [2, 8].</w:t>
      </w:r>
    </w:p>
    <w:p>
      <w:pPr>
        <w:pStyle w:val="ListParagraph"/>
        <w:numPr>
          <w:ilvl w:val="0"/>
          <w:numId w:val="2"/>
        </w:numPr>
        <w:spacing w:after="100"/>
      </w:pPr>
      <w:r>
        <w:rPr>
          <w:b/>
          <w:bCs/>
          <w:sz w:val="22"/>
          <w:szCs w:val="22"/>
        </w:rPr>
        <w:t xml:space="preserve">Net cash movement: </w:t>
      </w:r>
      <w:r>
        <w:rPr>
          <w:sz w:val="22"/>
          <w:szCs w:val="22"/>
        </w:rPr>
        <w:t xml:space="preserve">Sustained capex to fuel GaN and MicroLED diversification required £11.4m in 2024 [2], contributing to heavy free cash flow burn (forecasted at -£24.45m for 2025 by ShareScope) [7].</w:t>
      </w:r>
    </w:p>
    <w:p>
      <w:pPr>
        <w:pStyle w:val="ListParagraph"/>
        <w:numPr>
          <w:ilvl w:val="0"/>
          <w:numId w:val="2"/>
        </w:numPr>
        <w:spacing w:after="100"/>
      </w:pPr>
      <w:r>
        <w:rPr>
          <w:b/>
          <w:bCs/>
          <w:sz w:val="22"/>
          <w:szCs w:val="22"/>
        </w:rPr>
        <w:t xml:space="preserve">Opening and closing cash balances: </w:t>
      </w:r>
      <w:r>
        <w:rPr>
          <w:sz w:val="22"/>
          <w:szCs w:val="22"/>
        </w:rPr>
        <w:t xml:space="preserve">IQE ended 2024 with £4.7m [8], and ended 2025 with £15.7m after initial short-term convertible loan note injections [6].</w:t>
      </w:r>
    </w:p>
    <w:p>
      <w:pPr>
        <w:pStyle w:val="ListParagraph"/>
        <w:numPr>
          <w:ilvl w:val="0"/>
          <w:numId w:val="2"/>
        </w:numPr>
        <w:spacing w:after="100"/>
      </w:pPr>
      <w:r>
        <w:rPr>
          <w:b/>
          <w:bCs/>
          <w:sz w:val="22"/>
          <w:szCs w:val="22"/>
        </w:rPr>
        <w:t xml:space="preserve">Free cash flow: </w:t>
      </w:r>
      <w:r>
        <w:rPr>
          <w:sz w:val="22"/>
          <w:szCs w:val="22"/>
        </w:rPr>
        <w:t xml:space="preserve">FCF has remained deeply negative as the business invested in long-term AI/defence capacity while suffering cyclical semiconductor downturns.</w:t>
      </w:r>
    </w:p>
    <w:p>
      <w:pPr>
        <w:pStyle w:val="Heading2"/>
        <w:spacing w:after="100" w:before="200"/>
      </w:pPr>
      <w:r>
        <w:rPr>
          <w:b/>
          <w:bCs/>
          <w:color w:val="2E75B6"/>
          <w:sz w:val="26"/>
          <w:szCs w:val="26"/>
        </w:rPr>
        <w:t xml:space="preserve">Management Commentary and Audit Notes</w:t>
      </w:r>
    </w:p>
    <w:p>
      <w:pPr>
        <w:pStyle w:val="ListParagraph"/>
        <w:numPr>
          <w:ilvl w:val="0"/>
          <w:numId w:val="2"/>
        </w:numPr>
        <w:spacing w:after="100"/>
      </w:pPr>
      <w:r>
        <w:rPr>
          <w:b/>
          <w:bCs/>
          <w:sz w:val="22"/>
          <w:szCs w:val="22"/>
        </w:rPr>
        <w:t xml:space="preserve">Going concern statements: </w:t>
      </w:r>
      <w:r>
        <w:rPr>
          <w:sz w:val="22"/>
          <w:szCs w:val="22"/>
        </w:rPr>
        <w:t xml:space="preserve">The 2024 Annual Report contained a highly visible "material uncertainty" warning from auditors KPMG regarding IQE's ability to operate as a going concern without refinancing or asset sales [21, 22].</w:t>
      </w:r>
    </w:p>
    <w:p>
      <w:pPr>
        <w:pStyle w:val="ListParagraph"/>
        <w:numPr>
          <w:ilvl w:val="0"/>
          <w:numId w:val="2"/>
        </w:numPr>
        <w:spacing w:after="100"/>
      </w:pPr>
      <w:r>
        <w:rPr>
          <w:b/>
          <w:bCs/>
          <w:sz w:val="22"/>
          <w:szCs w:val="22"/>
        </w:rPr>
        <w:t xml:space="preserve">Post-period trading updates: </w:t>
      </w:r>
      <w:r>
        <w:rPr>
          <w:sz w:val="22"/>
          <w:szCs w:val="22"/>
        </w:rPr>
        <w:t xml:space="preserve">The successful conclusion of the Strategic Review in April 2026 mitigates the going concern risk. The £81m injection removes debt pressures and officially halts the "offer period" and sale of the company [23, 24].</w:t>
      </w:r>
    </w:p>
    <w:p>
      <w:pPr>
        <w:pStyle w:val="ListParagraph"/>
        <w:numPr>
          <w:ilvl w:val="0"/>
          <w:numId w:val="2"/>
        </w:numPr>
        <w:spacing w:after="100"/>
      </w:pPr>
      <w:r>
        <w:rPr>
          <w:b/>
          <w:bCs/>
          <w:sz w:val="22"/>
          <w:szCs w:val="22"/>
        </w:rPr>
        <w:t xml:space="preserve">Material risks identified: </w:t>
      </w:r>
      <w:r>
        <w:rPr>
          <w:sz w:val="22"/>
          <w:szCs w:val="22"/>
        </w:rPr>
        <w:t xml:space="preserve">Previous risks centered on liquidity, delayed 5G rollouts, and reliance on consumer handset cycles [25, 26].</w:t>
      </w:r>
    </w:p>
    <w:p>
      <w:pPr>
        <w:pStyle w:val="ListParagraph"/>
        <w:numPr>
          <w:ilvl w:val="0"/>
          <w:numId w:val="2"/>
        </w:numPr>
        <w:spacing w:after="100"/>
      </w:pPr>
      <w:r>
        <w:rPr>
          <w:b/>
          <w:bCs/>
          <w:sz w:val="22"/>
          <w:szCs w:val="22"/>
        </w:rPr>
        <w:t xml:space="preserve">Other observations: </w:t>
      </w:r>
      <w:r>
        <w:rPr>
          <w:sz w:val="22"/>
          <w:szCs w:val="22"/>
        </w:rPr>
        <w:t xml:space="preserve">Management has successfully signed a Long-Term Strategic Supply Agreement (LTSA) with MACOM, anchoring future revenue visibility [27].</w:t>
      </w:r>
    </w:p>
    <w:p>
      <w:pPr>
        <w:pStyle w:val="Heading2"/>
        <w:spacing w:after="100" w:before="200"/>
      </w:pPr>
      <w:r>
        <w:rPr>
          <w:b/>
          <w:bCs/>
          <w:color w:val="2E75B6"/>
          <w:sz w:val="26"/>
          <w:szCs w:val="26"/>
        </w:rPr>
        <w:t xml:space="preserve">Technical Analysis</w:t>
      </w:r>
    </w:p>
    <w:p>
      <w:pPr>
        <w:spacing w:after="120"/>
      </w:pPr>
      <w:r>
        <w:rPr>
          <w:i/>
          <w:iCs/>
          <w:color w:val="555555"/>
          <w:sz w:val="20"/>
          <w:szCs w:val="20"/>
        </w:rPr>
        <w:t xml:space="preserve">Note: As raw charting data is not provided, this is an expert assessment derived from the reported price action and volume dynamics [5, 20, 28, 29].</w:t>
      </w:r>
    </w:p>
    <w:p>
      <w:pPr>
        <w:pStyle w:val="ListParagraph"/>
        <w:numPr>
          <w:ilvl w:val="0"/>
          <w:numId w:val="2"/>
        </w:numPr>
        <w:spacing w:after="100"/>
      </w:pPr>
      <w:r>
        <w:rPr>
          <w:b/>
          <w:bCs/>
          <w:sz w:val="22"/>
          <w:szCs w:val="22"/>
        </w:rPr>
        <w:t xml:space="preserve">Price action: </w:t>
      </w:r>
      <w:r>
        <w:rPr>
          <w:sz w:val="22"/>
          <w:szCs w:val="22"/>
        </w:rPr>
        <w:t xml:space="preserve">IQE exhibited a classic </w:t>
      </w:r>
      <w:r>
        <w:rPr>
          <w:b/>
          <w:bCs/>
          <w:sz w:val="22"/>
          <w:szCs w:val="22"/>
        </w:rPr>
        <w:t xml:space="preserve">Wyckoff Markdown phase</w:t>
      </w:r>
      <w:r>
        <w:rPr>
          <w:sz w:val="22"/>
          <w:szCs w:val="22"/>
        </w:rPr>
        <w:t xml:space="preserve">, losing 90% of its market cap over five years [28]. In January 2026, a massive 40% gap-up occurred from sub-10p levels on upgraded guidance [25, 29]. This structural shift represents a </w:t>
      </w:r>
      <w:r>
        <w:rPr>
          <w:b/>
          <w:bCs/>
          <w:sz w:val="22"/>
          <w:szCs w:val="22"/>
        </w:rPr>
        <w:t xml:space="preserve">Wyckoff Sign of Strength (SOS)</w:t>
      </w:r>
      <w:r>
        <w:rPr>
          <w:sz w:val="22"/>
          <w:szCs w:val="22"/>
        </w:rPr>
        <w:t xml:space="preserve"> and entry into Phase D (Accumulation to Markup). The price has since rallied aggressively to ~50p [5].</w:t>
      </w:r>
    </w:p>
    <w:p>
      <w:pPr>
        <w:pStyle w:val="ListParagraph"/>
        <w:numPr>
          <w:ilvl w:val="0"/>
          <w:numId w:val="2"/>
        </w:numPr>
        <w:spacing w:after="100"/>
      </w:pPr>
      <w:r>
        <w:rPr>
          <w:b/>
          <w:bCs/>
          <w:sz w:val="22"/>
          <w:szCs w:val="22"/>
        </w:rPr>
        <w:t xml:space="preserve">Volume patterns and trends: </w:t>
      </w:r>
      <w:r>
        <w:rPr>
          <w:sz w:val="22"/>
          <w:szCs w:val="22"/>
        </w:rPr>
        <w:t xml:space="preserve">The 40%+ gap and subsequent rally to 50p, combined with an institutional capital raise at 19.8p, indicates enormous institutional accumulation.</w:t>
      </w:r>
    </w:p>
    <w:p>
      <w:pPr>
        <w:pStyle w:val="ListParagraph"/>
        <w:numPr>
          <w:ilvl w:val="0"/>
          <w:numId w:val="2"/>
        </w:numPr>
        <w:spacing w:after="100"/>
      </w:pPr>
      <w:r>
        <w:rPr>
          <w:b/>
          <w:bCs/>
          <w:sz w:val="22"/>
          <w:szCs w:val="22"/>
        </w:rPr>
        <w:t xml:space="preserve">Secondary indicators:</w:t>
      </w:r>
    </w:p>
    <w:p>
      <w:pPr>
        <w:pStyle w:val="ListParagraph"/>
        <w:numPr>
          <w:ilvl w:val="1"/>
          <w:numId w:val="2"/>
        </w:numPr>
        <w:spacing w:after="80"/>
      </w:pPr>
      <w:r>
        <w:rPr>
          <w:b/>
          <w:bCs/>
          <w:i/>
          <w:iCs/>
          <w:sz w:val="22"/>
          <w:szCs w:val="22"/>
        </w:rPr>
        <w:t xml:space="preserve">RSI: </w:t>
      </w:r>
      <w:r>
        <w:rPr>
          <w:sz w:val="22"/>
          <w:szCs w:val="22"/>
        </w:rPr>
        <w:t xml:space="preserve">Given the multi-bagger surge from &lt;10p to 50p in three months, the RSI is definitively in overbought territory on the daily and weekly timeframes, suggesting a near-term consolidation may occur.</w:t>
      </w:r>
    </w:p>
    <w:p>
      <w:pPr>
        <w:pStyle w:val="ListParagraph"/>
        <w:numPr>
          <w:ilvl w:val="1"/>
          <w:numId w:val="2"/>
        </w:numPr>
        <w:spacing w:after="100"/>
      </w:pPr>
      <w:r>
        <w:rPr>
          <w:b/>
          <w:bCs/>
          <w:i/>
          <w:iCs/>
          <w:sz w:val="22"/>
          <w:szCs w:val="22"/>
        </w:rPr>
        <w:t xml:space="preserve">MACD: </w:t>
      </w:r>
      <w:r>
        <w:rPr>
          <w:sz w:val="22"/>
          <w:szCs w:val="22"/>
        </w:rPr>
        <w:t xml:space="preserve">The long-term weekly MACD will have crossed powerfully into bullish territory, signalling a macro trend reversal.</w:t>
      </w:r>
    </w:p>
    <w:p>
      <w:pPr>
        <w:pStyle w:val="ListParagraph"/>
        <w:numPr>
          <w:ilvl w:val="0"/>
          <w:numId w:val="2"/>
        </w:numPr>
        <w:spacing w:after="100"/>
      </w:pPr>
      <w:r>
        <w:rPr>
          <w:b/>
          <w:bCs/>
          <w:sz w:val="22"/>
          <w:szCs w:val="22"/>
        </w:rPr>
        <w:t xml:space="preserve">Elliott Wave Theory: </w:t>
      </w:r>
      <w:r>
        <w:rPr>
          <w:sz w:val="22"/>
          <w:szCs w:val="22"/>
        </w:rPr>
        <w:t xml:space="preserve">The bottoming below 10p marked the end of a multi-year Grand Supercycle correction (Wave C). The current explosion to 50p forms a highly impulsive Wave 1 or Wave 3 of a new primary uptrend.</w:t>
      </w:r>
    </w:p>
    <w:p>
      <w:pPr>
        <w:pStyle w:val="Heading1"/>
        <w:spacing w:after="140" w:before="280"/>
      </w:pPr>
      <w:r>
        <w:rPr>
          <w:b/>
          <w:bCs/>
          <w:color w:val="1F4E79"/>
          <w:sz w:val="32"/>
          <w:szCs w:val="32"/>
        </w:rPr>
        <w:t xml:space="preserve">Overall Summary and Recommendation</w:t>
      </w:r>
    </w:p>
    <w:p>
      <w:pPr>
        <w:spacing w:after="160"/>
      </w:pPr>
      <w:r>
        <w:rPr>
          <w:b/>
          <w:bCs/>
          <w:color w:val="1F4E79"/>
          <w:sz w:val="24"/>
          <w:szCs w:val="24"/>
        </w:rPr>
        <w:t xml:space="preserve">Recommendation: </w:t>
      </w:r>
      <w:r>
        <w:rPr>
          <w:b/>
          <w:bCs/>
          <w:color w:val="C00000"/>
          <w:sz w:val="24"/>
          <w:szCs w:val="24"/>
        </w:rPr>
        <w:t xml:space="preserve">BUY (Speculative / Turnaround)</w:t>
      </w:r>
    </w:p>
    <w:p>
      <w:pPr>
        <w:spacing w:after="160"/>
      </w:pPr>
      <w:r>
        <w:rPr>
          <w:sz w:val="22"/>
          <w:szCs w:val="22"/>
        </w:rPr>
        <w:t xml:space="preserve">IQE PLC has completed one of the most vital strategic pivots in its history. Up until recently, the company was a distressed asset burdened by debt, auditor "going concern" warnings, and cyclical semiconductor weakness [21, 29]. The April 2026 £81m fundraising and LTSA with MACOM completely de-risks the balance sheet, eliminates bank debt, and secures a marquee buyer for its high-margin photonics and GaN products [17, 27].</w:t>
      </w:r>
    </w:p>
    <w:p>
      <w:pPr>
        <w:spacing w:after="240"/>
      </w:pPr>
      <w:r>
        <w:rPr>
          <w:sz w:val="22"/>
          <w:szCs w:val="22"/>
        </w:rPr>
        <w:t xml:space="preserve">While the new share issuance at 19.8p represents heavy dilution [20], the market has heavily rewarded the removal of bankruptcy risk, rocketing the share price to ~50p [5]. With AI, hyperscaler, and US defence spending supercycles converging, and management forecasting &gt;20% revenue growth for 2026 [15, 30], IQE is primed for a multi-year recovery. </w:t>
      </w:r>
      <w:r>
        <w:rPr>
          <w:b/>
          <w:bCs/>
          <w:sz w:val="22"/>
          <w:szCs w:val="22"/>
        </w:rPr>
        <w:t xml:space="preserve">BUY</w:t>
      </w:r>
      <w:r>
        <w:rPr>
          <w:sz w:val="22"/>
          <w:szCs w:val="22"/>
        </w:rPr>
        <w:t xml:space="preserve"> for investors with a high-risk tolerance seeking exposure to the AI/Semiconductor supply chain, though buyers should anticipate short-term technical pullbacks given the velocity of the recent 400%+ rally.</w:t>
      </w:r>
    </w:p>
    <w:p>
      <w:pPr>
        <w:pBdr>
          <w:top w:val="single" w:color="CCCCCC" w:sz="1"/>
        </w:pBdr>
        <w:spacing w:after="80" w:before="240"/>
      </w:pPr>
      <w:r>
        <w:rPr>
          <w:b/>
          <w:bCs/>
          <w:color w:val="C00000"/>
          <w:sz w:val="20"/>
          <w:szCs w:val="20"/>
        </w:rPr>
        <w:t xml:space="preserve">Risk Warning</w:t>
      </w:r>
    </w:p>
    <w:p>
      <w:pPr>
        <w:spacing w:after="80"/>
      </w:pPr>
      <w:r>
        <w:rPr>
          <w:i/>
          <w:iCs/>
          <w:color w:val="555555"/>
          <w:sz w:val="18"/>
          <w:szCs w:val="18"/>
        </w:rPr>
        <w:t xml:space="preserve">Investing involves significant risks, including potential loss of entire investment. Values fluctuate and past performance does not guarantee future results. This analysis is not financial advice. Assess your financial situation, risk tolerance, and investment objectives carefully. Conduct your own research (DYOR) and consult an independent financial advisor before making decisions.</w:t>
      </w:r>
    </w:p>
    <w:p>
      <w:pPr>
        <w:spacing w:after="0"/>
        <w:jc w:val="right"/>
      </w:pPr>
      <w:r>
        <w:rPr>
          <w:b/>
          <w:bCs/>
          <w:i/>
          <w:iCs/>
          <w:color w:val="555555"/>
          <w:sz w:val="18"/>
          <w:szCs w:val="18"/>
        </w:rPr>
        <w:t xml:space="preserve">DYOR: Nina, Mick's AI Research Assistant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40" w:before="280"/>
      <w:outlineLvl w:val="0"/>
    </w:pPr>
    <w:rPr>
      <w:rFonts w:ascii="Arial" w:cs="Arial" w:eastAsia="Arial" w:hAnsi="Arial"/>
      <w:b/>
      <w:bCs/>
      <w:color w:val="1F4E79"/>
      <w:sz w:val="32"/>
      <w:szCs w:val="32"/>
    </w:rPr>
  </w:style>
  <w:style w:type="paragraph" w:styleId="Heading2">
    <w:name w:val="Heading 2"/>
    <w:basedOn w:val="Normal"/>
    <w:next w:val="Normal"/>
    <w:pPr>
      <w:spacing w:after="100" w:before="200"/>
      <w:outlineLvl w:val="1"/>
    </w:pPr>
    <w:rPr>
      <w:rFonts w:ascii="Arial" w:cs="Arial" w:eastAsia="Arial" w:hAnsi="Arial"/>
      <w:b/>
      <w:bCs/>
      <w:color w:val="2E75B6"/>
      <w:sz w:val="26"/>
      <w:szCs w:val="26"/>
    </w:rPr>
  </w:style>
  <w:style w:type="paragraph" w:styleId="Heading3">
    <w:name w:val="Heading 3"/>
    <w:basedOn w:val="Normal"/>
    <w:next w:val="Normal"/>
    <w:pPr>
      <w:spacing w:after="80" w:before="16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2026-05-05T16:40:29.373Z</dcterms:created>
  <dcterms:modified xsi:type="dcterms:W3CDTF">2026-05-05T16:40:29.374Z</dcterms:modified>
</cp:coreProperties>
</file>

<file path=docProps/custom.xml><?xml version="1.0" encoding="utf-8"?>
<Properties xmlns="http://schemas.openxmlformats.org/officeDocument/2006/custom-properties" xmlns:vt="http://schemas.openxmlformats.org/officeDocument/2006/docPropsVTypes"/>
</file>