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Privacy Compliance Gap Analysis Memo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Organisation: {{ matters[i].org.name.text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Matter Reference: {{ matters[i].matter_ref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Date: {{ today() }}</w:t>
      </w:r>
    </w:p>
    <w:p>
      <w:pPr>
        <w:pStyle w:val="Heading2"/>
      </w:pPr>
      <w:r>
        <w:t xml:space="preserve">1. Summary of Findings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memo summarizes the gaps identified between the organisation's current privacy practices and the requirements of each applicable jurisdiction, together with the recommended severity of each finding.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Must Fix findings: {{ matters[i].gap_analysis['counts']['must_fix']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Should Fix findings: {{ matters[i].gap_analysis['counts']['should_fix']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Consider Fixing findings: {{ matters[i].gap_analysis['counts']['consider']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Total findings: {{ matters[i].gap_analysis['counts']['total'] }}</w:t>
      </w:r>
    </w:p>
    <w:p>
      <w:pPr>
        <w:pStyle w:val="Heading2"/>
      </w:pPr>
      <w:r>
        <w:t xml:space="preserve">2. Findings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500"/>
        <w:gridCol w:w="1800"/>
        <w:gridCol w:w="18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</w:rPr>
              <w:t xml:space="preserve">{%tr for f in matters[i].gap_analysis['all'] %}{{ f['jurisdiction'] 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f['requirement'] 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f['authority'] }}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f['current_state'] }}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f['gap'] }}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 f['severity'] }}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</w:rPr>
              <w:t xml:space="preserve">{%tr endfor %}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2026-07-06T23:16:04.680Z</dcterms:created>
  <dcterms:modified xsi:type="dcterms:W3CDTF">2026-07-06T23:16:04.682Z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