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Notice of Privacy Practices</w:t>
      </w:r>
    </w:p>
    <w:p>
      <w:pPr>
        <w:spacing w:after="160"/>
      </w:pPr>
      <w:r>
        <w:rPr>
          <w:b/>
          <w:bCs/>
          <w:i w:val="false"/>
          <w:iCs w:val="false"/>
        </w:rPr>
        <w:t xml:space="preserve">THIS NOTICE DESCRIBES HOW MEDICAL INFORMATION ABOUT YOU MAY BE USED AND DISCLOSED AND HOW YOU CAN GET ACCESS TO THIS INFORMATION. PLEASE REVIEW IT CAREFULLY.</w:t>
      </w:r>
    </w:p>
    <w:p>
      <w:pPr>
        <w:spacing w:after="160"/>
      </w:pPr>
      <w:r>
        <w:rPr>
          <w:b w:val="false"/>
          <w:bCs w:val="false"/>
          <w:i w:val="false"/>
          <w:iCs w:val="false"/>
        </w:rPr>
        <w:t xml:space="preserve">{{ matters[i].org.name.text }}</w:t>
      </w:r>
    </w:p>
    <w:p>
      <w:pPr>
        <w:spacing w:after="160"/>
      </w:pPr>
      <w:r>
        <w:rPr>
          <w:b w:val="false"/>
          <w:bCs w:val="false"/>
          <w:i w:val="false"/>
          <w:iCs w:val="false"/>
        </w:rPr>
        <w:t xml:space="preserve">{{ matters[i].org.address.on_one_line() }}</w:t>
      </w:r>
    </w:p>
    <w:p>
      <w:pPr>
        <w:spacing w:after="160"/>
      </w:pPr>
      <w:r>
        <w:rPr>
          <w:b w:val="false"/>
          <w:bCs w:val="false"/>
          <w:i w:val="false"/>
          <w:iCs w:val="false"/>
        </w:rPr>
        <w:t xml:space="preserve">Matter Reference: {{ matters[i].matter_ref }}</w:t>
      </w:r>
    </w:p>
    <w:p>
      <w:pPr>
        <w:spacing w:after="160"/>
      </w:pPr>
      <w:r>
        <w:rPr>
          <w:b w:val="false"/>
          <w:bCs w:val="false"/>
          <w:i w:val="false"/>
          <w:iCs w:val="false"/>
        </w:rPr>
        <w:t xml:space="preserve">Effective Date: {{ today() }}</w:t>
      </w:r>
    </w:p>
    <w:p>
      <w:pPr>
        <w:pStyle w:val="Heading2"/>
      </w:pPr>
      <w:r>
        <w:t xml:space="preserve">1. Our Uses and Disclosures of Your Protected Health Information</w:t>
      </w:r>
    </w:p>
    <w:p>
      <w:pPr>
        <w:spacing w:after="160"/>
      </w:pPr>
      <w:r>
        <w:rPr>
          <w:b w:val="false"/>
          <w:bCs w:val="false"/>
          <w:i w:val="false"/>
          <w:iCs w:val="false"/>
        </w:rPr>
        <w:t xml:space="preserve">We use and disclose protected health information about you for treatment, payment, and healthcare operations. For example, we may share your health information with other healthcare providers involved in your care, with your health plan to obtain payment for services, and internally for quality assessment, training, and business planning purposes.</w:t>
      </w:r>
    </w:p>
    <w:p>
      <w:pPr>
        <w:spacing w:after="160"/>
      </w:pPr>
      <w:r>
        <w:rPr>
          <w:b w:val="false"/>
          <w:bCs w:val="false"/>
          <w:i w:val="false"/>
          <w:iCs w:val="false"/>
        </w:rPr>
        <w:t xml:space="preserve">We may also use or disclose your information as required or permitted by law, including for public health activities, health oversight activities, judicial and administrative proceedings, law enforcement purposes, and to avert a serious threat to health or safety. Any other use or disclosure of your protected health information will be made only with your written authorization, which you may revoke at any time.</w:t>
      </w:r>
    </w:p>
    <w:p>
      <w:pPr>
        <w:pStyle w:val="Heading2"/>
      </w:pPr>
      <w:r>
        <w:t xml:space="preserve">2. Your Rights Regarding Your Protected Health Information</w:t>
      </w:r>
    </w:p>
    <w:p>
      <w:pPr>
        <w:spacing w:after="160"/>
      </w:pPr>
      <w:r>
        <w:rPr>
          <w:b w:val="false"/>
          <w:bCs w:val="false"/>
          <w:i w:val="false"/>
          <w:iCs w:val="false"/>
        </w:rPr>
        <w:t xml:space="preserve">You have the right to: inspect and obtain a copy of your protected health information; request an amendment to your protected health information; receive an accounting of certain disclosures we have made; request restrictions on certain uses and disclosures; request confidential communications by alternative means or at alternative locations; obtain a paper copy of this notice upon request; and be notified in the event of a breach of your unsecured protected health information.</w:t>
      </w:r>
    </w:p>
    <w:p>
      <w:pPr>
        <w:pStyle w:val="Heading2"/>
      </w:pPr>
      <w:r>
        <w:t xml:space="preserve">3. Complaints</w:t>
      </w:r>
    </w:p>
    <w:p>
      <w:pPr>
        <w:spacing w:after="160"/>
      </w:pPr>
      <w:r>
        <w:rPr>
          <w:b w:val="false"/>
          <w:bCs w:val="false"/>
          <w:i w:val="false"/>
          <w:iCs w:val="false"/>
        </w:rPr>
        <w:t xml:space="preserve">If you believe your privacy rights have been violated, you may file a complaint with us or with the Secretary of the U.S. Department of Health and Human Services, Office for Civil Rights. You will not be retaliated against for filing a complaint.</w:t>
      </w:r>
    </w:p>
    <w:p>
      <w:pPr>
        <w:pStyle w:val="Heading2"/>
      </w:pPr>
      <w:r>
        <w:t xml:space="preserve">4. Our Legal Duty</w:t>
      </w:r>
    </w:p>
    <w:p>
      <w:pPr>
        <w:spacing w:after="160"/>
      </w:pPr>
      <w:r>
        <w:rPr>
          <w:b w:val="false"/>
          <w:bCs w:val="false"/>
          <w:i w:val="false"/>
          <w:iCs w:val="false"/>
        </w:rPr>
        <w:t xml:space="preserve">We are required by law to maintain the privacy of your protected health information, to provide you with this notice of our legal duties and privacy practices, and to abide by the terms of the notice currently in effect.</w:t>
      </w:r>
    </w:p>
    <w:p>
      <w:pPr>
        <w:pStyle w:val="Heading2"/>
      </w:pPr>
      <w:r>
        <w:t xml:space="preserve">5. Contact Information</w:t>
      </w:r>
    </w:p>
    <w:p>
      <w:pPr>
        <w:spacing w:after="160"/>
      </w:pPr>
      <w:r>
        <w:rPr>
          <w:b w:val="false"/>
          <w:bCs w:val="false"/>
          <w:i w:val="false"/>
          <w:iCs w:val="false"/>
        </w:rPr>
        <w:t xml:space="preserve">Privacy Official: {{ matters[i].hipaa.privacy_official_name }}</w:t>
      </w:r>
    </w:p>
    <w:p>
      <w:pPr>
        <w:spacing w:after="160"/>
      </w:pPr>
      <w:r>
        <w:rPr>
          <w:b w:val="false"/>
          <w:bCs w:val="false"/>
          <w:i w:val="false"/>
          <w:iCs w:val="false"/>
        </w:rPr>
        <w:t xml:space="preserve">Privacy Official contact: {{ matters[i].hipaa.privacy_official_contact }}</w:t>
      </w:r>
    </w:p>
    <w:p>
      <w:pPr>
        <w:spacing w:after="160"/>
      </w:pPr>
      <w:r>
        <w:rPr>
          <w:b w:val="false"/>
          <w:bCs w:val="false"/>
          <w:i w:val="false"/>
          <w:iCs w:val="false"/>
        </w:rPr>
        <w:t xml:space="preserve">Complaint contact: {{ matters[i].hipaa.complaint_contact }}</w:t>
      </w:r>
    </w:p>
    <w:p>
      <w:pPr>
        <w:spacing w:after="80"/>
      </w:pPr>
      <w:r>
        <w:rPr>
          <w:rFonts w:ascii="Consolas" w:cs="Consolas" w:eastAsia="Consolas" w:hAnsi="Consolas"/>
          <w:color w:val="808080"/>
          <w:sz w:val="18"/>
          <w:szCs w:val="18"/>
        </w:rPr>
        <w:t xml:space="preserve">{%p if matters[i].hipaa.uses_phi_for_marketing_fundraising %}</w:t>
      </w:r>
    </w:p>
    <w:p>
      <w:pPr>
        <w:pStyle w:val="Heading2"/>
      </w:pPr>
      <w:r>
        <w:t xml:space="preserve">6. Marketing and Fundraising Communications</w:t>
      </w:r>
    </w:p>
    <w:p>
      <w:pPr>
        <w:spacing w:after="160"/>
      </w:pPr>
      <w:r>
        <w:rPr>
          <w:b w:val="false"/>
          <w:bCs w:val="false"/>
          <w:i w:val="false"/>
          <w:iCs w:val="false"/>
        </w:rPr>
        <w:t xml:space="preserve">We may contact you to provide information about fundraising activities and treatment alternatives or health-related benefits and services that may be of interest to you. You have the right to opt out of receiving fundraising communications at any time.</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matters[i].hipaa.involves_psychotherapy_notes %}</w:t>
      </w:r>
    </w:p>
    <w:p>
      <w:pPr>
        <w:pStyle w:val="Heading2"/>
      </w:pPr>
      <w:r>
        <w:t xml:space="preserve">7. Psychotherapy Notes</w:t>
      </w:r>
    </w:p>
    <w:p>
      <w:pPr>
        <w:spacing w:after="160"/>
      </w:pPr>
      <w:r>
        <w:rPr>
          <w:b w:val="false"/>
          <w:bCs w:val="false"/>
          <w:i w:val="false"/>
          <w:iCs w:val="false"/>
        </w:rPr>
        <w:t xml:space="preserve">Psychotherapy notes are given special protection under HIPAA. Except in limited circumstances described in the regulations, we will obtain your written authorization before using or disclosing your psychotherapy notes.</w:t>
      </w:r>
    </w:p>
    <w:p>
      <w:pPr>
        <w:spacing w:after="80"/>
      </w:pPr>
      <w:r>
        <w:rPr>
          <w:rFonts w:ascii="Consolas" w:cs="Consolas" w:eastAsia="Consolas" w:hAnsi="Consolas"/>
          <w:color w:val="808080"/>
          <w:sz w:val="18"/>
          <w:szCs w:val="18"/>
        </w:rPr>
        <w:t xml:space="preserve">{%p endif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2026-07-06T23:16:04.816Z</dcterms:created>
  <dcterms:modified xsi:type="dcterms:W3CDTF">2026-07-06T23:16:04.817Z</dcterms:modified>
</cp:coreProperties>
</file>

<file path=docProps/custom.xml><?xml version="1.0" encoding="utf-8"?>
<Properties xmlns="http://schemas.openxmlformats.org/officeDocument/2006/custom-properties" xmlns:vt="http://schemas.openxmlformats.org/officeDocument/2006/docPropsVTypes"/>
</file>